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2686" w14:textId="752123B8" w:rsidR="00BF69A9" w:rsidRDefault="00BF69A9" w:rsidP="00BF69A9">
      <w:pPr>
        <w:pStyle w:val="NormalWeb"/>
      </w:pPr>
      <w:r>
        <w:rPr>
          <w:noProof/>
        </w:rPr>
        <w:drawing>
          <wp:inline distT="0" distB="0" distL="0" distR="0" wp14:anchorId="383B2AC2" wp14:editId="52893773">
            <wp:extent cx="5731510" cy="8277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95351" w14:textId="27B7367E" w:rsidR="00B83822" w:rsidRDefault="00BF69A9">
      <w:r w:rsidRPr="00651B85">
        <w:rPr>
          <w:rFonts w:ascii="Times New Roman" w:hAnsi="Times New Roman"/>
          <w:b/>
          <w:bCs/>
          <w:sz w:val="20"/>
          <w:szCs w:val="20"/>
        </w:rPr>
        <w:t>Figure S4. Characterization of ROs at different stages.</w:t>
      </w:r>
      <w:r w:rsidRPr="00651B85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A</w:t>
      </w:r>
      <w:r w:rsidRPr="00651B85">
        <w:rPr>
          <w:rFonts w:ascii="Times New Roman" w:hAnsi="Times New Roman"/>
          <w:sz w:val="20"/>
          <w:szCs w:val="20"/>
        </w:rPr>
        <w:t xml:space="preserve">). Representative immunofluorescence staining images of Müller glial cells in the control-1 and patient-1 </w:t>
      </w:r>
      <w:r w:rsidRPr="00E80D52">
        <w:rPr>
          <w:rFonts w:ascii="Times New Roman" w:hAnsi="Times New Roman"/>
          <w:sz w:val="20"/>
          <w:szCs w:val="20"/>
        </w:rPr>
        <w:t>iPSC-derived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651B85">
        <w:rPr>
          <w:rFonts w:ascii="Times New Roman" w:hAnsi="Times New Roman"/>
          <w:sz w:val="20"/>
          <w:szCs w:val="20"/>
        </w:rPr>
        <w:t xml:space="preserve">ROs at day 260 with GS and SOX9 </w:t>
      </w:r>
      <w:r w:rsidRPr="00651B85">
        <w:rPr>
          <w:rFonts w:ascii="Times New Roman" w:hAnsi="Times New Roman"/>
          <w:sz w:val="20"/>
          <w:szCs w:val="20"/>
        </w:rPr>
        <w:lastRenderedPageBreak/>
        <w:t xml:space="preserve">antibodies. Scale bar, 20 </w:t>
      </w:r>
      <w:r w:rsidRPr="00651B85">
        <w:rPr>
          <w:rFonts w:ascii="Times New Roman" w:hAnsi="Times New Roman" w:hint="eastAsia"/>
          <w:sz w:val="20"/>
          <w:szCs w:val="20"/>
        </w:rPr>
        <w:t>µ</w:t>
      </w:r>
      <w:r w:rsidRPr="00651B85">
        <w:rPr>
          <w:rFonts w:ascii="Times New Roman" w:hAnsi="Times New Roman"/>
          <w:sz w:val="20"/>
          <w:szCs w:val="20"/>
        </w:rPr>
        <w:t>m. (</w:t>
      </w:r>
      <w:r>
        <w:rPr>
          <w:rFonts w:ascii="Times New Roman" w:hAnsi="Times New Roman"/>
          <w:sz w:val="20"/>
          <w:szCs w:val="20"/>
        </w:rPr>
        <w:t>B</w:t>
      </w:r>
      <w:r w:rsidRPr="00651B85">
        <w:rPr>
          <w:rFonts w:ascii="Times New Roman" w:hAnsi="Times New Roman"/>
          <w:sz w:val="20"/>
          <w:szCs w:val="20"/>
        </w:rPr>
        <w:t>). Quantification of S</w:t>
      </w:r>
      <w:r>
        <w:rPr>
          <w:rFonts w:ascii="Times New Roman" w:hAnsi="Times New Roman"/>
          <w:sz w:val="20"/>
          <w:szCs w:val="20"/>
        </w:rPr>
        <w:t>OX</w:t>
      </w:r>
      <w:r w:rsidRPr="00651B85">
        <w:rPr>
          <w:rFonts w:ascii="Times New Roman" w:hAnsi="Times New Roman"/>
          <w:sz w:val="20"/>
          <w:szCs w:val="20"/>
        </w:rPr>
        <w:t>9 positive cell density in con</w:t>
      </w:r>
      <w:r w:rsidRPr="00651B85">
        <w:rPr>
          <w:rFonts w:ascii="Times New Roman" w:hAnsi="Times New Roman" w:hint="eastAsia"/>
          <w:sz w:val="20"/>
          <w:szCs w:val="20"/>
        </w:rPr>
        <w:t xml:space="preserve">trol-1 and patient-1 </w:t>
      </w:r>
      <w:r w:rsidRPr="00E80D52">
        <w:rPr>
          <w:rFonts w:ascii="Times New Roman" w:hAnsi="Times New Roman"/>
          <w:sz w:val="20"/>
          <w:szCs w:val="20"/>
        </w:rPr>
        <w:t>iPSC-derived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651B85">
        <w:rPr>
          <w:rFonts w:ascii="Times New Roman" w:hAnsi="Times New Roman" w:hint="eastAsia"/>
          <w:sz w:val="20"/>
          <w:szCs w:val="20"/>
        </w:rPr>
        <w:t>ROs at day 260. (</w:t>
      </w:r>
      <w:r>
        <w:rPr>
          <w:rFonts w:ascii="Times New Roman" w:hAnsi="Times New Roman"/>
          <w:sz w:val="20"/>
          <w:szCs w:val="20"/>
        </w:rPr>
        <w:t>C</w:t>
      </w:r>
      <w:r w:rsidRPr="00651B85">
        <w:rPr>
          <w:rFonts w:ascii="Times New Roman" w:hAnsi="Times New Roman" w:hint="eastAsia"/>
          <w:sz w:val="20"/>
          <w:szCs w:val="20"/>
        </w:rPr>
        <w:t xml:space="preserve">). Quantification of relative fluorescence intensity of GS in </w:t>
      </w:r>
      <w:r w:rsidRPr="00651B85">
        <w:rPr>
          <w:rFonts w:ascii="Times New Roman" w:hAnsi="Times New Roman"/>
          <w:sz w:val="20"/>
          <w:szCs w:val="20"/>
        </w:rPr>
        <w:t xml:space="preserve">the </w:t>
      </w:r>
      <w:r w:rsidRPr="00651B85">
        <w:rPr>
          <w:rFonts w:ascii="Times New Roman" w:hAnsi="Times New Roman" w:hint="eastAsia"/>
          <w:sz w:val="20"/>
          <w:szCs w:val="20"/>
        </w:rPr>
        <w:t xml:space="preserve">control-1 and patient-1 </w:t>
      </w:r>
      <w:r w:rsidRPr="00E80D52">
        <w:rPr>
          <w:rFonts w:ascii="Times New Roman" w:hAnsi="Times New Roman"/>
          <w:sz w:val="20"/>
          <w:szCs w:val="20"/>
        </w:rPr>
        <w:t>iPSC-derived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651B85">
        <w:rPr>
          <w:rFonts w:ascii="Times New Roman" w:hAnsi="Times New Roman" w:hint="eastAsia"/>
          <w:sz w:val="20"/>
          <w:szCs w:val="20"/>
        </w:rPr>
        <w:t>ROs at day 260. (</w:t>
      </w:r>
      <w:r>
        <w:rPr>
          <w:rFonts w:ascii="Times New Roman" w:hAnsi="Times New Roman"/>
          <w:sz w:val="20"/>
          <w:szCs w:val="20"/>
        </w:rPr>
        <w:t>D</w:t>
      </w:r>
      <w:r w:rsidRPr="00651B85">
        <w:rPr>
          <w:rFonts w:ascii="Times New Roman" w:hAnsi="Times New Roman" w:hint="eastAsia"/>
          <w:sz w:val="20"/>
          <w:szCs w:val="20"/>
        </w:rPr>
        <w:t xml:space="preserve">). </w:t>
      </w:r>
      <w:r w:rsidRPr="00651B85">
        <w:rPr>
          <w:rFonts w:ascii="Times New Roman" w:hAnsi="Times New Roman"/>
          <w:sz w:val="20"/>
          <w:szCs w:val="20"/>
        </w:rPr>
        <w:t>Representative i</w:t>
      </w:r>
      <w:r w:rsidRPr="00651B85">
        <w:rPr>
          <w:rFonts w:ascii="Times New Roman" w:hAnsi="Times New Roman" w:hint="eastAsia"/>
          <w:sz w:val="20"/>
          <w:szCs w:val="20"/>
        </w:rPr>
        <w:t xml:space="preserve">mmunofluorescence staining </w:t>
      </w:r>
      <w:r w:rsidRPr="00651B85">
        <w:rPr>
          <w:rFonts w:ascii="Times New Roman" w:hAnsi="Times New Roman"/>
          <w:sz w:val="20"/>
          <w:szCs w:val="20"/>
        </w:rPr>
        <w:t xml:space="preserve">images </w:t>
      </w:r>
      <w:r w:rsidRPr="00651B85">
        <w:rPr>
          <w:rFonts w:ascii="Times New Roman" w:hAnsi="Times New Roman" w:hint="eastAsia"/>
          <w:sz w:val="20"/>
          <w:szCs w:val="20"/>
        </w:rPr>
        <w:t xml:space="preserve">of </w:t>
      </w:r>
      <w:proofErr w:type="spellStart"/>
      <w:r w:rsidRPr="00651B85">
        <w:rPr>
          <w:rFonts w:ascii="Times New Roman" w:hAnsi="Times New Roman" w:hint="eastAsia"/>
          <w:sz w:val="20"/>
          <w:szCs w:val="20"/>
        </w:rPr>
        <w:t>PKCɑ</w:t>
      </w:r>
      <w:proofErr w:type="spellEnd"/>
      <w:r w:rsidRPr="00651B85">
        <w:rPr>
          <w:rFonts w:ascii="Times New Roman" w:hAnsi="Times New Roman" w:hint="eastAsia"/>
          <w:sz w:val="20"/>
          <w:szCs w:val="20"/>
        </w:rPr>
        <w:t xml:space="preserve">-positive rod bipolar cells and Go(ɑ)-positive ON bipolar cells in control-1 and patient-1 </w:t>
      </w:r>
      <w:r w:rsidRPr="00E80D52">
        <w:rPr>
          <w:rFonts w:ascii="Times New Roman" w:hAnsi="Times New Roman"/>
          <w:sz w:val="20"/>
          <w:szCs w:val="20"/>
        </w:rPr>
        <w:t>iPSC-derived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651B85">
        <w:rPr>
          <w:rFonts w:ascii="Times New Roman" w:hAnsi="Times New Roman" w:hint="eastAsia"/>
          <w:sz w:val="20"/>
          <w:szCs w:val="20"/>
        </w:rPr>
        <w:t>ROs at day 260. Scale bar, 20 µ</w:t>
      </w:r>
      <w:r w:rsidRPr="00651B85">
        <w:rPr>
          <w:rFonts w:ascii="Times New Roman" w:hAnsi="Times New Roman"/>
          <w:sz w:val="20"/>
          <w:szCs w:val="20"/>
        </w:rPr>
        <w:t>m</w:t>
      </w:r>
      <w:r w:rsidRPr="00651B85">
        <w:rPr>
          <w:rFonts w:ascii="Times New Roman" w:hAnsi="Times New Roman" w:hint="eastAsia"/>
          <w:sz w:val="20"/>
          <w:szCs w:val="20"/>
        </w:rPr>
        <w:t>. (</w:t>
      </w:r>
      <w:r>
        <w:rPr>
          <w:rFonts w:ascii="Times New Roman" w:hAnsi="Times New Roman"/>
          <w:sz w:val="20"/>
          <w:szCs w:val="20"/>
        </w:rPr>
        <w:t>E</w:t>
      </w:r>
      <w:r w:rsidRPr="00651B85">
        <w:rPr>
          <w:rFonts w:ascii="Times New Roman" w:hAnsi="Times New Roman" w:hint="eastAsia"/>
          <w:sz w:val="20"/>
          <w:szCs w:val="20"/>
        </w:rPr>
        <w:t xml:space="preserve">). Quantification of </w:t>
      </w:r>
      <w:proofErr w:type="spellStart"/>
      <w:r w:rsidRPr="00651B85">
        <w:rPr>
          <w:rFonts w:ascii="Times New Roman" w:hAnsi="Times New Roman" w:hint="eastAsia"/>
          <w:sz w:val="20"/>
          <w:szCs w:val="20"/>
        </w:rPr>
        <w:t>PKCɑ</w:t>
      </w:r>
      <w:proofErr w:type="spellEnd"/>
      <w:r w:rsidRPr="00651B85">
        <w:rPr>
          <w:rFonts w:ascii="Times New Roman" w:hAnsi="Times New Roman" w:hint="eastAsia"/>
          <w:sz w:val="20"/>
          <w:szCs w:val="20"/>
        </w:rPr>
        <w:t xml:space="preserve"> and Go(ɑ) positive cell density in </w:t>
      </w:r>
      <w:r w:rsidRPr="00651B85">
        <w:rPr>
          <w:rFonts w:ascii="Times New Roman" w:hAnsi="Times New Roman"/>
          <w:sz w:val="20"/>
          <w:szCs w:val="20"/>
        </w:rPr>
        <w:t xml:space="preserve">the </w:t>
      </w:r>
      <w:r w:rsidRPr="00651B85">
        <w:rPr>
          <w:rFonts w:ascii="Times New Roman" w:hAnsi="Times New Roman" w:hint="eastAsia"/>
          <w:sz w:val="20"/>
          <w:szCs w:val="20"/>
        </w:rPr>
        <w:t xml:space="preserve">control-1 and patient-1 </w:t>
      </w:r>
      <w:r w:rsidRPr="00E80D52">
        <w:rPr>
          <w:rFonts w:ascii="Times New Roman" w:hAnsi="Times New Roman"/>
          <w:sz w:val="20"/>
          <w:szCs w:val="20"/>
        </w:rPr>
        <w:t>iPSC-derived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651B85">
        <w:rPr>
          <w:rFonts w:ascii="Times New Roman" w:hAnsi="Times New Roman" w:hint="eastAsia"/>
          <w:sz w:val="20"/>
          <w:szCs w:val="20"/>
        </w:rPr>
        <w:t xml:space="preserve">ROs at day 260. </w:t>
      </w:r>
      <w:r>
        <w:rPr>
          <w:rFonts w:ascii="Times New Roman" w:hAnsi="Times New Roman" w:hint="eastAsia"/>
          <w:sz w:val="20"/>
          <w:szCs w:val="20"/>
        </w:rPr>
        <w:t xml:space="preserve">(F). </w:t>
      </w:r>
      <w:r w:rsidRPr="00951888">
        <w:rPr>
          <w:rFonts w:ascii="Times New Roman" w:hAnsi="Times New Roman"/>
          <w:sz w:val="20"/>
          <w:szCs w:val="20"/>
        </w:rPr>
        <w:t xml:space="preserve">Full-scale image of ROs with </w:t>
      </w:r>
      <w:r>
        <w:rPr>
          <w:rFonts w:ascii="Times New Roman" w:hAnsi="Times New Roman" w:hint="eastAsia"/>
          <w:sz w:val="20"/>
          <w:szCs w:val="20"/>
        </w:rPr>
        <w:t>Rho</w:t>
      </w:r>
      <w:r w:rsidRPr="00951888">
        <w:rPr>
          <w:rFonts w:ascii="Times New Roman" w:hAnsi="Times New Roman"/>
          <w:sz w:val="20"/>
          <w:szCs w:val="20"/>
        </w:rPr>
        <w:t xml:space="preserve"> staining at</w:t>
      </w:r>
      <w:r>
        <w:rPr>
          <w:rFonts w:ascii="Times New Roman" w:hAnsi="Times New Roman" w:hint="eastAsia"/>
          <w:sz w:val="20"/>
          <w:szCs w:val="20"/>
        </w:rPr>
        <w:t xml:space="preserve"> day 2</w:t>
      </w:r>
      <w:r w:rsidRPr="00951888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 w:hint="eastAsia"/>
          <w:sz w:val="20"/>
          <w:szCs w:val="20"/>
        </w:rPr>
        <w:t>0</w:t>
      </w:r>
      <w:r w:rsidRPr="00951888">
        <w:rPr>
          <w:rFonts w:ascii="Times New Roman" w:hAnsi="Times New Roman"/>
          <w:sz w:val="20"/>
          <w:szCs w:val="20"/>
        </w:rPr>
        <w:t>. Scale bar, 100 µm.</w:t>
      </w:r>
      <w:r>
        <w:rPr>
          <w:rFonts w:ascii="Times New Roman" w:hAnsi="Times New Roman" w:hint="eastAsia"/>
          <w:sz w:val="20"/>
          <w:szCs w:val="20"/>
        </w:rPr>
        <w:t xml:space="preserve"> (G). </w:t>
      </w:r>
      <w:r w:rsidRPr="00651B85">
        <w:rPr>
          <w:rFonts w:ascii="Times New Roman" w:hAnsi="Times New Roman"/>
          <w:sz w:val="20"/>
          <w:szCs w:val="20"/>
        </w:rPr>
        <w:t xml:space="preserve">Staining images of </w:t>
      </w:r>
      <w:r w:rsidRPr="00651B85">
        <w:rPr>
          <w:rFonts w:ascii="Times New Roman" w:hAnsi="Times New Roman" w:hint="eastAsia"/>
          <w:sz w:val="20"/>
          <w:szCs w:val="20"/>
        </w:rPr>
        <w:t xml:space="preserve">ROs with </w:t>
      </w:r>
      <w:r>
        <w:rPr>
          <w:rFonts w:ascii="Times New Roman" w:hAnsi="Times New Roman" w:hint="eastAsia"/>
          <w:sz w:val="20"/>
          <w:szCs w:val="20"/>
        </w:rPr>
        <w:t>Caspase-3</w:t>
      </w:r>
      <w:r w:rsidRPr="00651B85">
        <w:rPr>
          <w:rFonts w:ascii="Times New Roman" w:hAnsi="Times New Roman" w:hint="eastAsia"/>
          <w:sz w:val="20"/>
          <w:szCs w:val="20"/>
        </w:rPr>
        <w:t xml:space="preserve"> at day </w:t>
      </w:r>
      <w:r>
        <w:rPr>
          <w:rFonts w:ascii="Times New Roman" w:hAnsi="Times New Roman" w:hint="eastAsia"/>
          <w:sz w:val="20"/>
          <w:szCs w:val="20"/>
        </w:rPr>
        <w:t>120</w:t>
      </w:r>
      <w:r w:rsidRPr="00651B85">
        <w:rPr>
          <w:rFonts w:ascii="Times New Roman" w:hAnsi="Times New Roman" w:hint="eastAsia"/>
          <w:sz w:val="20"/>
          <w:szCs w:val="20"/>
        </w:rPr>
        <w:t>. Scale bar, 20 µ</w:t>
      </w:r>
      <w:r w:rsidRPr="00651B85">
        <w:rPr>
          <w:rFonts w:ascii="Times New Roman" w:hAnsi="Times New Roman"/>
          <w:sz w:val="20"/>
          <w:szCs w:val="20"/>
        </w:rPr>
        <w:t>m</w:t>
      </w:r>
      <w:r w:rsidRPr="00651B85"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sz w:val="20"/>
          <w:szCs w:val="20"/>
        </w:rPr>
        <w:t xml:space="preserve">(H). </w:t>
      </w:r>
      <w:r w:rsidRPr="00651B85">
        <w:rPr>
          <w:rFonts w:ascii="Times New Roman" w:hAnsi="Times New Roman" w:hint="eastAsia"/>
          <w:sz w:val="20"/>
          <w:szCs w:val="20"/>
        </w:rPr>
        <w:t xml:space="preserve">Quantification of relative fluorescence intensity of </w:t>
      </w:r>
      <w:r>
        <w:rPr>
          <w:rFonts w:ascii="Times New Roman" w:hAnsi="Times New Roman" w:hint="eastAsia"/>
          <w:sz w:val="20"/>
          <w:szCs w:val="20"/>
        </w:rPr>
        <w:t>Caspase-3</w:t>
      </w:r>
      <w:r w:rsidRPr="00651B85">
        <w:rPr>
          <w:rFonts w:ascii="Times New Roman" w:hAnsi="Times New Roman" w:hint="eastAsia"/>
          <w:sz w:val="20"/>
          <w:szCs w:val="20"/>
        </w:rPr>
        <w:t xml:space="preserve"> in </w:t>
      </w:r>
      <w:r w:rsidRPr="00651B85">
        <w:rPr>
          <w:rFonts w:ascii="Times New Roman" w:hAnsi="Times New Roman"/>
          <w:sz w:val="20"/>
          <w:szCs w:val="20"/>
        </w:rPr>
        <w:t xml:space="preserve">the </w:t>
      </w:r>
      <w:r w:rsidRPr="00651B85">
        <w:rPr>
          <w:rFonts w:ascii="Times New Roman" w:hAnsi="Times New Roman" w:hint="eastAsia"/>
          <w:sz w:val="20"/>
          <w:szCs w:val="20"/>
        </w:rPr>
        <w:t xml:space="preserve">control-1 and patient-1 </w:t>
      </w:r>
      <w:r w:rsidRPr="00E80D52">
        <w:rPr>
          <w:rFonts w:ascii="Times New Roman" w:hAnsi="Times New Roman"/>
          <w:sz w:val="20"/>
          <w:szCs w:val="20"/>
        </w:rPr>
        <w:t>iPSC-derived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651B85">
        <w:rPr>
          <w:rFonts w:ascii="Times New Roman" w:hAnsi="Times New Roman" w:hint="eastAsia"/>
          <w:sz w:val="20"/>
          <w:szCs w:val="20"/>
        </w:rPr>
        <w:t xml:space="preserve">ROs at day </w:t>
      </w:r>
      <w:r>
        <w:rPr>
          <w:rFonts w:ascii="Times New Roman" w:hAnsi="Times New Roman" w:hint="eastAsia"/>
          <w:sz w:val="20"/>
          <w:szCs w:val="20"/>
        </w:rPr>
        <w:t>120</w:t>
      </w:r>
      <w:r w:rsidRPr="00651B85">
        <w:rPr>
          <w:rFonts w:ascii="Times New Roman" w:hAnsi="Times New Roman" w:hint="eastAsia"/>
          <w:sz w:val="20"/>
          <w:szCs w:val="20"/>
        </w:rPr>
        <w:t>. (</w:t>
      </w:r>
      <w:r>
        <w:rPr>
          <w:rFonts w:ascii="Times New Roman" w:hAnsi="Times New Roman" w:hint="eastAsia"/>
          <w:sz w:val="20"/>
          <w:szCs w:val="20"/>
        </w:rPr>
        <w:t>I</w:t>
      </w:r>
      <w:r w:rsidRPr="00651B85">
        <w:rPr>
          <w:rFonts w:ascii="Times New Roman" w:hAnsi="Times New Roman" w:hint="eastAsia"/>
          <w:sz w:val="20"/>
          <w:szCs w:val="20"/>
        </w:rPr>
        <w:t xml:space="preserve">). </w:t>
      </w:r>
      <w:r w:rsidRPr="00651B85">
        <w:rPr>
          <w:rFonts w:ascii="Times New Roman" w:hAnsi="Times New Roman"/>
          <w:sz w:val="20"/>
          <w:szCs w:val="20"/>
        </w:rPr>
        <w:t xml:space="preserve">Staining images of </w:t>
      </w:r>
      <w:r w:rsidRPr="00651B85">
        <w:rPr>
          <w:rFonts w:ascii="Times New Roman" w:hAnsi="Times New Roman" w:hint="eastAsia"/>
          <w:sz w:val="20"/>
          <w:szCs w:val="20"/>
        </w:rPr>
        <w:t>ROs with NRL at day 90. Scale bar, 20 µ</w:t>
      </w:r>
      <w:r w:rsidRPr="00651B85">
        <w:rPr>
          <w:rFonts w:ascii="Times New Roman" w:hAnsi="Times New Roman"/>
          <w:sz w:val="20"/>
          <w:szCs w:val="20"/>
        </w:rPr>
        <w:t>m</w:t>
      </w:r>
      <w:r w:rsidRPr="00651B85">
        <w:rPr>
          <w:rFonts w:ascii="Times New Roman" w:hAnsi="Times New Roman" w:hint="eastAsia"/>
          <w:sz w:val="20"/>
          <w:szCs w:val="20"/>
        </w:rPr>
        <w:t xml:space="preserve">. </w:t>
      </w:r>
      <w:r w:rsidRPr="00651B85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 w:hint="eastAsia"/>
          <w:sz w:val="20"/>
          <w:szCs w:val="20"/>
        </w:rPr>
        <w:t>J</w:t>
      </w:r>
      <w:r w:rsidRPr="00651B85">
        <w:rPr>
          <w:rFonts w:ascii="Times New Roman" w:hAnsi="Times New Roman" w:hint="eastAsia"/>
          <w:sz w:val="20"/>
          <w:szCs w:val="20"/>
        </w:rPr>
        <w:t>). Quantification of NRL positive ce</w:t>
      </w:r>
      <w:r w:rsidRPr="00651B85">
        <w:rPr>
          <w:rFonts w:ascii="Times New Roman" w:hAnsi="Times New Roman"/>
          <w:sz w:val="20"/>
          <w:szCs w:val="20"/>
        </w:rPr>
        <w:t xml:space="preserve">ll density in ROs at day 90. </w:t>
      </w:r>
      <w:r>
        <w:rPr>
          <w:rFonts w:ascii="Times New Roman" w:hAnsi="Times New Roman"/>
          <w:sz w:val="20"/>
          <w:szCs w:val="20"/>
        </w:rPr>
        <w:t>(A, D, F</w:t>
      </w:r>
      <w:r>
        <w:rPr>
          <w:rFonts w:ascii="Times New Roman" w:hAnsi="Times New Roman" w:hint="eastAsia"/>
          <w:sz w:val="20"/>
          <w:szCs w:val="20"/>
        </w:rPr>
        <w:t>, G, I</w:t>
      </w:r>
      <w:r>
        <w:rPr>
          <w:rFonts w:ascii="Times New Roman" w:hAnsi="Times New Roman"/>
          <w:sz w:val="20"/>
          <w:szCs w:val="20"/>
        </w:rPr>
        <w:t xml:space="preserve">). </w:t>
      </w:r>
      <w:r w:rsidRPr="00651B85">
        <w:rPr>
          <w:rFonts w:ascii="Times New Roman" w:hAnsi="Times New Roman"/>
          <w:sz w:val="20"/>
          <w:szCs w:val="20"/>
        </w:rPr>
        <w:t>The cell nuclei were stained with DAPI (blue).</w:t>
      </w:r>
    </w:p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A9"/>
    <w:rsid w:val="001F43F7"/>
    <w:rsid w:val="008E4E89"/>
    <w:rsid w:val="00B83822"/>
    <w:rsid w:val="00B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D515"/>
  <w15:chartTrackingRefBased/>
  <w15:docId w15:val="{C906AD94-EA7D-4954-88C6-D8CFF5DE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2024-05-21T02:29:00Z</dcterms:created>
  <dcterms:modified xsi:type="dcterms:W3CDTF">2024-05-21T02:30:00Z</dcterms:modified>
</cp:coreProperties>
</file>