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154F" w14:textId="264680CF" w:rsidR="009B1D0A" w:rsidRDefault="009B1D0A" w:rsidP="009B1D0A">
      <w:pPr>
        <w:pStyle w:val="NormalWeb"/>
      </w:pPr>
      <w:r>
        <w:rPr>
          <w:noProof/>
        </w:rPr>
        <w:drawing>
          <wp:inline distT="0" distB="0" distL="0" distR="0" wp14:anchorId="09732A94" wp14:editId="74C78BAE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87F53" w14:textId="77777777" w:rsidR="009B1D0A" w:rsidRDefault="009B1D0A" w:rsidP="009B1D0A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651B85"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 w:rsidRPr="00651B85">
        <w:rPr>
          <w:rFonts w:ascii="Times New Roman" w:hAnsi="Times New Roman"/>
          <w:b/>
          <w:bCs/>
          <w:sz w:val="20"/>
          <w:szCs w:val="20"/>
        </w:rPr>
        <w:t>5. RNA-</w:t>
      </w:r>
      <w:proofErr w:type="spellStart"/>
      <w:r w:rsidRPr="00651B85">
        <w:rPr>
          <w:rFonts w:ascii="Times New Roman" w:hAnsi="Times New Roman"/>
          <w:b/>
          <w:bCs/>
          <w:sz w:val="20"/>
          <w:szCs w:val="20"/>
        </w:rPr>
        <w:t>seq</w:t>
      </w:r>
      <w:proofErr w:type="spellEnd"/>
      <w:r w:rsidRPr="00651B85">
        <w:rPr>
          <w:rFonts w:ascii="Times New Roman" w:hAnsi="Times New Roman"/>
          <w:b/>
          <w:bCs/>
          <w:sz w:val="20"/>
          <w:szCs w:val="20"/>
        </w:rPr>
        <w:t xml:space="preserve"> results. </w:t>
      </w:r>
      <w:r w:rsidRPr="00651B85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</w:t>
      </w:r>
      <w:r w:rsidRPr="00651B85">
        <w:rPr>
          <w:rFonts w:ascii="Times New Roman" w:hAnsi="Times New Roman"/>
          <w:sz w:val="20"/>
          <w:szCs w:val="20"/>
        </w:rPr>
        <w:t>). PCA plot of RNA-seq. (</w:t>
      </w:r>
      <w:r>
        <w:rPr>
          <w:rFonts w:ascii="Times New Roman" w:hAnsi="Times New Roman"/>
          <w:sz w:val="20"/>
          <w:szCs w:val="20"/>
        </w:rPr>
        <w:t>B</w:t>
      </w:r>
      <w:r w:rsidRPr="00651B85">
        <w:rPr>
          <w:rFonts w:ascii="Times New Roman" w:hAnsi="Times New Roman"/>
          <w:sz w:val="20"/>
          <w:szCs w:val="20"/>
        </w:rPr>
        <w:t>). Pearson correlation coefficient heatmap of RNA-</w:t>
      </w:r>
      <w:proofErr w:type="spellStart"/>
      <w:r w:rsidRPr="00651B85">
        <w:rPr>
          <w:rFonts w:ascii="Times New Roman" w:hAnsi="Times New Roman"/>
          <w:sz w:val="20"/>
          <w:szCs w:val="20"/>
        </w:rPr>
        <w:t>seq</w:t>
      </w:r>
      <w:proofErr w:type="spellEnd"/>
      <w:r w:rsidRPr="00651B85">
        <w:rPr>
          <w:rFonts w:ascii="Times New Roman" w:hAnsi="Times New Roman"/>
          <w:sz w:val="20"/>
          <w:szCs w:val="20"/>
        </w:rPr>
        <w:t xml:space="preserve"> results. (</w:t>
      </w:r>
      <w:r>
        <w:rPr>
          <w:rFonts w:ascii="Times New Roman" w:hAnsi="Times New Roman"/>
          <w:sz w:val="20"/>
          <w:szCs w:val="20"/>
        </w:rPr>
        <w:t>C</w:t>
      </w:r>
      <w:r w:rsidRPr="00651B85">
        <w:rPr>
          <w:rFonts w:ascii="Times New Roman" w:hAnsi="Times New Roman"/>
          <w:sz w:val="20"/>
          <w:szCs w:val="20"/>
        </w:rPr>
        <w:t xml:space="preserve">) The bubble plot of the top 10 GO BPs of upregulated genes.  </w:t>
      </w:r>
    </w:p>
    <w:p w14:paraId="3719EF54" w14:textId="77777777" w:rsidR="00B83822" w:rsidRDefault="00B83822"/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0A"/>
    <w:rsid w:val="001F43F7"/>
    <w:rsid w:val="008E4E89"/>
    <w:rsid w:val="009B1D0A"/>
    <w:rsid w:val="00B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C41D8"/>
  <w15:chartTrackingRefBased/>
  <w15:docId w15:val="{FEAB1F2E-4142-45A3-A07D-C46BBC24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2024-05-21T02:31:00Z</dcterms:created>
  <dcterms:modified xsi:type="dcterms:W3CDTF">2024-05-21T02:32:00Z</dcterms:modified>
</cp:coreProperties>
</file>