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BB4E26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OLE_LINK2"/>
      <w:bookmarkStart w:id="1" w:name="OLE_LINK3"/>
      <w:r w:rsidRPr="00BD7D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Title page</w:t>
      </w:r>
    </w:p>
    <w:p w14:paraId="4EB1CF49" w14:textId="77777777" w:rsidR="00922673" w:rsidRPr="00AE089C" w:rsidRDefault="00922673" w:rsidP="00922673">
      <w:pPr>
        <w:spacing w:line="360" w:lineRule="auto"/>
        <w:rPr>
          <w:rFonts w:ascii="Times New Roman" w:hAnsi="Times New Roman" w:cs="Times New Roman"/>
          <w:b/>
          <w:bCs/>
          <w:color w:val="388600"/>
          <w:sz w:val="24"/>
          <w:szCs w:val="24"/>
        </w:rPr>
      </w:pPr>
      <w:r w:rsidRPr="00BD7D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Titles: </w:t>
      </w:r>
      <w:bookmarkStart w:id="2" w:name="_Hlk155523985"/>
      <w:bookmarkEnd w:id="0"/>
      <w:r w:rsidRPr="00F3739B">
        <w:rPr>
          <w:rFonts w:ascii="Times New Roman" w:hAnsi="Times New Roman"/>
          <w:b/>
          <w:bCs/>
        </w:rPr>
        <w:t>Human adipose and synovial-derived MSCs synergistically attenuate osteoarthritis by promoting chondrocyte autophagy through FoxO1 signaling way</w:t>
      </w:r>
    </w:p>
    <w:p w14:paraId="166A084D" w14:textId="77777777" w:rsidR="00922673" w:rsidRDefault="00922673" w:rsidP="00922673">
      <w:pPr>
        <w:spacing w:line="276" w:lineRule="auto"/>
      </w:pPr>
    </w:p>
    <w:bookmarkEnd w:id="2"/>
    <w:p w14:paraId="7CCD3135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Authors: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3" w:name="_Hlk155523938"/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Jianqun Wu</w:t>
      </w:r>
      <w:r w:rsidRPr="00046CB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2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†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Songqiang Huang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†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4" w:name="OLE_LINK13"/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Yangyi Yu</w:t>
      </w:r>
      <w:r w:rsidRPr="00046CB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2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Qiang Lian</w:t>
      </w:r>
      <w:bookmarkEnd w:id="4"/>
      <w:r w:rsidRPr="00046CB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2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Yang Liu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Wenfeng Dai</w:t>
      </w:r>
      <w:r w:rsidRPr="00046CB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2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Qisong Liu</w:t>
      </w:r>
      <w:r w:rsidRPr="00046CB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2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Yonghao Pan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Gui-ang Liu</w:t>
      </w:r>
      <w:r w:rsidRPr="00046CB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2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Kai Li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5" w:name="OLE_LINK14"/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Chao Liu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</w:t>
      </w:r>
      <w:bookmarkStart w:id="6" w:name="OLE_LINK28"/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Guangheng Li</w:t>
      </w:r>
      <w:bookmarkEnd w:id="3"/>
      <w:bookmarkEnd w:id="5"/>
      <w:bookmarkEnd w:id="6"/>
      <w:r w:rsidRPr="00046CB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2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</w:p>
    <w:p w14:paraId="66E5CA25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Affiliations:</w:t>
      </w:r>
    </w:p>
    <w:p w14:paraId="1888CC14" w14:textId="77777777" w:rsidR="00922673" w:rsidRDefault="00922673" w:rsidP="0092267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Division of adult joint reconstruction and sports medicine,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46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Orthopedic Surgery</w:t>
      </w:r>
      <w:r w:rsidRPr="00046CBB">
        <w:rPr>
          <w:rFonts w:ascii="Times New Roman" w:hAnsi="Times New Roman" w:cs="Times New Roman"/>
          <w:color w:val="000000" w:themeColor="text1"/>
          <w:sz w:val="24"/>
          <w:szCs w:val="24"/>
        </w:rPr>
        <w:t>, The First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46CBB">
        <w:rPr>
          <w:rFonts w:ascii="Times New Roman" w:hAnsi="Times New Roman" w:cs="Times New Roman"/>
          <w:color w:val="000000" w:themeColor="text1"/>
          <w:sz w:val="24"/>
          <w:szCs w:val="24"/>
        </w:rPr>
        <w:t>Affiliated Hospital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bookmarkStart w:id="7" w:name="OLE_LINK25"/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Shenzhen People's Hospital</w:t>
      </w:r>
      <w:bookmarkEnd w:id="7"/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046CBB">
        <w:rPr>
          <w:rFonts w:ascii="Times New Roman" w:hAnsi="Times New Roman" w:cs="Times New Roman"/>
          <w:color w:val="000000" w:themeColor="text1"/>
          <w:sz w:val="24"/>
          <w:szCs w:val="24"/>
        </w:rPr>
        <w:t>, School of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46CBB">
        <w:rPr>
          <w:rFonts w:ascii="Times New Roman" w:hAnsi="Times New Roman" w:cs="Times New Roman"/>
          <w:color w:val="000000" w:themeColor="text1"/>
          <w:sz w:val="24"/>
          <w:szCs w:val="24"/>
        </w:rPr>
        <w:t>Medicine,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46CBB">
        <w:rPr>
          <w:rFonts w:ascii="Times New Roman" w:hAnsi="Times New Roman" w:cs="Times New Roman"/>
          <w:color w:val="000000" w:themeColor="text1"/>
          <w:sz w:val="24"/>
          <w:szCs w:val="24"/>
        </w:rPr>
        <w:t>Southern University of Science and Technology,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46CBB">
        <w:rPr>
          <w:rFonts w:ascii="Times New Roman" w:hAnsi="Times New Roman" w:cs="Times New Roman"/>
          <w:color w:val="000000" w:themeColor="text1"/>
          <w:sz w:val="24"/>
          <w:szCs w:val="24"/>
        </w:rPr>
        <w:t>Shenzhen, 518055, China</w:t>
      </w:r>
    </w:p>
    <w:p w14:paraId="5309DE8D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CB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Shenzhen Key Laboratory of Musculoskeletal Tissue Reconstruction and Function Restoration, Shenzhen People's Hospital, Guangdong, China </w:t>
      </w:r>
    </w:p>
    <w:p w14:paraId="3CABA568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Department of Pharmacology, School of Medicine, Southern University of Science and Technology, Guangdong, China</w:t>
      </w:r>
    </w:p>
    <w:p w14:paraId="1FF56CFC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Department of Biomedical Engineering, College of Engineering, Southern University of Science and Technolog</w:t>
      </w:r>
      <w:bookmarkStart w:id="8" w:name="_GoBack"/>
      <w:bookmarkEnd w:id="8"/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y, Shenzhen, Guangdong, China</w:t>
      </w:r>
    </w:p>
    <w:p w14:paraId="2562D019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Guangdong Provincial Key Laboratory of Advanced Biomaterials, Southern University of Science and Technology, Shenzhen Guangdong, China</w:t>
      </w:r>
    </w:p>
    <w:p w14:paraId="5AD60CAC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†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Jianqun Wu and Songqiang Huang contributed equally to this work.</w:t>
      </w:r>
    </w:p>
    <w:bookmarkEnd w:id="1"/>
    <w:p w14:paraId="60B10829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*Corresponding author</w:t>
      </w:r>
    </w:p>
    <w:p w14:paraId="0292F965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Guangheng Li, MD, PhD</w:t>
      </w:r>
    </w:p>
    <w:p w14:paraId="5B764BC4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Address: </w:t>
      </w:r>
      <w:bookmarkStart w:id="9" w:name="OLE_LINK23"/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1017 Dongmen North Road, Luohu District, Shenzhen, China</w:t>
      </w:r>
      <w:bookmarkEnd w:id="9"/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, 518020</w:t>
      </w:r>
    </w:p>
    <w:p w14:paraId="64458142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Telephone: +86 13803893279</w:t>
      </w:r>
    </w:p>
    <w:p w14:paraId="597CB6C3" w14:textId="77777777" w:rsidR="00922673" w:rsidRPr="00BD7DB5" w:rsidRDefault="00922673" w:rsidP="00922673">
      <w:pPr>
        <w:spacing w:line="276" w:lineRule="auto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Email: </w:t>
      </w:r>
      <w:bookmarkStart w:id="10" w:name="OLE_LINK6"/>
      <w:r w:rsidRPr="00BD7DB5">
        <w:fldChar w:fldCharType="begin"/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instrText>HYPERLINK "mailto:liguangheng@hotmail.com"</w:instrText>
      </w:r>
      <w:r w:rsidRPr="00BD7DB5">
        <w:fldChar w:fldCharType="separate"/>
      </w:r>
      <w:r w:rsidRPr="00BD7DB5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>liguangheng@hotmail.com</w:t>
      </w:r>
      <w:r w:rsidRPr="00BD7DB5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bookmarkEnd w:id="10"/>
    </w:p>
    <w:p w14:paraId="207C455C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Chao Liu, PhD</w:t>
      </w:r>
    </w:p>
    <w:p w14:paraId="5A7DB130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Address: </w:t>
      </w:r>
      <w:bookmarkStart w:id="11" w:name="OLE_LINK17"/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1088 Xueyuan Avenue, Nanshan District, Shenzhen, China</w:t>
      </w:r>
      <w:bookmarkEnd w:id="11"/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, 518055</w:t>
      </w:r>
    </w:p>
    <w:p w14:paraId="23036551" w14:textId="77777777" w:rsidR="00922673" w:rsidRPr="00BD7DB5" w:rsidRDefault="00922673" w:rsidP="0092267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Telephone: +86 18123891753</w:t>
      </w:r>
    </w:p>
    <w:p w14:paraId="545296F6" w14:textId="77777777" w:rsidR="00922673" w:rsidRPr="00BD7DB5" w:rsidRDefault="00922673" w:rsidP="00922673">
      <w:pPr>
        <w:spacing w:line="276" w:lineRule="auto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Email:  </w:t>
      </w:r>
      <w:bookmarkStart w:id="12" w:name="OLE_LINK22"/>
      <w:r w:rsidRPr="00BD7DB5">
        <w:fldChar w:fldCharType="begin"/>
      </w:r>
      <w:r w:rsidRPr="00BD7DB5">
        <w:rPr>
          <w:rFonts w:ascii="Times New Roman" w:hAnsi="Times New Roman" w:cs="Times New Roman"/>
        </w:rPr>
        <w:instrText>HYPERLINK "mailto:liuc33@sustech.edu.cn"</w:instrText>
      </w:r>
      <w:r w:rsidRPr="00BD7DB5">
        <w:fldChar w:fldCharType="separate"/>
      </w:r>
      <w:r w:rsidRPr="00BD7DB5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>liuc33@sustech.edu.cn</w:t>
      </w:r>
      <w:r w:rsidRPr="00BD7DB5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bookmarkEnd w:id="12"/>
    </w:p>
    <w:p w14:paraId="060F44BE" w14:textId="77777777" w:rsidR="00922673" w:rsidRDefault="00922673">
      <w:pPr>
        <w:widowControl/>
        <w:jc w:val="left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en-US"/>
        </w:rPr>
      </w:pPr>
      <w:r>
        <w:rPr>
          <w:b/>
          <w:color w:val="000000" w:themeColor="text1"/>
        </w:rPr>
        <w:br w:type="page"/>
      </w:r>
    </w:p>
    <w:p w14:paraId="1F61269B" w14:textId="7FDE166D" w:rsidR="005C23B1" w:rsidRPr="00C81885" w:rsidRDefault="005C23B1" w:rsidP="00505906">
      <w:pPr>
        <w:pStyle w:val="Paragraph"/>
        <w:spacing w:line="276" w:lineRule="auto"/>
        <w:ind w:firstLine="0"/>
        <w:rPr>
          <w:b/>
          <w:color w:val="000000" w:themeColor="text1"/>
        </w:rPr>
      </w:pPr>
      <w:r w:rsidRPr="00C81885">
        <w:rPr>
          <w:b/>
          <w:color w:val="000000" w:themeColor="text1"/>
        </w:rPr>
        <w:lastRenderedPageBreak/>
        <w:t>List of Supplementary Materials</w:t>
      </w:r>
    </w:p>
    <w:p w14:paraId="6D12C7C5" w14:textId="77777777" w:rsidR="005C23B1" w:rsidRDefault="005C23B1" w:rsidP="00505906">
      <w:pPr>
        <w:pStyle w:val="Paragraph"/>
        <w:spacing w:line="276" w:lineRule="auto"/>
        <w:ind w:firstLine="0"/>
        <w:rPr>
          <w:b/>
          <w:bCs/>
          <w:color w:val="000000" w:themeColor="text1"/>
        </w:rPr>
      </w:pPr>
      <w:r w:rsidRPr="005C23B1">
        <w:rPr>
          <w:b/>
          <w:bCs/>
          <w:color w:val="000000" w:themeColor="text1"/>
        </w:rPr>
        <w:t>Materials and Methods</w:t>
      </w:r>
    </w:p>
    <w:p w14:paraId="0486CB01" w14:textId="6C58CC8B" w:rsidR="005C23B1" w:rsidRPr="005C23B1" w:rsidRDefault="005C23B1" w:rsidP="00505906">
      <w:pPr>
        <w:pStyle w:val="Paragraph"/>
        <w:spacing w:line="276" w:lineRule="auto"/>
        <w:ind w:firstLine="0"/>
        <w:rPr>
          <w:b/>
          <w:bCs/>
          <w:color w:val="000000" w:themeColor="text1"/>
        </w:rPr>
      </w:pPr>
      <w:r w:rsidRPr="005C23B1">
        <w:rPr>
          <w:b/>
          <w:bCs/>
          <w:color w:val="000000" w:themeColor="text1"/>
        </w:rPr>
        <w:t>Fig S1 to S</w:t>
      </w:r>
      <w:r w:rsidR="003D50DB">
        <w:rPr>
          <w:rFonts w:eastAsiaTheme="minorEastAsia" w:hint="eastAsia"/>
          <w:b/>
          <w:bCs/>
          <w:color w:val="000000" w:themeColor="text1"/>
          <w:lang w:eastAsia="zh-CN"/>
        </w:rPr>
        <w:t>6</w:t>
      </w:r>
      <w:r w:rsidRPr="005C23B1">
        <w:rPr>
          <w:b/>
          <w:bCs/>
          <w:color w:val="000000" w:themeColor="text1"/>
        </w:rPr>
        <w:t xml:space="preserve"> for multiple supplementary figures</w:t>
      </w:r>
    </w:p>
    <w:p w14:paraId="42269159" w14:textId="77777777" w:rsidR="005C23B1" w:rsidRDefault="005C23B1" w:rsidP="00505906">
      <w:pPr>
        <w:pStyle w:val="Paragraph"/>
        <w:spacing w:line="276" w:lineRule="auto"/>
        <w:ind w:firstLine="0"/>
        <w:rPr>
          <w:b/>
          <w:bCs/>
          <w:color w:val="000000" w:themeColor="text1"/>
        </w:rPr>
      </w:pPr>
      <w:r w:rsidRPr="005C23B1">
        <w:rPr>
          <w:b/>
          <w:bCs/>
          <w:color w:val="000000" w:themeColor="text1"/>
        </w:rPr>
        <w:t>Tables S1 to S2 for multiple supplementary tables</w:t>
      </w:r>
    </w:p>
    <w:p w14:paraId="4F7F8885" w14:textId="77777777" w:rsidR="005C23B1" w:rsidRDefault="005C23B1" w:rsidP="00505906">
      <w:pPr>
        <w:pStyle w:val="Paragraph"/>
        <w:spacing w:line="276" w:lineRule="auto"/>
        <w:ind w:firstLine="0"/>
        <w:rPr>
          <w:b/>
          <w:bCs/>
          <w:color w:val="000000" w:themeColor="text1"/>
        </w:rPr>
      </w:pPr>
      <w:r w:rsidRPr="005C23B1">
        <w:rPr>
          <w:b/>
          <w:bCs/>
          <w:color w:val="000000" w:themeColor="text1"/>
        </w:rPr>
        <w:t>Materials and Methods</w:t>
      </w:r>
    </w:p>
    <w:p w14:paraId="59FD300E" w14:textId="77777777" w:rsidR="006C3B77" w:rsidRPr="00BD7DB5" w:rsidRDefault="006C3B77" w:rsidP="006C3B77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ADSCs and SDSCs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</w:t>
      </w:r>
      <w:r w:rsidRPr="00A915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low-cytometric analysis</w:t>
      </w:r>
      <w:r w:rsidRPr="00BD7D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6FB5873A" w14:textId="5BB4AB3D" w:rsidR="006C3B77" w:rsidRPr="006C3B77" w:rsidRDefault="006C3B77" w:rsidP="006C3B77">
      <w:pPr>
        <w:spacing w:line="276" w:lineRule="auto"/>
        <w:ind w:firstLineChars="15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For flow cytometric analysis, 1×10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6 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P3 collected and resuspended in 100μl flow cytometric staining buffer within tubes. Subsequently, 5 μl antibody of CD44, CD90, CD29, CD34, CD45 and CD19 were added to the tube and incubated for 30 min at 4℃. One tube without antibodies as a blank control. Finally, these cells were centrifuged at 1500 rpm for 5 min and resuspended with 500 ml PBS for flow cytometric analysis by BD FACSCalibur (BD Biosciences). </w:t>
      </w:r>
    </w:p>
    <w:p w14:paraId="4F3F5805" w14:textId="2424AFBC" w:rsidR="005853FF" w:rsidRPr="00BD7DB5" w:rsidRDefault="005853FF" w:rsidP="005853FF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Osteogenic, adipogenic, chondrogenic differentiation of SDSCs and ADSCs </w:t>
      </w:r>
    </w:p>
    <w:p w14:paraId="4C209B9F" w14:textId="59C676F6" w:rsidR="005853FF" w:rsidRPr="00505906" w:rsidRDefault="005853FF" w:rsidP="005853FF">
      <w:pPr>
        <w:spacing w:line="276" w:lineRule="auto"/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Chondrocytes were cultured in 24-well plate at density of 2500 cells/cm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differentiation medium. The osteogenic differentiation medium containing 0.1 mmol/L dexamethasone, 50 mg/ml </w:t>
      </w:r>
      <w:r w:rsidRPr="00505906">
        <w:rPr>
          <w:rFonts w:ascii="Times New Roman" w:hAnsi="Times New Roman" w:cs="Times New Roman"/>
          <w:sz w:val="24"/>
          <w:szCs w:val="24"/>
        </w:rPr>
        <w:t>ascorbate and 10 mmol/L β-glycerophosphate. Adipogenic differentiation medium containing 1 mmol/L dexamethasone, 1 mmol/L rosiglitazone, 10 mg/ ml insulin and 0.5 mmol/L IBMX; Chondrogenic differentiation medium containing 0.1μM dexamethasone, 100 μg/ml sodium pyruvate, 40 μg/ml L-proline, 50 μg/ml L-ascorbic acid, 50 mg/ml ITS,10 ng/ml TGFβ3</w:t>
      </w:r>
      <w:r w:rsidRPr="00505906">
        <w:rPr>
          <w:rFonts w:ascii="Times New Roman" w:hAnsi="Times New Roman" w:cs="Times New Roman"/>
          <w:sz w:val="24"/>
          <w:szCs w:val="24"/>
        </w:rPr>
        <w:fldChar w:fldCharType="begin"/>
      </w:r>
      <w:r w:rsidRPr="00505906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&lt;EndNote&gt;&lt;Cite&gt;&lt;Author&gt;Perrin&lt;/Author&gt;&lt;Year&gt;2021&lt;/Year&gt;&lt;RecNum&gt;408&lt;/RecNum&gt;&lt;DisplayText&gt;&lt;style face="superscript"&gt;1&lt;/style&gt;&lt;/DisplayText&gt;&lt;record&gt;&lt;rec-number&gt;408&lt;/rec-number&gt;&lt;foreign-keys&gt;&lt;key app="EN" db-id="sdar2s05vasxaderzw7vfzfezzxxz0522t09" timestamp="1693641461"&gt;408&lt;/key&gt;&lt;/foreign-keys&gt;&lt;ref-type name="Journal Article"&gt;17&lt;/ref-type&gt;&lt;contributors&gt;&lt;authors&gt;&lt;author&gt;Perrin, S.&lt;/author&gt;&lt;author&gt;Julien, A.&lt;/author&gt;&lt;author&gt;de Lageneste, O. D.&lt;/author&gt;&lt;author&gt;Abou-Khalil, R.&lt;/author&gt;&lt;author&gt;Colnot, C.&lt;/author&gt;&lt;/authors&gt;&lt;/contributors&gt;&lt;auth-address&gt;Univ Paris Est Creteil, INSERM, IMRB, F-94010 Creteil, France.&amp;#xD;Center of Excellence for Biomedicine, Joint Centers of Excellence Program, King Abdulaziz City for Science and Technology (KACST), Riyadh, Saudi Arabia.&lt;/auth-address&gt;&lt;titles&gt;&lt;title&gt;Mouse Periosteal Cell Culture, in vitro Differentiation, and in vivo Transplantationin Tibial Fractures&lt;/title&gt;&lt;secondary-title&gt;Bio Protoc&lt;/secondary-title&gt;&lt;/titles&gt;&lt;periodical&gt;&lt;full-title&gt;Bio Protoc&lt;/full-title&gt;&lt;/periodical&gt;&lt;pages&gt;e4107&lt;/pages&gt;&lt;volume&gt;11&lt;/volume&gt;&lt;number&gt;15&lt;/number&gt;&lt;edition&gt;2021/08/31&lt;/edition&gt;&lt;keywords&gt;&lt;keyword&gt;Bone regeneration&lt;/keyword&gt;&lt;keyword&gt;In vitro differentiation&lt;/keyword&gt;&lt;keyword&gt;In vivo cell transplantation&lt;/keyword&gt;&lt;keyword&gt;Periosteum&lt;/keyword&gt;&lt;keyword&gt;Skeletal stem/progenitor cell&lt;/keyword&gt;&lt;/keywords&gt;&lt;dates&gt;&lt;year&gt;2021&lt;/year&gt;&lt;pub-dates&gt;&lt;date&gt;Aug 5&lt;/date&gt;&lt;/pub-dates&gt;&lt;/dates&gt;&lt;isbn&gt;2331-8325&lt;/isbn&gt;&lt;accession-num&gt;34458401&lt;/accession-num&gt;&lt;urls&gt;&lt;/urls&gt;&lt;custom2&gt;PMC8376579&lt;/custom2&gt;&lt;electronic-resource-num&gt;10.21769/BioProtoc.4107&lt;/electronic-resource-num&gt;&lt;remote-database-provider&gt;NLM&lt;/remote-database-provider&gt;&lt;language&gt;eng&lt;/language&gt;&lt;/record&gt;&lt;/Cite&gt;&lt;/EndNote&gt;</w:instrText>
      </w:r>
      <w:r w:rsidRPr="00505906">
        <w:rPr>
          <w:rFonts w:ascii="Times New Roman" w:hAnsi="Times New Roman" w:cs="Times New Roman"/>
          <w:sz w:val="24"/>
          <w:szCs w:val="24"/>
        </w:rPr>
        <w:fldChar w:fldCharType="separate"/>
      </w:r>
      <w:r w:rsidRPr="00505906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505906">
        <w:rPr>
          <w:rFonts w:ascii="Times New Roman" w:hAnsi="Times New Roman" w:cs="Times New Roman"/>
          <w:sz w:val="24"/>
          <w:szCs w:val="24"/>
        </w:rPr>
        <w:fldChar w:fldCharType="end"/>
      </w:r>
      <w:r w:rsidRPr="00505906">
        <w:rPr>
          <w:rFonts w:ascii="Times New Roman" w:hAnsi="Times New Roman" w:cs="Times New Roman"/>
          <w:sz w:val="24"/>
          <w:szCs w:val="24"/>
        </w:rPr>
        <w:t>. Differentiation media were changed 2-3 day and induction until 14 days, cells were stained with oil red O, alcian blu and alizarin red staining, followed by microscopy observation.</w:t>
      </w:r>
    </w:p>
    <w:p w14:paraId="0B09BEE0" w14:textId="77777777" w:rsidR="00D130B9" w:rsidRPr="00BD7DB5" w:rsidRDefault="00D130B9" w:rsidP="00D130B9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Cell immunofluorescence</w:t>
      </w:r>
    </w:p>
    <w:p w14:paraId="0FEC4C6D" w14:textId="77777777" w:rsidR="00D130B9" w:rsidRDefault="00D130B9" w:rsidP="00D130B9">
      <w:pPr>
        <w:spacing w:line="276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Briefly, cells in plates were fixed in 4% paraformaldehyde (PFA) for 20min, permeabilized with 0.5% triton for 5 min, and then blocked with 1% BSA containing 0.05% Triton X for 30 min. Cells were incubated</w:t>
      </w:r>
      <w:r w:rsidRPr="00BD7D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with primary antibodies (Ki67, Col2, MMP13, LC3-II) at 4 °C overnight. Subsequently, the cells were washed three times with PBS and incubated with secondary antibodies. All primary and secondary antibodies were listed in extended data table 2. Immunofluorescence visualization was performed using a confocal microscope (Carl Zeiss, Germany). Each experiment was conducted in triplicate, and representative images were displayed.</w:t>
      </w:r>
    </w:p>
    <w:p w14:paraId="68B8FED9" w14:textId="77777777" w:rsidR="005853FF" w:rsidRPr="00BD7DB5" w:rsidRDefault="005853FF" w:rsidP="005853FF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Enzyme</w:t>
      </w:r>
      <w:r w:rsidRPr="00BD7D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noBreakHyphen/>
        <w:t>linked immunosorbent assay</w:t>
      </w:r>
    </w:p>
    <w:p w14:paraId="1C15B4EF" w14:textId="77777777" w:rsidR="005853FF" w:rsidRPr="00BD7DB5" w:rsidRDefault="005853FF" w:rsidP="005853FF">
      <w:pPr>
        <w:spacing w:line="276" w:lineRule="auto"/>
        <w:ind w:firstLineChars="15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The concentration of IL-1β, IL-10, TNFα in the coculture medium were measured using a human specific enzyme-linked immunosorbent assay (ELISA) kit (R&amp;D Systems, Abcam, R&amp;D Systems) according to the manufacturer’s instructions. Absorbance measurements were taken with a microplate reader at a wavelength of 450 nm, and the results were compared to a standard curve.</w:t>
      </w:r>
    </w:p>
    <w:p w14:paraId="0290CEC9" w14:textId="77777777" w:rsidR="005853FF" w:rsidRPr="00BD7DB5" w:rsidRDefault="005853FF" w:rsidP="005853FF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MDC staining</w:t>
      </w:r>
    </w:p>
    <w:p w14:paraId="0859B1A4" w14:textId="1E0A8297" w:rsidR="005853FF" w:rsidRDefault="005853FF" w:rsidP="005853FF">
      <w:pPr>
        <w:spacing w:line="276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After treatments described in the research design, primary chondrocytes were incubated with 0.05 mM MDC for 20 min at 37℃, as reported in a previous study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675188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&lt;EndNote&gt;&lt;Cite&gt;&lt;Author&gt;Jiang&lt;/Author&gt;&lt;Year&gt;2016&lt;/Year&gt;&lt;RecNum&gt;338&lt;/RecNum&gt;&lt;DisplayText&gt;&lt;style face="superscript"&gt;2&lt;/style&gt;&lt;/DisplayText&gt;&lt;record&gt;&lt;rec-number&gt;338&lt;/rec-number&gt;&lt;foreign-keys&gt;&lt;key app="EN" db-id="sdar2s05vasxaderzw7vfzfezzxxz0522t09" timestamp="1682057316"&gt;338&lt;/key&gt;&lt;/foreign-keys&gt;&lt;ref-type name="Journal Article"&gt;17&lt;/ref-type&gt;&lt;contributors&gt;&lt;authors&gt;&lt;author&gt;Jiang, L. B.&lt;/author&gt;&lt;author&gt;Lee, S.&lt;/author&gt;&lt;author&gt;Wang, Y.&lt;/author&gt;&lt;author&gt;Xu, Q. T.&lt;/author&gt;&lt;author&gt;Meng, D. H.&lt;/author&gt;&lt;author&gt;Zhang, J.&lt;/author&gt;&lt;/authors&gt;&lt;/contributors&gt;&lt;auth-address&gt;Department of Orthopedic Surgery, Zhongshan Hospital, Fudan University, Shanghai, China.&amp;#xD;Department of Orthopedic Surgery, Zhongshan Hospital, Fudan University, Shanghai, China. Electronic address: zhang.jian@zs-hospital.sh.cn.&lt;/auth-address&gt;&lt;titles&gt;&lt;title&gt;Adipose-derived stem cells induce autophagic activation and inhibit catabolic response to pro-inflammatory cytokines in rat chondrocytes&lt;/title&gt;&lt;secondary-title&gt;Osteoarthritis Cartilage&lt;/secondary-title&gt;&lt;/titles&gt;&lt;periodical&gt;&lt;full-title&gt;Osteoarthritis Cartilage&lt;/full-title&gt;&lt;/periodical&gt;&lt;pages&gt;1071-81&lt;/pages&gt;&lt;volume&gt;24&lt;/volume&gt;&lt;number&gt;6&lt;/number&gt;&lt;edition&gt;2016/01/19&lt;/edition&gt;&lt;keywords&gt;&lt;keyword&gt;Animals&lt;/keyword&gt;&lt;keyword&gt;Cells, Cultured&lt;/keyword&gt;&lt;keyword&gt;*Chondrocytes&lt;/keyword&gt;&lt;keyword&gt;Cytokines&lt;/keyword&gt;&lt;keyword&gt;Rats&lt;/keyword&gt;&lt;keyword&gt;Rats, Sprague-Dawley&lt;/keyword&gt;&lt;keyword&gt;Stem Cells&lt;/keyword&gt;&lt;keyword&gt;Adipose-derived stem cells&lt;/keyword&gt;&lt;keyword&gt;Autophagy&lt;/keyword&gt;&lt;keyword&gt;Chondrocyte&lt;/keyword&gt;&lt;keyword&gt;Il-1β&lt;/keyword&gt;&lt;keyword&gt;mTOR&lt;/keyword&gt;&lt;/keywords&gt;&lt;dates&gt;&lt;year&gt;2016&lt;/year&gt;&lt;pub-dates&gt;&lt;date&gt;Jun&lt;/date&gt;&lt;/pub-dates&gt;&lt;/dates&gt;&lt;isbn&gt;1063-4584&lt;/isbn&gt;&lt;accession-num&gt;26778531&lt;/accession-num&gt;&lt;urls&gt;&lt;/urls&gt;&lt;electronic-resource-num&gt;10.1016/j.joca.2015.12.021&lt;/electronic-resource-num&gt;&lt;remote-database-provider&gt;NLM&lt;/remote-database-provider&gt;&lt;language&gt;eng&lt;/language&gt;&lt;/record&gt;&lt;/Cite&gt;&lt;/EndNote&gt;</w:instrTex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675188" w:rsidRPr="00675188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t>2</w:t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. After washed with PBS for three times, immunofluorescence visualization was performed using confocal microscope and representative images were shown.</w:t>
      </w:r>
    </w:p>
    <w:p w14:paraId="6D09AAE6" w14:textId="77777777" w:rsidR="006C3B77" w:rsidRPr="00BD7DB5" w:rsidRDefault="006C3B77" w:rsidP="006C3B77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3" w:name="_Hlk146980488"/>
      <w:r w:rsidRPr="00BD7D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Western blotting</w:t>
      </w:r>
    </w:p>
    <w:bookmarkEnd w:id="13"/>
    <w:p w14:paraId="26EE26F4" w14:textId="77777777" w:rsidR="006C3B77" w:rsidRPr="00BD7DB5" w:rsidRDefault="006C3B77" w:rsidP="006C3B77">
      <w:pPr>
        <w:spacing w:line="276" w:lineRule="auto"/>
        <w:ind w:firstLineChars="15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color w:val="000000" w:themeColor="text1"/>
          <w:sz w:val="24"/>
          <w:szCs w:val="24"/>
        </w:rPr>
        <w:t>Total protein from chondrocytes was extracted using RIPA buffer and 1 mM PMSF. proteins were separated by sodium dodecyl sulfate-polyacrylamide gel electrophoresis (SDS-PAGE) and subsequently transferred by electroblotting to polyvinylidene difluoride (PVDF) membranes. These membranes were blocked with 5% BSA and incubated with primary antibodies (GAPDH, Col2, MMP13, LC3-II, p62, p-FoxO1, t-FoxO1, p-FoxO3, t-FoxO3) at 4℃ overnight. Then membranes were washed with TBST for three times, and incubated in homologous HRP-conjugated secondary antibodies. The intensity of chemiluminescence bands was detected using image analysis software.</w:t>
      </w:r>
      <w:bookmarkStart w:id="14" w:name="OLE_LINK4"/>
    </w:p>
    <w:bookmarkEnd w:id="14"/>
    <w:p w14:paraId="5559211C" w14:textId="524945E1" w:rsidR="005C23B1" w:rsidRPr="005C23B1" w:rsidRDefault="005C23B1" w:rsidP="005C23B1">
      <w:pPr>
        <w:pStyle w:val="Paragraph"/>
        <w:spacing w:line="480" w:lineRule="auto"/>
        <w:ind w:firstLine="0"/>
        <w:rPr>
          <w:b/>
          <w:bCs/>
          <w:color w:val="000000" w:themeColor="text1"/>
        </w:rPr>
      </w:pPr>
      <w:r w:rsidRPr="005C23B1">
        <w:rPr>
          <w:b/>
          <w:bCs/>
          <w:color w:val="000000" w:themeColor="text1"/>
        </w:rPr>
        <w:t>Fig S1 to S</w:t>
      </w:r>
      <w:r w:rsidR="00922673">
        <w:rPr>
          <w:b/>
          <w:bCs/>
          <w:color w:val="000000" w:themeColor="text1"/>
        </w:rPr>
        <w:t>5</w:t>
      </w:r>
      <w:r w:rsidRPr="005C23B1">
        <w:rPr>
          <w:b/>
          <w:bCs/>
          <w:color w:val="000000" w:themeColor="text1"/>
        </w:rPr>
        <w:t xml:space="preserve"> for multiple supplementary figures</w:t>
      </w:r>
    </w:p>
    <w:p w14:paraId="6F44C497" w14:textId="524F86B2" w:rsidR="008E62AD" w:rsidRPr="00C81885" w:rsidRDefault="00183788" w:rsidP="00C94DB1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5BBE073B" wp14:editId="67B30580">
            <wp:extent cx="5274310" cy="3902075"/>
            <wp:effectExtent l="0" t="0" r="0" b="0"/>
            <wp:docPr id="7629213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0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6CC5E" w14:textId="77777777" w:rsidR="008E62AD" w:rsidRDefault="008E62AD" w:rsidP="0019757A">
      <w:pPr>
        <w:spacing w:line="276" w:lineRule="auto"/>
        <w:ind w:firstLineChars="50" w:firstLine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1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Supplementary Fig.1. Preparation of CC, ADSCs and SDSCs. A, CC, ADSCs, SDSCs exhibited a representative spindle-like morphology (scale bar: 50 μm). B, SDSCs and ADSCs showed multi-potential differentiation capacity for osteogenesis, adipogenesis and chondrogenesis (scale bar: 50 μm). C, Flow cytometric analysis of </w:t>
      </w:r>
      <w:r w:rsidRPr="00C8188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characteristic cell surface markers of SDSC and ADSCs. </w:t>
      </w:r>
    </w:p>
    <w:p w14:paraId="6796826B" w14:textId="08403E26" w:rsidR="004F2BCC" w:rsidRDefault="00183788" w:rsidP="0019757A">
      <w:pPr>
        <w:spacing w:line="276" w:lineRule="auto"/>
        <w:ind w:firstLineChars="50" w:firstLine="105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54B5EA46" wp14:editId="29AAE2C3">
            <wp:extent cx="5165766" cy="4469202"/>
            <wp:effectExtent l="0" t="0" r="0" b="0"/>
            <wp:docPr id="18750653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647" cy="4469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81DF1" w14:textId="77777777" w:rsidR="004F2BCC" w:rsidRDefault="004F2BCC" w:rsidP="004F2BCC">
      <w:pPr>
        <w:spacing w:line="276" w:lineRule="auto"/>
        <w:ind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1885">
        <w:rPr>
          <w:rFonts w:ascii="Times New Roman" w:hAnsi="Times New Roman" w:cs="Times New Roman"/>
          <w:color w:val="000000" w:themeColor="text1"/>
          <w:sz w:val="24"/>
          <w:szCs w:val="24"/>
        </w:rPr>
        <w:t>Supplementary Fig.2. Evaluation of cartilage regeneration of the pellet of chondrocytes, ADSCs and SDSCs. A, Schematic illustration of chondrocytes, ADSC and SDSC pellet co-culture. B, the chondrocytes pellet of gross view and quantitative analysis of diameter(C). D, Safranin O, alcian blue and immunohistochemical staining for Col2.</w:t>
      </w:r>
    </w:p>
    <w:p w14:paraId="094A004C" w14:textId="64640C26" w:rsidR="00BD10AC" w:rsidRPr="00C81885" w:rsidRDefault="00183788" w:rsidP="00BD10A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3B0250DB" wp14:editId="50092BE5">
            <wp:extent cx="5274310" cy="2351405"/>
            <wp:effectExtent l="0" t="0" r="0" b="0"/>
            <wp:docPr id="9134022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5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A2206" w14:textId="1977FA34" w:rsidR="00BD10AC" w:rsidRDefault="00BD10AC" w:rsidP="00BD10AC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1885">
        <w:rPr>
          <w:rFonts w:ascii="Times New Roman" w:hAnsi="Times New Roman" w:cs="Times New Roman"/>
          <w:color w:val="000000" w:themeColor="text1"/>
          <w:sz w:val="24"/>
          <w:szCs w:val="24"/>
        </w:rPr>
        <w:t>Supplementary Fig.</w:t>
      </w:r>
      <w:r w:rsidR="004F2BC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</w:t>
      </w:r>
      <w:r w:rsidRPr="00C81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A, B, Detection of viability fNP incubation ADSCs and SDSCs by CCK-8 assay. </w:t>
      </w:r>
      <w:r w:rsidR="005B550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 w:rsidRPr="00C81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Immunohistochemical staining of anti-human nuclear antigen in </w:t>
      </w:r>
      <w:r w:rsidRPr="00C8188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human skin tissue. </w:t>
      </w:r>
      <w:r w:rsidR="005B550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</w:t>
      </w:r>
      <w:r w:rsidRPr="00C81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Immunohistochemical staining of anti-human nuclear antigen in </w:t>
      </w:r>
      <w:r w:rsidR="005B550B" w:rsidRPr="0093618C">
        <w:rPr>
          <w:rFonts w:ascii="Times New Roman" w:hAnsi="Times New Roman" w:cs="Times New Roman"/>
          <w:color w:val="000000" w:themeColor="text1"/>
          <w:sz w:val="24"/>
          <w:szCs w:val="24"/>
        </w:rPr>
        <w:t>fNP-ADSCs or SDSCs in knee at 12 weeks</w:t>
      </w:r>
      <w:r w:rsidR="005B550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="005B550B" w:rsidRPr="00C81885">
        <w:rPr>
          <w:rFonts w:ascii="Times New Roman" w:hAnsi="Times New Roman" w:cs="Times New Roman"/>
          <w:color w:val="000000" w:themeColor="text1"/>
          <w:sz w:val="24"/>
          <w:szCs w:val="24"/>
        </w:rPr>
        <w:t>the fNPs only in OA knee at 4 weeks after injection.</w:t>
      </w:r>
    </w:p>
    <w:p w14:paraId="2C43F2C1" w14:textId="61E9FCB6" w:rsidR="00B75AAF" w:rsidRPr="00C81885" w:rsidRDefault="00183788" w:rsidP="00B75AA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4495D904" wp14:editId="71C0BF6A">
            <wp:extent cx="3760206" cy="3502614"/>
            <wp:effectExtent l="0" t="0" r="0" b="0"/>
            <wp:docPr id="4712553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400" cy="3506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4A6BC" w14:textId="47EB68DE" w:rsidR="00B75AAF" w:rsidRDefault="00B75AAF" w:rsidP="00B75AAF">
      <w:pPr>
        <w:spacing w:line="276" w:lineRule="auto"/>
        <w:ind w:firstLineChars="100" w:firstLine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1885">
        <w:rPr>
          <w:rFonts w:ascii="Times New Roman" w:hAnsi="Times New Roman" w:cs="Times New Roman"/>
          <w:color w:val="000000" w:themeColor="text1"/>
          <w:sz w:val="24"/>
          <w:szCs w:val="24"/>
        </w:rPr>
        <w:t>Supplementary Fig.</w:t>
      </w:r>
      <w:r w:rsidR="004F2BC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81885">
        <w:rPr>
          <w:rFonts w:ascii="Times New Roman" w:hAnsi="Times New Roman" w:cs="Times New Roman"/>
          <w:color w:val="000000" w:themeColor="text1"/>
          <w:sz w:val="24"/>
          <w:szCs w:val="24"/>
        </w:rPr>
        <w:t>The rats developed mild OA at 4 weeks after pMMx. A and B, The gross view and Safranin O/Fast green staining of knee at 4 weeks.</w:t>
      </w:r>
    </w:p>
    <w:p w14:paraId="0078BAC8" w14:textId="45751436" w:rsidR="005B550B" w:rsidRDefault="00183788" w:rsidP="00183788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1FD82D7D" wp14:editId="151F2750">
            <wp:extent cx="5100452" cy="6741826"/>
            <wp:effectExtent l="0" t="0" r="0" b="0"/>
            <wp:docPr id="196346366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86"/>
                    <a:stretch/>
                  </pic:blipFill>
                  <pic:spPr bwMode="auto">
                    <a:xfrm>
                      <a:off x="0" y="0"/>
                      <a:ext cx="5102898" cy="6745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6CA0C" w14:textId="1A1B2376" w:rsidR="00922673" w:rsidRDefault="008E62A6" w:rsidP="008E62A6">
      <w:pPr>
        <w:spacing w:line="276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81885">
        <w:rPr>
          <w:rFonts w:ascii="Times New Roman" w:hAnsi="Times New Roman" w:cs="Times New Roman"/>
          <w:color w:val="000000" w:themeColor="text1"/>
          <w:sz w:val="24"/>
          <w:szCs w:val="24"/>
        </w:rPr>
        <w:t>Supplementary Fig.</w:t>
      </w:r>
      <w:r w:rsidR="004F2BC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F36FFD">
        <w:rPr>
          <w:rStyle w:val="tran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combination of </w:t>
      </w:r>
      <w:r w:rsidRPr="00F36FFD">
        <w:rPr>
          <w:rFonts w:ascii="Times New Roman" w:hAnsi="Times New Roman" w:cs="Times New Roman"/>
          <w:sz w:val="24"/>
          <w:szCs w:val="24"/>
        </w:rPr>
        <w:t xml:space="preserve">ADSCs and SDSCs </w:t>
      </w:r>
      <w:r>
        <w:rPr>
          <w:rFonts w:ascii="Times New Roman" w:hAnsi="Times New Roman" w:cs="Times New Roman"/>
          <w:sz w:val="24"/>
          <w:szCs w:val="24"/>
        </w:rPr>
        <w:t xml:space="preserve">in equal amounts </w:t>
      </w:r>
      <w:r w:rsidRPr="00F36FFD">
        <w:rPr>
          <w:rFonts w:ascii="Times New Roman" w:hAnsi="Times New Roman" w:cs="Times New Roman"/>
          <w:sz w:val="24"/>
          <w:szCs w:val="24"/>
        </w:rPr>
        <w:t>improved the gait, pain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36FFD">
        <w:rPr>
          <w:rFonts w:ascii="Times New Roman" w:hAnsi="Times New Roman" w:cs="Times New Roman"/>
          <w:sz w:val="24"/>
          <w:szCs w:val="24"/>
        </w:rPr>
        <w:t xml:space="preserve"> and subchondral bone changes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F36FFD">
        <w:rPr>
          <w:rFonts w:ascii="Times New Roman" w:hAnsi="Times New Roman" w:cs="Times New Roman"/>
          <w:sz w:val="24"/>
          <w:szCs w:val="24"/>
        </w:rPr>
        <w:t xml:space="preserve"> early and advanced OA. A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F36F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F36FFD">
        <w:rPr>
          <w:rFonts w:ascii="Times New Roman" w:hAnsi="Times New Roman" w:cs="Times New Roman"/>
          <w:sz w:val="24"/>
          <w:szCs w:val="24"/>
        </w:rPr>
        <w:t>chematic illustration of intra-injection of ADS</w:t>
      </w:r>
      <w:r w:rsidR="004D141D"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36FFD">
        <w:rPr>
          <w:rFonts w:ascii="Times New Roman" w:hAnsi="Times New Roman" w:cs="Times New Roman"/>
          <w:sz w:val="24"/>
          <w:szCs w:val="24"/>
        </w:rPr>
        <w:t xml:space="preserve"> and SDSC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36FFD">
        <w:rPr>
          <w:rFonts w:ascii="Times New Roman" w:hAnsi="Times New Roman" w:cs="Times New Roman"/>
          <w:sz w:val="24"/>
          <w:szCs w:val="24"/>
        </w:rPr>
        <w:t xml:space="preserve"> for OA therapy. B, C,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F36FFD">
        <w:rPr>
          <w:rFonts w:ascii="Times New Roman" w:hAnsi="Times New Roman" w:cs="Times New Roman"/>
          <w:sz w:val="24"/>
          <w:szCs w:val="24"/>
        </w:rPr>
        <w:t>he representative signal images of gait and evaluate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36FFD">
        <w:rPr>
          <w:rFonts w:ascii="Times New Roman" w:hAnsi="Times New Roman" w:cs="Times New Roman"/>
          <w:sz w:val="24"/>
          <w:szCs w:val="24"/>
        </w:rPr>
        <w:t xml:space="preserve"> mean of print area and pressure intensity</w:t>
      </w:r>
      <w:r w:rsidRPr="00147377">
        <w:rPr>
          <w:rFonts w:ascii="Times New Roman" w:hAnsi="Times New Roman" w:cs="Times New Roman"/>
          <w:color w:val="FF0000"/>
          <w:sz w:val="24"/>
          <w:szCs w:val="24"/>
        </w:rPr>
        <w:t>.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F36FF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F36FFD">
        <w:rPr>
          <w:rFonts w:ascii="Times New Roman" w:hAnsi="Times New Roman" w:cs="Times New Roman"/>
          <w:sz w:val="24"/>
          <w:szCs w:val="24"/>
        </w:rPr>
        <w:t xml:space="preserve">echanical pain thresholds from 4 </w:t>
      </w:r>
      <w:r>
        <w:rPr>
          <w:rFonts w:ascii="Times New Roman" w:hAnsi="Times New Roman" w:cs="Times New Roman"/>
          <w:sz w:val="24"/>
          <w:szCs w:val="24"/>
        </w:rPr>
        <w:t xml:space="preserve">weeks </w:t>
      </w:r>
      <w:r w:rsidRPr="00F36FFD">
        <w:rPr>
          <w:rFonts w:ascii="Times New Roman" w:hAnsi="Times New Roman" w:cs="Times New Roman"/>
          <w:sz w:val="24"/>
          <w:szCs w:val="24"/>
        </w:rPr>
        <w:t>to 20 weeks by von Frey test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14737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F, </w:t>
      </w:r>
      <w:r w:rsidRPr="00147377">
        <w:rPr>
          <w:rFonts w:ascii="Times New Roman" w:hAnsi="Times New Roman" w:cs="Times New Roman"/>
          <w:color w:val="FF0000"/>
          <w:sz w:val="24"/>
          <w:szCs w:val="24"/>
        </w:rPr>
        <w:t>CGRP+</w:t>
      </w:r>
      <w:r w:rsidRPr="00F36FFD">
        <w:rPr>
          <w:rFonts w:ascii="Times New Roman" w:hAnsi="Times New Roman" w:cs="Times New Roman"/>
          <w:sz w:val="24"/>
          <w:szCs w:val="24"/>
        </w:rPr>
        <w:t xml:space="preserve"> nerves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F36FFD">
        <w:rPr>
          <w:rFonts w:ascii="Times New Roman" w:hAnsi="Times New Roman" w:cs="Times New Roman"/>
          <w:sz w:val="24"/>
          <w:szCs w:val="24"/>
        </w:rPr>
        <w:t xml:space="preserve">subchondral bone </w:t>
      </w:r>
      <w:r w:rsidRPr="00F36FFD">
        <w:rPr>
          <w:rFonts w:ascii="Times New Roman" w:hAnsi="Times New Roman" w:cs="Times New Roman" w:hint="eastAsia"/>
          <w:sz w:val="24"/>
          <w:szCs w:val="24"/>
        </w:rPr>
        <w:t>and</w:t>
      </w:r>
      <w:r w:rsidRPr="00F36FFD">
        <w:rPr>
          <w:rFonts w:ascii="Times New Roman" w:hAnsi="Times New Roman" w:cs="Times New Roman"/>
          <w:sz w:val="24"/>
          <w:szCs w:val="24"/>
        </w:rPr>
        <w:t xml:space="preserve"> </w:t>
      </w:r>
      <w:r w:rsidRPr="00F36FFD">
        <w:rPr>
          <w:rFonts w:ascii="Times New Roman" w:hAnsi="Times New Roman" w:cs="Times New Roman" w:hint="eastAsia"/>
          <w:sz w:val="24"/>
          <w:szCs w:val="24"/>
        </w:rPr>
        <w:t>t</w:t>
      </w:r>
      <w:r w:rsidRPr="00F36FFD">
        <w:rPr>
          <w:rFonts w:ascii="Times New Roman" w:hAnsi="Times New Roman" w:cs="Times New Roman"/>
          <w:sz w:val="24"/>
          <w:szCs w:val="24"/>
        </w:rPr>
        <w:t>he ratio of the area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6FFD">
        <w:rPr>
          <w:rFonts w:ascii="Times New Roman" w:hAnsi="Times New Roman" w:cs="Times New Roman"/>
          <w:sz w:val="24"/>
          <w:szCs w:val="24"/>
        </w:rPr>
        <w:t xml:space="preserve">(E). </w:t>
      </w:r>
      <w:r w:rsidR="00D8338B" w:rsidRPr="00F36FFD">
        <w:rPr>
          <w:rStyle w:val="tran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D8338B" w:rsidRPr="00F36FFD">
        <w:rPr>
          <w:rFonts w:ascii="Times New Roman" w:eastAsia="SimSun" w:hAnsi="Times New Roman" w:cs="Times New Roman"/>
          <w:kern w:val="0"/>
          <w:sz w:val="24"/>
          <w:szCs w:val="24"/>
        </w:rPr>
        <w:t xml:space="preserve">All data </w:t>
      </w:r>
      <w:r w:rsidR="00B503ED">
        <w:rPr>
          <w:rFonts w:ascii="Times New Roman" w:eastAsia="SimSun" w:hAnsi="Times New Roman" w:cs="Times New Roman" w:hint="eastAsia"/>
          <w:kern w:val="0"/>
          <w:sz w:val="24"/>
          <w:szCs w:val="24"/>
        </w:rPr>
        <w:t>were</w:t>
      </w:r>
      <w:r w:rsidR="00D8338B" w:rsidRPr="00F36FFD">
        <w:rPr>
          <w:rFonts w:ascii="Times New Roman" w:eastAsia="SimSun" w:hAnsi="Times New Roman" w:cs="Times New Roman"/>
          <w:kern w:val="0"/>
          <w:sz w:val="24"/>
          <w:szCs w:val="24"/>
        </w:rPr>
        <w:t xml:space="preserve"> shown as the mean ± SD</w:t>
      </w:r>
      <w:r w:rsidR="00B503ED">
        <w:rPr>
          <w:rFonts w:ascii="Times New Roman" w:eastAsia="SimSun" w:hAnsi="Times New Roman" w:cs="Times New Roman" w:hint="eastAsia"/>
          <w:kern w:val="0"/>
          <w:sz w:val="24"/>
          <w:szCs w:val="24"/>
        </w:rPr>
        <w:t>.</w:t>
      </w:r>
      <w:r w:rsidR="00D8338B" w:rsidRPr="00F36FFD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D8338B" w:rsidRPr="00F36FFD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#</w:t>
      </w:r>
      <w:r w:rsidR="00D8338B" w:rsidRPr="00F36FFD">
        <w:rPr>
          <w:rFonts w:ascii="Times New Roman" w:eastAsia="SimSun" w:hAnsi="Times New Roman" w:cs="Times New Roman"/>
          <w:kern w:val="0"/>
          <w:sz w:val="24"/>
          <w:szCs w:val="24"/>
        </w:rPr>
        <w:t>denotes compared with sham,</w:t>
      </w:r>
      <w:r w:rsidR="00D8338B" w:rsidRPr="00F36FFD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 xml:space="preserve"> ###</w:t>
      </w:r>
      <w:r w:rsidR="00D8338B" w:rsidRPr="00F36FFD">
        <w:rPr>
          <w:rFonts w:ascii="Times New Roman" w:eastAsia="SimSun" w:hAnsi="Times New Roman" w:cs="Times New Roman"/>
          <w:kern w:val="0"/>
          <w:sz w:val="24"/>
          <w:szCs w:val="24"/>
        </w:rPr>
        <w:t>P</w:t>
      </w:r>
      <w:r w:rsidR="00D8338B" w:rsidRPr="00F36FFD">
        <w:rPr>
          <w:rFonts w:ascii="Times New Roman" w:eastAsia="SimSun" w:hAnsi="Times New Roman" w:cs="Times New Roman"/>
          <w:kern w:val="0"/>
          <w:sz w:val="24"/>
          <w:szCs w:val="24"/>
        </w:rPr>
        <w:t>＜</w:t>
      </w:r>
      <w:r w:rsidR="00D8338B" w:rsidRPr="00F36FFD">
        <w:rPr>
          <w:rFonts w:ascii="Times New Roman" w:eastAsia="SimSun" w:hAnsi="Times New Roman" w:cs="Times New Roman"/>
          <w:kern w:val="0"/>
          <w:sz w:val="24"/>
          <w:szCs w:val="24"/>
        </w:rPr>
        <w:t>0.001;* denotes compared with PBS, *P</w:t>
      </w:r>
      <w:r w:rsidR="00D8338B" w:rsidRPr="00F36FFD">
        <w:rPr>
          <w:rFonts w:ascii="Times New Roman" w:eastAsia="SimSun" w:hAnsi="Times New Roman" w:cs="Times New Roman"/>
          <w:kern w:val="0"/>
          <w:sz w:val="24"/>
          <w:szCs w:val="24"/>
        </w:rPr>
        <w:t>＜</w:t>
      </w:r>
      <w:r w:rsidR="00D8338B" w:rsidRPr="00F36FFD">
        <w:rPr>
          <w:rFonts w:ascii="Times New Roman" w:eastAsia="SimSun" w:hAnsi="Times New Roman" w:cs="Times New Roman"/>
          <w:kern w:val="0"/>
          <w:sz w:val="24"/>
          <w:szCs w:val="24"/>
        </w:rPr>
        <w:t>0.05).</w:t>
      </w:r>
    </w:p>
    <w:p w14:paraId="253E832F" w14:textId="06B24807" w:rsidR="000D6DD8" w:rsidRDefault="00183788" w:rsidP="000D6DD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6C905055" wp14:editId="5576A0C9">
            <wp:extent cx="5237018" cy="1540504"/>
            <wp:effectExtent l="0" t="0" r="0" b="0"/>
            <wp:docPr id="185617205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9"/>
                    <a:stretch/>
                  </pic:blipFill>
                  <pic:spPr bwMode="auto">
                    <a:xfrm>
                      <a:off x="0" y="0"/>
                      <a:ext cx="5244837" cy="1542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AF5485" w14:textId="13869323" w:rsidR="000D6DD8" w:rsidRPr="00F36FFD" w:rsidRDefault="000D6DD8" w:rsidP="000D6DD8">
      <w:pPr>
        <w:spacing w:line="276" w:lineRule="auto"/>
        <w:ind w:firstLine="420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C81885">
        <w:rPr>
          <w:rFonts w:ascii="Times New Roman" w:hAnsi="Times New Roman" w:cs="Times New Roman"/>
          <w:color w:val="000000" w:themeColor="text1"/>
          <w:sz w:val="24"/>
          <w:szCs w:val="24"/>
        </w:rPr>
        <w:t>Supplementary Fig.</w:t>
      </w:r>
      <w:r w:rsidR="004F2BC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F36FFD">
        <w:rPr>
          <w:rFonts w:ascii="Times New Roman" w:hAnsi="Times New Roman" w:cs="Times New Roman"/>
          <w:sz w:val="24"/>
          <w:szCs w:val="24"/>
        </w:rPr>
        <w:t xml:space="preserve"> </w:t>
      </w:r>
      <w:r w:rsidRPr="000D6DD8">
        <w:rPr>
          <w:rFonts w:ascii="Times New Roman" w:hAnsi="Times New Roman" w:cs="Times New Roman"/>
          <w:sz w:val="24"/>
          <w:szCs w:val="24"/>
        </w:rPr>
        <w:t>FoxO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 w:rsidRPr="000D6DD8">
        <w:rPr>
          <w:rFonts w:ascii="Times New Roman" w:hAnsi="Times New Roman" w:cs="Times New Roman"/>
          <w:sz w:val="24"/>
          <w:szCs w:val="24"/>
        </w:rPr>
        <w:t xml:space="preserve"> signaling pathway </w:t>
      </w:r>
      <w:r>
        <w:rPr>
          <w:rFonts w:ascii="Times New Roman" w:hAnsi="Times New Roman" w:cs="Times New Roman" w:hint="eastAsia"/>
          <w:sz w:val="24"/>
          <w:szCs w:val="24"/>
        </w:rPr>
        <w:t>not</w:t>
      </w:r>
      <w:r w:rsidRPr="000D6DD8">
        <w:rPr>
          <w:rFonts w:ascii="Times New Roman" w:hAnsi="Times New Roman" w:cs="Times New Roman"/>
          <w:sz w:val="24"/>
          <w:szCs w:val="24"/>
        </w:rPr>
        <w:t xml:space="preserve"> involved in the cartilage regeneration after the treatment of ADSCs and SDSCs</w:t>
      </w:r>
      <w:r>
        <w:rPr>
          <w:rFonts w:ascii="Times New Roman" w:hAnsi="Times New Roman" w:cs="Times New Roman" w:hint="eastAsia"/>
          <w:sz w:val="24"/>
          <w:szCs w:val="24"/>
        </w:rPr>
        <w:t xml:space="preserve"> c</w:t>
      </w:r>
      <w:r w:rsidRPr="000D6DD8">
        <w:rPr>
          <w:rFonts w:ascii="Times New Roman" w:hAnsi="Times New Roman" w:cs="Times New Roman"/>
          <w:sz w:val="24"/>
          <w:szCs w:val="24"/>
        </w:rPr>
        <w:t>onditioned medium</w:t>
      </w:r>
      <w:r w:rsidRPr="00F36FFD">
        <w:rPr>
          <w:rFonts w:ascii="Times New Roman" w:hAnsi="Times New Roman" w:cs="Times New Roman"/>
          <w:sz w:val="24"/>
          <w:szCs w:val="24"/>
        </w:rPr>
        <w:t>. A, p-FoxO3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36FFD">
        <w:rPr>
          <w:rFonts w:ascii="Times New Roman" w:hAnsi="Times New Roman" w:cs="Times New Roman"/>
          <w:sz w:val="24"/>
          <w:szCs w:val="24"/>
        </w:rPr>
        <w:t xml:space="preserve"> and t-FoxO3 by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F36FFD">
        <w:rPr>
          <w:rFonts w:ascii="Times New Roman" w:hAnsi="Times New Roman" w:cs="Times New Roman"/>
          <w:sz w:val="24"/>
          <w:szCs w:val="24"/>
        </w:rPr>
        <w:t>estern blot and (B)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36FFD">
        <w:rPr>
          <w:rFonts w:ascii="Times New Roman" w:hAnsi="Times New Roman" w:cs="Times New Roman"/>
          <w:sz w:val="24"/>
          <w:szCs w:val="24"/>
        </w:rPr>
        <w:t>the quantitative analysis of the bands.</w:t>
      </w:r>
    </w:p>
    <w:p w14:paraId="793FCED2" w14:textId="77777777" w:rsidR="005C23B1" w:rsidRDefault="005C23B1" w:rsidP="005C23B1">
      <w:pPr>
        <w:pStyle w:val="Paragraph"/>
        <w:spacing w:line="480" w:lineRule="auto"/>
        <w:ind w:firstLine="0"/>
        <w:rPr>
          <w:b/>
          <w:bCs/>
          <w:color w:val="000000" w:themeColor="text1"/>
        </w:rPr>
      </w:pPr>
      <w:r w:rsidRPr="005C23B1">
        <w:rPr>
          <w:b/>
          <w:bCs/>
          <w:color w:val="000000" w:themeColor="text1"/>
        </w:rPr>
        <w:t>Tables S1 to S2 for multiple supplementary tables</w:t>
      </w:r>
    </w:p>
    <w:p w14:paraId="10CF2FD6" w14:textId="77777777" w:rsidR="008E62AD" w:rsidRPr="00C81885" w:rsidRDefault="008E62AD" w:rsidP="008E62AD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8188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table1. ADSCs and SDSCs coculture ratio and cell counts</w:t>
      </w:r>
    </w:p>
    <w:tbl>
      <w:tblPr>
        <w:tblStyle w:val="TableGrid"/>
        <w:tblpPr w:leftFromText="180" w:rightFromText="180" w:vertAnchor="text" w:horzAnchor="margin" w:tblpXSpec="center" w:tblpY="189"/>
        <w:tblW w:w="8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3"/>
        <w:gridCol w:w="1099"/>
        <w:gridCol w:w="1179"/>
        <w:gridCol w:w="1181"/>
        <w:gridCol w:w="983"/>
        <w:gridCol w:w="1181"/>
      </w:tblGrid>
      <w:tr w:rsidR="008E62AD" w:rsidRPr="00C81885" w14:paraId="7D6046C4" w14:textId="77777777" w:rsidTr="00505906">
        <w:trPr>
          <w:trHeight w:val="270"/>
        </w:trPr>
        <w:tc>
          <w:tcPr>
            <w:tcW w:w="2643" w:type="dxa"/>
            <w:tcBorders>
              <w:top w:val="single" w:sz="12" w:space="0" w:color="auto"/>
              <w:bottom w:val="single" w:sz="12" w:space="0" w:color="auto"/>
            </w:tcBorders>
          </w:tcPr>
          <w:p w14:paraId="776AE840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12" w:space="0" w:color="auto"/>
              <w:bottom w:val="single" w:sz="12" w:space="0" w:color="auto"/>
            </w:tcBorders>
          </w:tcPr>
          <w:p w14:paraId="5B5CD257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ADSC</w:t>
            </w:r>
          </w:p>
        </w:tc>
        <w:tc>
          <w:tcPr>
            <w:tcW w:w="1179" w:type="dxa"/>
            <w:tcBorders>
              <w:top w:val="single" w:sz="12" w:space="0" w:color="auto"/>
              <w:bottom w:val="single" w:sz="12" w:space="0" w:color="auto"/>
            </w:tcBorders>
          </w:tcPr>
          <w:p w14:paraId="12FE2D73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SDSC</w:t>
            </w:r>
          </w:p>
        </w:tc>
        <w:tc>
          <w:tcPr>
            <w:tcW w:w="1181" w:type="dxa"/>
            <w:tcBorders>
              <w:top w:val="single" w:sz="12" w:space="0" w:color="auto"/>
              <w:bottom w:val="single" w:sz="12" w:space="0" w:color="auto"/>
            </w:tcBorders>
          </w:tcPr>
          <w:p w14:paraId="3C224016" w14:textId="77777777" w:rsidR="008E62AD" w:rsidRPr="00C81885" w:rsidRDefault="008E62AD" w:rsidP="00505906">
            <w:pPr>
              <w:spacing w:line="276" w:lineRule="auto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8A2S</w:t>
            </w:r>
          </w:p>
        </w:tc>
        <w:tc>
          <w:tcPr>
            <w:tcW w:w="983" w:type="dxa"/>
            <w:tcBorders>
              <w:top w:val="single" w:sz="12" w:space="0" w:color="auto"/>
              <w:bottom w:val="single" w:sz="12" w:space="0" w:color="auto"/>
            </w:tcBorders>
          </w:tcPr>
          <w:p w14:paraId="09016563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5A5S</w:t>
            </w:r>
          </w:p>
        </w:tc>
        <w:tc>
          <w:tcPr>
            <w:tcW w:w="1181" w:type="dxa"/>
            <w:tcBorders>
              <w:top w:val="single" w:sz="12" w:space="0" w:color="auto"/>
              <w:bottom w:val="single" w:sz="12" w:space="0" w:color="auto"/>
            </w:tcBorders>
          </w:tcPr>
          <w:p w14:paraId="159B2ED4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2A8S</w:t>
            </w:r>
          </w:p>
        </w:tc>
      </w:tr>
      <w:tr w:rsidR="008E62AD" w:rsidRPr="00C81885" w14:paraId="7553C2BF" w14:textId="77777777" w:rsidTr="00505906">
        <w:trPr>
          <w:trHeight w:val="361"/>
        </w:trPr>
        <w:tc>
          <w:tcPr>
            <w:tcW w:w="2643" w:type="dxa"/>
            <w:tcBorders>
              <w:top w:val="single" w:sz="12" w:space="0" w:color="auto"/>
            </w:tcBorders>
          </w:tcPr>
          <w:p w14:paraId="7187BF8A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Ratio</w:t>
            </w:r>
          </w:p>
          <w:p w14:paraId="7FCC1886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（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ADSC:SDSC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1099" w:type="dxa"/>
            <w:tcBorders>
              <w:top w:val="single" w:sz="12" w:space="0" w:color="auto"/>
            </w:tcBorders>
          </w:tcPr>
          <w:p w14:paraId="53D5D593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：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single" w:sz="12" w:space="0" w:color="auto"/>
            </w:tcBorders>
          </w:tcPr>
          <w:p w14:paraId="4D6F3CD9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：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81" w:type="dxa"/>
            <w:tcBorders>
              <w:top w:val="single" w:sz="12" w:space="0" w:color="auto"/>
            </w:tcBorders>
          </w:tcPr>
          <w:p w14:paraId="3F7E1F82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：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83" w:type="dxa"/>
            <w:tcBorders>
              <w:top w:val="single" w:sz="12" w:space="0" w:color="auto"/>
            </w:tcBorders>
          </w:tcPr>
          <w:p w14:paraId="648B8D6D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：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81" w:type="dxa"/>
            <w:tcBorders>
              <w:top w:val="single" w:sz="12" w:space="0" w:color="auto"/>
            </w:tcBorders>
          </w:tcPr>
          <w:p w14:paraId="58BD6836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：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8E62AD" w:rsidRPr="00C81885" w14:paraId="3F39BCB5" w14:textId="77777777" w:rsidTr="00505906">
        <w:trPr>
          <w:trHeight w:val="543"/>
        </w:trPr>
        <w:tc>
          <w:tcPr>
            <w:tcW w:w="2643" w:type="dxa"/>
          </w:tcPr>
          <w:p w14:paraId="2962FF24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Cell count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（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vitro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）</w:t>
            </w:r>
          </w:p>
          <w:p w14:paraId="55E2D554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（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ADSC:SDSC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1099" w:type="dxa"/>
          </w:tcPr>
          <w:p w14:paraId="7A1EDBC4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×10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5</w:t>
            </w:r>
          </w:p>
        </w:tc>
        <w:tc>
          <w:tcPr>
            <w:tcW w:w="1179" w:type="dxa"/>
          </w:tcPr>
          <w:p w14:paraId="0CE1EFC2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×10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5</w:t>
            </w:r>
          </w:p>
        </w:tc>
        <w:tc>
          <w:tcPr>
            <w:tcW w:w="1181" w:type="dxa"/>
          </w:tcPr>
          <w:p w14:paraId="52B79B33" w14:textId="77777777" w:rsidR="008E62AD" w:rsidRPr="00C81885" w:rsidRDefault="008E62AD" w:rsidP="00505906">
            <w:pPr>
              <w:spacing w:line="276" w:lineRule="auto"/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×10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5</w:t>
            </w:r>
          </w:p>
          <w:p w14:paraId="68C9D66E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×10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5</w:t>
            </w:r>
          </w:p>
        </w:tc>
        <w:tc>
          <w:tcPr>
            <w:tcW w:w="983" w:type="dxa"/>
          </w:tcPr>
          <w:p w14:paraId="2234312D" w14:textId="77777777" w:rsidR="008E62AD" w:rsidRPr="00C81885" w:rsidRDefault="008E62AD" w:rsidP="00505906">
            <w:pPr>
              <w:spacing w:line="276" w:lineRule="auto"/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×10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5</w:t>
            </w:r>
          </w:p>
          <w:p w14:paraId="474F3E73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1×10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5</w:t>
            </w:r>
          </w:p>
        </w:tc>
        <w:tc>
          <w:tcPr>
            <w:tcW w:w="1181" w:type="dxa"/>
          </w:tcPr>
          <w:p w14:paraId="461B96F9" w14:textId="77777777" w:rsidR="008E62AD" w:rsidRPr="00C81885" w:rsidRDefault="008E62AD" w:rsidP="00505906">
            <w:pPr>
              <w:spacing w:line="276" w:lineRule="auto"/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×10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5</w:t>
            </w:r>
          </w:p>
          <w:p w14:paraId="2B7B9617" w14:textId="77777777" w:rsidR="008E62AD" w:rsidRPr="00C81885" w:rsidRDefault="008E62AD" w:rsidP="00505906">
            <w:pPr>
              <w:spacing w:line="276" w:lineRule="auto"/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×10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5</w:t>
            </w:r>
          </w:p>
        </w:tc>
      </w:tr>
      <w:tr w:rsidR="008E62AD" w:rsidRPr="00C81885" w14:paraId="072D7579" w14:textId="77777777" w:rsidTr="00505906">
        <w:trPr>
          <w:trHeight w:val="543"/>
        </w:trPr>
        <w:tc>
          <w:tcPr>
            <w:tcW w:w="2643" w:type="dxa"/>
            <w:tcBorders>
              <w:bottom w:val="single" w:sz="12" w:space="0" w:color="auto"/>
            </w:tcBorders>
          </w:tcPr>
          <w:p w14:paraId="2509491E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Cell count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（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vivo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）</w:t>
            </w:r>
          </w:p>
          <w:p w14:paraId="7046C3CF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（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ADSC:SDSC</w:t>
            </w: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1099" w:type="dxa"/>
            <w:tcBorders>
              <w:bottom w:val="single" w:sz="12" w:space="0" w:color="auto"/>
            </w:tcBorders>
          </w:tcPr>
          <w:p w14:paraId="65D2DA14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×10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6</w:t>
            </w:r>
          </w:p>
        </w:tc>
        <w:tc>
          <w:tcPr>
            <w:tcW w:w="1179" w:type="dxa"/>
            <w:tcBorders>
              <w:bottom w:val="single" w:sz="12" w:space="0" w:color="auto"/>
            </w:tcBorders>
          </w:tcPr>
          <w:p w14:paraId="65051119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×10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6</w:t>
            </w:r>
          </w:p>
        </w:tc>
        <w:tc>
          <w:tcPr>
            <w:tcW w:w="1181" w:type="dxa"/>
            <w:tcBorders>
              <w:bottom w:val="single" w:sz="12" w:space="0" w:color="auto"/>
            </w:tcBorders>
          </w:tcPr>
          <w:p w14:paraId="26234B54" w14:textId="0217231D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3" w:type="dxa"/>
            <w:tcBorders>
              <w:bottom w:val="single" w:sz="12" w:space="0" w:color="auto"/>
            </w:tcBorders>
          </w:tcPr>
          <w:p w14:paraId="330D9B5A" w14:textId="77777777" w:rsidR="008E62AD" w:rsidRPr="00C81885" w:rsidRDefault="008E62AD" w:rsidP="00505906">
            <w:pPr>
              <w:spacing w:line="276" w:lineRule="auto"/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×10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5</w:t>
            </w:r>
          </w:p>
          <w:p w14:paraId="2C0D8A43" w14:textId="77777777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5×10</w:t>
            </w:r>
            <w:r w:rsidRPr="00C81885">
              <w:rPr>
                <w:rFonts w:ascii="Times New Roman" w:eastAsia="Microsoft YaHei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5</w:t>
            </w:r>
          </w:p>
        </w:tc>
        <w:tc>
          <w:tcPr>
            <w:tcW w:w="1181" w:type="dxa"/>
            <w:tcBorders>
              <w:bottom w:val="single" w:sz="12" w:space="0" w:color="auto"/>
            </w:tcBorders>
          </w:tcPr>
          <w:p w14:paraId="61DA1A3D" w14:textId="4C8CACD6" w:rsidR="008E62AD" w:rsidRPr="00C81885" w:rsidRDefault="008E62AD" w:rsidP="0050590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645AEE5" w14:textId="652B2643" w:rsidR="008E62AD" w:rsidRPr="00C81885" w:rsidRDefault="008E62AD" w:rsidP="008E62AD">
      <w:pPr>
        <w:spacing w:line="480" w:lineRule="auto"/>
        <w:ind w:firstLineChars="550" w:firstLine="132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8188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table2. Primary and secondary antibodies</w:t>
      </w:r>
    </w:p>
    <w:tbl>
      <w:tblPr>
        <w:tblpPr w:leftFromText="180" w:rightFromText="180" w:vertAnchor="text" w:horzAnchor="margin" w:tblpXSpec="center" w:tblpY="76"/>
        <w:tblW w:w="8472" w:type="dxa"/>
        <w:tblLook w:val="04A0" w:firstRow="1" w:lastRow="0" w:firstColumn="1" w:lastColumn="0" w:noHBand="0" w:noVBand="1"/>
      </w:tblPr>
      <w:tblGrid>
        <w:gridCol w:w="3936"/>
        <w:gridCol w:w="2693"/>
        <w:gridCol w:w="1843"/>
      </w:tblGrid>
      <w:tr w:rsidR="008E62AD" w:rsidRPr="00C81885" w14:paraId="19C663EE" w14:textId="77777777" w:rsidTr="00505906">
        <w:trPr>
          <w:trHeight w:val="76"/>
        </w:trPr>
        <w:tc>
          <w:tcPr>
            <w:tcW w:w="39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534A8D" w14:textId="77777777" w:rsidR="008E62AD" w:rsidRPr="00C81885" w:rsidRDefault="008E62AD" w:rsidP="005537B5">
            <w:pPr>
              <w:widowControl/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Antibodies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14:paraId="285FE861" w14:textId="77777777" w:rsidR="008E62AD" w:rsidRPr="00C81885" w:rsidRDefault="008E62AD" w:rsidP="005537B5">
            <w:pPr>
              <w:widowControl/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Sources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628CF6" w14:textId="77777777" w:rsidR="008E62AD" w:rsidRPr="00C81885" w:rsidRDefault="008E62AD" w:rsidP="005537B5">
            <w:pPr>
              <w:widowControl/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Identifier</w:t>
            </w:r>
          </w:p>
        </w:tc>
      </w:tr>
      <w:tr w:rsidR="008E62AD" w:rsidRPr="00C81885" w14:paraId="71CDD26F" w14:textId="77777777" w:rsidTr="00505906">
        <w:trPr>
          <w:trHeight w:val="76"/>
        </w:trPr>
        <w:tc>
          <w:tcPr>
            <w:tcW w:w="393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F45B88" w14:textId="77777777" w:rsidR="008E62AD" w:rsidRPr="00C81885" w:rsidRDefault="008E62AD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 polyclonal to Ki67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14:paraId="3B68587B" w14:textId="77777777" w:rsidR="008E62AD" w:rsidRPr="00C81885" w:rsidRDefault="008E62AD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Abcam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174C10" w14:textId="77777777" w:rsidR="008E62AD" w:rsidRPr="00C81885" w:rsidRDefault="008E62AD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bookmarkStart w:id="15" w:name="OLE_LINK12"/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Ab15580</w:t>
            </w:r>
            <w:bookmarkEnd w:id="15"/>
          </w:p>
        </w:tc>
      </w:tr>
      <w:tr w:rsidR="008E62AD" w:rsidRPr="00C81885" w14:paraId="0C23D02F" w14:textId="77777777" w:rsidTr="00505906">
        <w:trPr>
          <w:trHeight w:val="76"/>
        </w:trPr>
        <w:tc>
          <w:tcPr>
            <w:tcW w:w="3936" w:type="dxa"/>
            <w:shd w:val="clear" w:color="auto" w:fill="auto"/>
            <w:noWrap/>
            <w:vAlign w:val="bottom"/>
          </w:tcPr>
          <w:p w14:paraId="000ED740" w14:textId="77777777" w:rsidR="008E62AD" w:rsidRPr="00C81885" w:rsidRDefault="008E62AD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Rabbit polyclonal to CGPR</w:t>
            </w:r>
          </w:p>
        </w:tc>
        <w:tc>
          <w:tcPr>
            <w:tcW w:w="2693" w:type="dxa"/>
          </w:tcPr>
          <w:p w14:paraId="54646D84" w14:textId="77777777" w:rsidR="008E62AD" w:rsidRPr="00C81885" w:rsidRDefault="008E62AD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CellSignaling Technology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BCA54CC" w14:textId="77777777" w:rsidR="008E62AD" w:rsidRPr="00C81885" w:rsidRDefault="008E62AD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14959S</w:t>
            </w:r>
          </w:p>
        </w:tc>
      </w:tr>
      <w:tr w:rsidR="008E62AD" w:rsidRPr="00C81885" w14:paraId="44B144A1" w14:textId="77777777" w:rsidTr="00505906">
        <w:trPr>
          <w:trHeight w:val="76"/>
        </w:trPr>
        <w:tc>
          <w:tcPr>
            <w:tcW w:w="3936" w:type="dxa"/>
            <w:shd w:val="clear" w:color="auto" w:fill="auto"/>
            <w:noWrap/>
            <w:vAlign w:val="bottom"/>
            <w:hideMark/>
          </w:tcPr>
          <w:p w14:paraId="54F645C8" w14:textId="77777777" w:rsidR="008E62AD" w:rsidRPr="00C81885" w:rsidRDefault="008E62AD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Rabbit polyclonal to Collagen II</w:t>
            </w:r>
          </w:p>
        </w:tc>
        <w:tc>
          <w:tcPr>
            <w:tcW w:w="2693" w:type="dxa"/>
          </w:tcPr>
          <w:p w14:paraId="06DFF808" w14:textId="77777777" w:rsidR="008E62AD" w:rsidRPr="00C81885" w:rsidRDefault="008E62AD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Abcam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3AED5F" w14:textId="77777777" w:rsidR="008E62AD" w:rsidRPr="00C81885" w:rsidRDefault="008E62AD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Ab34712</w:t>
            </w:r>
          </w:p>
        </w:tc>
      </w:tr>
      <w:tr w:rsidR="00EB171E" w:rsidRPr="00C81885" w14:paraId="1EEB2E6E" w14:textId="77777777" w:rsidTr="00505906">
        <w:trPr>
          <w:trHeight w:val="76"/>
        </w:trPr>
        <w:tc>
          <w:tcPr>
            <w:tcW w:w="3936" w:type="dxa"/>
            <w:shd w:val="clear" w:color="auto" w:fill="auto"/>
            <w:noWrap/>
            <w:vAlign w:val="bottom"/>
          </w:tcPr>
          <w:p w14:paraId="3FC45F6E" w14:textId="2CFE1D0D" w:rsidR="00EB171E" w:rsidRPr="00C81885" w:rsidRDefault="00EB171E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6" w:name="_Hlk156158108"/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Rabbit polyclo</w:t>
            </w:r>
            <w:r w:rsidRPr="00EB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nal to IL-1β</w:t>
            </w:r>
          </w:p>
        </w:tc>
        <w:tc>
          <w:tcPr>
            <w:tcW w:w="2693" w:type="dxa"/>
          </w:tcPr>
          <w:p w14:paraId="6B8DE709" w14:textId="4D76ABF2" w:rsidR="00EB171E" w:rsidRPr="00C81885" w:rsidRDefault="00EB171E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B171E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Servicebio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DE54093" w14:textId="667093E4" w:rsidR="00EB171E" w:rsidRPr="00C81885" w:rsidRDefault="00EB171E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B171E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GB11113-100</w:t>
            </w:r>
          </w:p>
        </w:tc>
      </w:tr>
      <w:bookmarkEnd w:id="16"/>
      <w:tr w:rsidR="00DE7C1C" w:rsidRPr="00C81885" w14:paraId="2992C75D" w14:textId="77777777" w:rsidTr="00505906">
        <w:trPr>
          <w:trHeight w:val="76"/>
        </w:trPr>
        <w:tc>
          <w:tcPr>
            <w:tcW w:w="3936" w:type="dxa"/>
            <w:shd w:val="clear" w:color="auto" w:fill="auto"/>
            <w:noWrap/>
            <w:vAlign w:val="center"/>
          </w:tcPr>
          <w:p w14:paraId="53336B2B" w14:textId="0CA857B3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Rabbit monoclonal to MMP13</w:t>
            </w:r>
          </w:p>
        </w:tc>
        <w:tc>
          <w:tcPr>
            <w:tcW w:w="2693" w:type="dxa"/>
          </w:tcPr>
          <w:p w14:paraId="76A323B7" w14:textId="76BA5FA0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Abcam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B9E0E2D" w14:textId="236B6033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Ab219620</w:t>
            </w:r>
          </w:p>
        </w:tc>
      </w:tr>
      <w:tr w:rsidR="00DE7C1C" w:rsidRPr="00C81885" w14:paraId="281B1342" w14:textId="77777777" w:rsidTr="00505906">
        <w:trPr>
          <w:trHeight w:val="76"/>
        </w:trPr>
        <w:tc>
          <w:tcPr>
            <w:tcW w:w="3936" w:type="dxa"/>
            <w:shd w:val="clear" w:color="auto" w:fill="auto"/>
            <w:noWrap/>
            <w:vAlign w:val="center"/>
          </w:tcPr>
          <w:p w14:paraId="6E14AB69" w14:textId="5B150DBA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Rabbit polyclonal to</w:t>
            </w: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LCII</w:t>
            </w:r>
          </w:p>
        </w:tc>
        <w:tc>
          <w:tcPr>
            <w:tcW w:w="2693" w:type="dxa"/>
          </w:tcPr>
          <w:p w14:paraId="2A00C672" w14:textId="49DF0561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Proteintech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AC9BB15" w14:textId="670AAEBA" w:rsidR="00DE7C1C" w:rsidRPr="001D71B7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14600-1-AP</w:t>
            </w:r>
          </w:p>
        </w:tc>
      </w:tr>
      <w:tr w:rsidR="00DE7C1C" w:rsidRPr="00C81885" w14:paraId="3C58F953" w14:textId="77777777" w:rsidTr="00505906">
        <w:trPr>
          <w:trHeight w:val="76"/>
        </w:trPr>
        <w:tc>
          <w:tcPr>
            <w:tcW w:w="3936" w:type="dxa"/>
            <w:shd w:val="clear" w:color="auto" w:fill="auto"/>
            <w:noWrap/>
            <w:vAlign w:val="center"/>
            <w:hideMark/>
          </w:tcPr>
          <w:p w14:paraId="31BEA3EB" w14:textId="24FEE9BA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Rabbit polyclonal to</w:t>
            </w: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P62</w:t>
            </w:r>
          </w:p>
        </w:tc>
        <w:tc>
          <w:tcPr>
            <w:tcW w:w="2693" w:type="dxa"/>
          </w:tcPr>
          <w:p w14:paraId="79A33925" w14:textId="15156708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Proteintech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5D44B4A" w14:textId="362D0B5B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18420-1-AP</w:t>
            </w:r>
          </w:p>
        </w:tc>
      </w:tr>
      <w:tr w:rsidR="00DE7C1C" w:rsidRPr="00C81885" w14:paraId="26D4EDD8" w14:textId="77777777" w:rsidTr="00505906">
        <w:trPr>
          <w:trHeight w:val="76"/>
        </w:trPr>
        <w:tc>
          <w:tcPr>
            <w:tcW w:w="3936" w:type="dxa"/>
            <w:shd w:val="clear" w:color="auto" w:fill="auto"/>
            <w:noWrap/>
            <w:vAlign w:val="center"/>
          </w:tcPr>
          <w:p w14:paraId="3C61BBC5" w14:textId="619BF942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Rabbit polyclonal to p-FoxO1</w:t>
            </w:r>
          </w:p>
        </w:tc>
        <w:tc>
          <w:tcPr>
            <w:tcW w:w="2693" w:type="dxa"/>
          </w:tcPr>
          <w:p w14:paraId="0C6D4D82" w14:textId="68AD9536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Zen-Bioscience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8433F01" w14:textId="10AB1A17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310198</w:t>
            </w:r>
          </w:p>
        </w:tc>
      </w:tr>
      <w:tr w:rsidR="00DE7C1C" w:rsidRPr="00C81885" w14:paraId="09432E8D" w14:textId="77777777" w:rsidTr="00505906">
        <w:trPr>
          <w:trHeight w:val="76"/>
        </w:trPr>
        <w:tc>
          <w:tcPr>
            <w:tcW w:w="3936" w:type="dxa"/>
            <w:shd w:val="clear" w:color="auto" w:fill="auto"/>
            <w:noWrap/>
            <w:vAlign w:val="center"/>
            <w:hideMark/>
          </w:tcPr>
          <w:p w14:paraId="51B54133" w14:textId="27926FB4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Rabbit polyclonal to t-FoxO1</w:t>
            </w:r>
          </w:p>
        </w:tc>
        <w:tc>
          <w:tcPr>
            <w:tcW w:w="2693" w:type="dxa"/>
          </w:tcPr>
          <w:p w14:paraId="3193112D" w14:textId="5DC35A06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Zen-Bioscience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206C868" w14:textId="77547C01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340406</w:t>
            </w:r>
          </w:p>
        </w:tc>
      </w:tr>
      <w:tr w:rsidR="00DE7C1C" w:rsidRPr="00C81885" w14:paraId="49894F9F" w14:textId="77777777" w:rsidTr="00505906">
        <w:trPr>
          <w:trHeight w:val="76"/>
        </w:trPr>
        <w:tc>
          <w:tcPr>
            <w:tcW w:w="3936" w:type="dxa"/>
            <w:shd w:val="clear" w:color="auto" w:fill="auto"/>
            <w:noWrap/>
            <w:vAlign w:val="center"/>
            <w:hideMark/>
          </w:tcPr>
          <w:p w14:paraId="715D98EF" w14:textId="74161CF5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Rabbit polyclonal to p-FoxO3</w:t>
            </w:r>
          </w:p>
        </w:tc>
        <w:tc>
          <w:tcPr>
            <w:tcW w:w="2693" w:type="dxa"/>
          </w:tcPr>
          <w:p w14:paraId="2EC0EE21" w14:textId="3A646DD8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Zen-Bioscience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A7C31A5" w14:textId="0192F097" w:rsidR="00DE7C1C" w:rsidRPr="00C81885" w:rsidRDefault="00DE7C1C" w:rsidP="005537B5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310210</w:t>
            </w:r>
          </w:p>
        </w:tc>
      </w:tr>
      <w:tr w:rsidR="00DE7C1C" w:rsidRPr="00C81885" w14:paraId="3E8C228E" w14:textId="77777777" w:rsidTr="00505906">
        <w:trPr>
          <w:trHeight w:val="76"/>
        </w:trPr>
        <w:tc>
          <w:tcPr>
            <w:tcW w:w="3936" w:type="dxa"/>
            <w:shd w:val="clear" w:color="auto" w:fill="auto"/>
            <w:noWrap/>
            <w:vAlign w:val="center"/>
          </w:tcPr>
          <w:p w14:paraId="33C067F2" w14:textId="7D09A1A5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Rabbit polyclonal to t-FoxO3</w:t>
            </w:r>
          </w:p>
        </w:tc>
        <w:tc>
          <w:tcPr>
            <w:tcW w:w="2693" w:type="dxa"/>
          </w:tcPr>
          <w:p w14:paraId="776078F1" w14:textId="7628F6B5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Zen-Bioscience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B0CA113" w14:textId="7868914E" w:rsidR="00DE7C1C" w:rsidRPr="00C81885" w:rsidRDefault="00DE7C1C" w:rsidP="005537B5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380728</w:t>
            </w:r>
          </w:p>
        </w:tc>
      </w:tr>
      <w:tr w:rsidR="00DE7C1C" w:rsidRPr="00C81885" w14:paraId="3028A9E0" w14:textId="77777777" w:rsidTr="00505906">
        <w:trPr>
          <w:trHeight w:val="80"/>
        </w:trPr>
        <w:tc>
          <w:tcPr>
            <w:tcW w:w="3936" w:type="dxa"/>
            <w:shd w:val="clear" w:color="auto" w:fill="auto"/>
            <w:noWrap/>
            <w:vAlign w:val="center"/>
            <w:hideMark/>
          </w:tcPr>
          <w:p w14:paraId="21167475" w14:textId="05D111F4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monoclonal to GAPDH </w:t>
            </w:r>
          </w:p>
        </w:tc>
        <w:tc>
          <w:tcPr>
            <w:tcW w:w="2693" w:type="dxa"/>
          </w:tcPr>
          <w:p w14:paraId="757E824B" w14:textId="681562CC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Signalway Antibody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15976A1" w14:textId="104FBB29" w:rsidR="00DE7C1C" w:rsidRPr="00C81885" w:rsidRDefault="00DE7C1C" w:rsidP="005537B5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40493</w:t>
            </w:r>
          </w:p>
        </w:tc>
      </w:tr>
      <w:tr w:rsidR="00DE7C1C" w:rsidRPr="00C81885" w14:paraId="67AD1E7F" w14:textId="77777777" w:rsidTr="00505906">
        <w:trPr>
          <w:trHeight w:val="15"/>
        </w:trPr>
        <w:tc>
          <w:tcPr>
            <w:tcW w:w="393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DAB3BFA" w14:textId="77777777" w:rsidR="00505906" w:rsidRDefault="00DE7C1C" w:rsidP="00505906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Anti-rabbit IgG, HRP</w:t>
            </w:r>
          </w:p>
          <w:p w14:paraId="2309B05F" w14:textId="105CA825" w:rsidR="00DE7C1C" w:rsidRPr="00C81885" w:rsidRDefault="00DE7C1C" w:rsidP="00505906">
            <w:pPr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-linkedAntibody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45BFF69E" w14:textId="4F8089F3" w:rsidR="00DE7C1C" w:rsidRPr="00C81885" w:rsidRDefault="00DE7C1C" w:rsidP="00505906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CellSignaling Technology 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7064D786" w14:textId="5405B6BC" w:rsidR="00DE7C1C" w:rsidRPr="00C81885" w:rsidRDefault="00DE7C1C" w:rsidP="00505906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81885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7074S</w:t>
            </w:r>
          </w:p>
        </w:tc>
      </w:tr>
    </w:tbl>
    <w:p w14:paraId="607DB3E7" w14:textId="77777777" w:rsidR="005C23B1" w:rsidRPr="00BD7DB5" w:rsidRDefault="005C23B1" w:rsidP="005C23B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D7D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References</w:t>
      </w:r>
    </w:p>
    <w:p w14:paraId="452EA4D3" w14:textId="77777777" w:rsidR="006C3B77" w:rsidRPr="006C3B77" w:rsidRDefault="005853FF" w:rsidP="006C3B77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6C3B77" w:rsidRPr="006C3B77">
        <w:t>1.</w:t>
      </w:r>
      <w:r w:rsidR="006C3B77" w:rsidRPr="006C3B77">
        <w:tab/>
        <w:t xml:space="preserve">Perrin, S., Julien, A., de Lageneste, O.D., Abou-Khalil, R. &amp; Colnot, C. Mouse Periosteal Cell Culture, in vitro Differentiation, and in vivo Transplantationin Tibial Fractures. </w:t>
      </w:r>
      <w:r w:rsidR="006C3B77" w:rsidRPr="006C3B77">
        <w:rPr>
          <w:i/>
        </w:rPr>
        <w:t>Bio Protoc</w:t>
      </w:r>
      <w:r w:rsidR="006C3B77" w:rsidRPr="006C3B77">
        <w:t xml:space="preserve"> </w:t>
      </w:r>
      <w:r w:rsidR="006C3B77" w:rsidRPr="006C3B77">
        <w:rPr>
          <w:b/>
        </w:rPr>
        <w:t>11</w:t>
      </w:r>
      <w:r w:rsidR="006C3B77" w:rsidRPr="006C3B77">
        <w:t>, e4107 (2021).</w:t>
      </w:r>
    </w:p>
    <w:p w14:paraId="432AE9F9" w14:textId="77777777" w:rsidR="006C3B77" w:rsidRPr="006C3B77" w:rsidRDefault="006C3B77" w:rsidP="006C3B77">
      <w:pPr>
        <w:pStyle w:val="EndNoteBibliography"/>
        <w:ind w:left="720" w:hanging="720"/>
      </w:pPr>
      <w:r w:rsidRPr="006C3B77">
        <w:t>2.</w:t>
      </w:r>
      <w:r w:rsidRPr="006C3B77">
        <w:tab/>
        <w:t>Jiang, L.B.</w:t>
      </w:r>
      <w:r w:rsidRPr="006C3B77">
        <w:rPr>
          <w:i/>
        </w:rPr>
        <w:t>, et al.</w:t>
      </w:r>
      <w:r w:rsidRPr="006C3B77">
        <w:t xml:space="preserve"> Adipose-derived stem cells induce autophagic activation and inhibit catabolic response to pro-inflammatory cytokines in rat chondrocytes. </w:t>
      </w:r>
      <w:r w:rsidRPr="006C3B77">
        <w:rPr>
          <w:i/>
        </w:rPr>
        <w:t>Osteoarthritis Cartilage</w:t>
      </w:r>
      <w:r w:rsidRPr="006C3B77">
        <w:t xml:space="preserve"> </w:t>
      </w:r>
      <w:r w:rsidRPr="006C3B77">
        <w:rPr>
          <w:b/>
        </w:rPr>
        <w:t>24</w:t>
      </w:r>
      <w:r w:rsidRPr="006C3B77">
        <w:t>, 1071-1081 (2016).</w:t>
      </w:r>
    </w:p>
    <w:p w14:paraId="1F4FBF5B" w14:textId="77777777" w:rsidR="006C3B77" w:rsidRPr="006C3B77" w:rsidRDefault="006C3B77" w:rsidP="006C3B77">
      <w:pPr>
        <w:pStyle w:val="EndNoteBibliography"/>
        <w:ind w:left="720" w:hanging="720"/>
      </w:pPr>
      <w:r w:rsidRPr="006C3B77">
        <w:t>3.</w:t>
      </w:r>
      <w:r w:rsidRPr="006C3B77">
        <w:tab/>
        <w:t>Li, K.</w:t>
      </w:r>
      <w:r w:rsidRPr="006C3B77">
        <w:rPr>
          <w:i/>
        </w:rPr>
        <w:t>, et al.</w:t>
      </w:r>
      <w:r w:rsidRPr="006C3B77">
        <w:t xml:space="preserve"> Photostable fluorescent organic dots with aggregation-induced emission (AIE dots) for noninvasive long-term cell tracing. </w:t>
      </w:r>
      <w:r w:rsidRPr="006C3B77">
        <w:rPr>
          <w:i/>
        </w:rPr>
        <w:t>Sci Rep</w:t>
      </w:r>
      <w:r w:rsidRPr="006C3B77">
        <w:t xml:space="preserve"> </w:t>
      </w:r>
      <w:r w:rsidRPr="006C3B77">
        <w:rPr>
          <w:b/>
        </w:rPr>
        <w:t>3</w:t>
      </w:r>
      <w:r w:rsidRPr="006C3B77">
        <w:t>, 1150 (2013).</w:t>
      </w:r>
    </w:p>
    <w:p w14:paraId="5BE17478" w14:textId="77777777" w:rsidR="006C3B77" w:rsidRPr="006C3B77" w:rsidRDefault="006C3B77" w:rsidP="006C3B77">
      <w:pPr>
        <w:pStyle w:val="EndNoteBibliography"/>
        <w:ind w:left="720" w:hanging="720"/>
      </w:pPr>
      <w:r w:rsidRPr="006C3B77">
        <w:t>4.</w:t>
      </w:r>
      <w:r w:rsidRPr="006C3B77">
        <w:tab/>
        <w:t>Yang, C.</w:t>
      </w:r>
      <w:r w:rsidRPr="006C3B77">
        <w:rPr>
          <w:i/>
        </w:rPr>
        <w:t>, et al.</w:t>
      </w:r>
      <w:r w:rsidRPr="006C3B77">
        <w:t xml:space="preserve"> Single-cell spatiotemporal analysis reveals cell fates and functions of transplanted mesenchymal stromal cells during bone repair. </w:t>
      </w:r>
      <w:r w:rsidRPr="006C3B77">
        <w:rPr>
          <w:i/>
        </w:rPr>
        <w:t>Stem Cell Reports</w:t>
      </w:r>
      <w:r w:rsidRPr="006C3B77">
        <w:t xml:space="preserve"> </w:t>
      </w:r>
      <w:r w:rsidRPr="006C3B77">
        <w:rPr>
          <w:b/>
        </w:rPr>
        <w:t>17</w:t>
      </w:r>
      <w:r w:rsidRPr="006C3B77">
        <w:t>, 2318-2333 (2022).</w:t>
      </w:r>
    </w:p>
    <w:p w14:paraId="2B12AEF2" w14:textId="77777777" w:rsidR="006C3B77" w:rsidRPr="006C3B77" w:rsidRDefault="006C3B77" w:rsidP="006C3B77">
      <w:pPr>
        <w:pStyle w:val="EndNoteBibliography"/>
        <w:ind w:left="720" w:hanging="720"/>
      </w:pPr>
      <w:r w:rsidRPr="006C3B77">
        <w:t>5.</w:t>
      </w:r>
      <w:r w:rsidRPr="006C3B77">
        <w:tab/>
        <w:t>Yang, C.</w:t>
      </w:r>
      <w:r w:rsidRPr="006C3B77">
        <w:rPr>
          <w:i/>
        </w:rPr>
        <w:t>, et al.</w:t>
      </w:r>
      <w:r w:rsidRPr="006C3B77">
        <w:t xml:space="preserve"> Single-cell spatiotemporal analysis reveals cell fates and functions of transplanted mesenchymal stromal cells during bone repair. </w:t>
      </w:r>
      <w:r w:rsidRPr="006C3B77">
        <w:rPr>
          <w:i/>
        </w:rPr>
        <w:t>Stem Cell Reports</w:t>
      </w:r>
      <w:r w:rsidRPr="006C3B77">
        <w:t xml:space="preserve"> (2022).</w:t>
      </w:r>
    </w:p>
    <w:p w14:paraId="374903A2" w14:textId="733DF5FC" w:rsidR="00CF01A1" w:rsidRPr="008E62AD" w:rsidRDefault="005853FF" w:rsidP="008E62AD">
      <w:r>
        <w:fldChar w:fldCharType="end"/>
      </w:r>
    </w:p>
    <w:sectPr w:rsidR="00CF01A1" w:rsidRPr="008E62AD" w:rsidSect="00514A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08B864" w14:textId="77777777" w:rsidR="00006063" w:rsidRDefault="00006063" w:rsidP="00A66455">
      <w:r>
        <w:separator/>
      </w:r>
    </w:p>
  </w:endnote>
  <w:endnote w:type="continuationSeparator" w:id="0">
    <w:p w14:paraId="13EAA6C3" w14:textId="77777777" w:rsidR="00006063" w:rsidRDefault="00006063" w:rsidP="00A6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3A8D3B" w14:textId="77777777" w:rsidR="00006063" w:rsidRDefault="00006063" w:rsidP="00A66455">
      <w:r>
        <w:separator/>
      </w:r>
    </w:p>
  </w:footnote>
  <w:footnote w:type="continuationSeparator" w:id="0">
    <w:p w14:paraId="2B84E853" w14:textId="77777777" w:rsidR="00006063" w:rsidRDefault="00006063" w:rsidP="00A6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EN.Layout" w:val="&lt;ENLayout&gt;&lt;Style&gt;Nature Medicin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dar2s05vasxaderzw7vfzfezzxxz0522t09&quot;&gt;My EndNote Library&lt;record-ids&gt;&lt;item&gt;166&lt;/item&gt;&lt;item&gt;338&lt;/item&gt;&lt;item&gt;408&lt;/item&gt;&lt;item&gt;428&lt;/item&gt;&lt;item&gt;429&lt;/item&gt;&lt;/record-ids&gt;&lt;/item&gt;&lt;/Libraries&gt;"/>
  </w:docVars>
  <w:rsids>
    <w:rsidRoot w:val="001D0824"/>
    <w:rsid w:val="00006063"/>
    <w:rsid w:val="00011226"/>
    <w:rsid w:val="0002180D"/>
    <w:rsid w:val="00033E94"/>
    <w:rsid w:val="00052446"/>
    <w:rsid w:val="00094880"/>
    <w:rsid w:val="00095B71"/>
    <w:rsid w:val="000D65F6"/>
    <w:rsid w:val="000D6DD8"/>
    <w:rsid w:val="000E6888"/>
    <w:rsid w:val="000F4006"/>
    <w:rsid w:val="0010094F"/>
    <w:rsid w:val="0010591F"/>
    <w:rsid w:val="0012427F"/>
    <w:rsid w:val="00176760"/>
    <w:rsid w:val="00183788"/>
    <w:rsid w:val="001855CA"/>
    <w:rsid w:val="001871F8"/>
    <w:rsid w:val="0018780D"/>
    <w:rsid w:val="001968C7"/>
    <w:rsid w:val="0019757A"/>
    <w:rsid w:val="001B0E30"/>
    <w:rsid w:val="001B63DE"/>
    <w:rsid w:val="001C58CE"/>
    <w:rsid w:val="001D0824"/>
    <w:rsid w:val="001D5713"/>
    <w:rsid w:val="001D71B7"/>
    <w:rsid w:val="002136CA"/>
    <w:rsid w:val="0022309D"/>
    <w:rsid w:val="00242979"/>
    <w:rsid w:val="002442DB"/>
    <w:rsid w:val="00253EDB"/>
    <w:rsid w:val="0026098A"/>
    <w:rsid w:val="002627B0"/>
    <w:rsid w:val="00286740"/>
    <w:rsid w:val="002A2D0D"/>
    <w:rsid w:val="002D0140"/>
    <w:rsid w:val="002D0611"/>
    <w:rsid w:val="00313814"/>
    <w:rsid w:val="003171CE"/>
    <w:rsid w:val="0033504F"/>
    <w:rsid w:val="003414E7"/>
    <w:rsid w:val="00355139"/>
    <w:rsid w:val="0036121A"/>
    <w:rsid w:val="00383602"/>
    <w:rsid w:val="00393EC7"/>
    <w:rsid w:val="003C1A64"/>
    <w:rsid w:val="003D50DB"/>
    <w:rsid w:val="003E43B9"/>
    <w:rsid w:val="004206F4"/>
    <w:rsid w:val="00442C1F"/>
    <w:rsid w:val="004610F2"/>
    <w:rsid w:val="00475082"/>
    <w:rsid w:val="004758FF"/>
    <w:rsid w:val="00491FE8"/>
    <w:rsid w:val="004B0974"/>
    <w:rsid w:val="004B4D5D"/>
    <w:rsid w:val="004D011C"/>
    <w:rsid w:val="004D141D"/>
    <w:rsid w:val="004D4771"/>
    <w:rsid w:val="004E5559"/>
    <w:rsid w:val="004F2BCC"/>
    <w:rsid w:val="004F354F"/>
    <w:rsid w:val="004F6047"/>
    <w:rsid w:val="004F7DFB"/>
    <w:rsid w:val="00505906"/>
    <w:rsid w:val="00514AF0"/>
    <w:rsid w:val="005162AE"/>
    <w:rsid w:val="00530927"/>
    <w:rsid w:val="005317D7"/>
    <w:rsid w:val="00540F70"/>
    <w:rsid w:val="00550150"/>
    <w:rsid w:val="005537B5"/>
    <w:rsid w:val="00555BCA"/>
    <w:rsid w:val="005853FF"/>
    <w:rsid w:val="0059568C"/>
    <w:rsid w:val="005B00E3"/>
    <w:rsid w:val="005B355E"/>
    <w:rsid w:val="005B550B"/>
    <w:rsid w:val="005C23B1"/>
    <w:rsid w:val="005D0FEB"/>
    <w:rsid w:val="005F1C98"/>
    <w:rsid w:val="00600350"/>
    <w:rsid w:val="00614626"/>
    <w:rsid w:val="00636FDF"/>
    <w:rsid w:val="00644A57"/>
    <w:rsid w:val="00671F76"/>
    <w:rsid w:val="00674313"/>
    <w:rsid w:val="00675188"/>
    <w:rsid w:val="00686190"/>
    <w:rsid w:val="006933E0"/>
    <w:rsid w:val="00694EAE"/>
    <w:rsid w:val="006A6D62"/>
    <w:rsid w:val="006B3AD7"/>
    <w:rsid w:val="006C3B77"/>
    <w:rsid w:val="006D2550"/>
    <w:rsid w:val="006F099E"/>
    <w:rsid w:val="006F2A15"/>
    <w:rsid w:val="00707B18"/>
    <w:rsid w:val="00753055"/>
    <w:rsid w:val="00753BC1"/>
    <w:rsid w:val="00755F9A"/>
    <w:rsid w:val="00776AEA"/>
    <w:rsid w:val="00780158"/>
    <w:rsid w:val="0078334A"/>
    <w:rsid w:val="00793FAE"/>
    <w:rsid w:val="007A59BF"/>
    <w:rsid w:val="007B12E7"/>
    <w:rsid w:val="007C5EBF"/>
    <w:rsid w:val="007C6659"/>
    <w:rsid w:val="007D616B"/>
    <w:rsid w:val="007F01F2"/>
    <w:rsid w:val="00801F7F"/>
    <w:rsid w:val="0081499F"/>
    <w:rsid w:val="00815972"/>
    <w:rsid w:val="00826890"/>
    <w:rsid w:val="00853C84"/>
    <w:rsid w:val="0085754A"/>
    <w:rsid w:val="008849C8"/>
    <w:rsid w:val="008851C9"/>
    <w:rsid w:val="008B03D8"/>
    <w:rsid w:val="008B7F21"/>
    <w:rsid w:val="008E62A6"/>
    <w:rsid w:val="008E62AD"/>
    <w:rsid w:val="008E7789"/>
    <w:rsid w:val="00922673"/>
    <w:rsid w:val="009446F7"/>
    <w:rsid w:val="009518D0"/>
    <w:rsid w:val="009536D9"/>
    <w:rsid w:val="00974448"/>
    <w:rsid w:val="00983F82"/>
    <w:rsid w:val="00987CD6"/>
    <w:rsid w:val="0099346A"/>
    <w:rsid w:val="009A5BA5"/>
    <w:rsid w:val="009C76F4"/>
    <w:rsid w:val="009E1853"/>
    <w:rsid w:val="009E1FA9"/>
    <w:rsid w:val="009E49B2"/>
    <w:rsid w:val="009F51BB"/>
    <w:rsid w:val="00A04601"/>
    <w:rsid w:val="00A05A87"/>
    <w:rsid w:val="00A34176"/>
    <w:rsid w:val="00A341AB"/>
    <w:rsid w:val="00A36E1D"/>
    <w:rsid w:val="00A47B1B"/>
    <w:rsid w:val="00A50450"/>
    <w:rsid w:val="00A66455"/>
    <w:rsid w:val="00A74ED4"/>
    <w:rsid w:val="00A76B87"/>
    <w:rsid w:val="00A80D18"/>
    <w:rsid w:val="00A824C0"/>
    <w:rsid w:val="00A844D1"/>
    <w:rsid w:val="00A97470"/>
    <w:rsid w:val="00AA1F34"/>
    <w:rsid w:val="00AA5135"/>
    <w:rsid w:val="00AB033C"/>
    <w:rsid w:val="00AB3725"/>
    <w:rsid w:val="00AC3BAA"/>
    <w:rsid w:val="00AC4833"/>
    <w:rsid w:val="00AE5774"/>
    <w:rsid w:val="00AF52A6"/>
    <w:rsid w:val="00B01CEE"/>
    <w:rsid w:val="00B14235"/>
    <w:rsid w:val="00B16E69"/>
    <w:rsid w:val="00B37B4C"/>
    <w:rsid w:val="00B503ED"/>
    <w:rsid w:val="00B552E2"/>
    <w:rsid w:val="00B75AAF"/>
    <w:rsid w:val="00BD10AC"/>
    <w:rsid w:val="00BD594A"/>
    <w:rsid w:val="00BD78C9"/>
    <w:rsid w:val="00BE5196"/>
    <w:rsid w:val="00BF12DC"/>
    <w:rsid w:val="00BF6CAC"/>
    <w:rsid w:val="00C0388F"/>
    <w:rsid w:val="00C04A0F"/>
    <w:rsid w:val="00C20A70"/>
    <w:rsid w:val="00C34A3B"/>
    <w:rsid w:val="00C460DF"/>
    <w:rsid w:val="00C47531"/>
    <w:rsid w:val="00C506AF"/>
    <w:rsid w:val="00C63C57"/>
    <w:rsid w:val="00C77F62"/>
    <w:rsid w:val="00C84F6C"/>
    <w:rsid w:val="00C86B7F"/>
    <w:rsid w:val="00C94DB1"/>
    <w:rsid w:val="00CA0475"/>
    <w:rsid w:val="00CA4C2B"/>
    <w:rsid w:val="00CC49CF"/>
    <w:rsid w:val="00CC540A"/>
    <w:rsid w:val="00CE4F96"/>
    <w:rsid w:val="00CF01A1"/>
    <w:rsid w:val="00CF3D0E"/>
    <w:rsid w:val="00D017CD"/>
    <w:rsid w:val="00D04036"/>
    <w:rsid w:val="00D130B9"/>
    <w:rsid w:val="00D135F9"/>
    <w:rsid w:val="00D23E31"/>
    <w:rsid w:val="00D521EB"/>
    <w:rsid w:val="00D7359C"/>
    <w:rsid w:val="00D7496A"/>
    <w:rsid w:val="00D8338B"/>
    <w:rsid w:val="00D8360E"/>
    <w:rsid w:val="00DB1BCA"/>
    <w:rsid w:val="00DB1CE3"/>
    <w:rsid w:val="00DD2953"/>
    <w:rsid w:val="00DD3E50"/>
    <w:rsid w:val="00DE7453"/>
    <w:rsid w:val="00DE7C1C"/>
    <w:rsid w:val="00E1054B"/>
    <w:rsid w:val="00E122D7"/>
    <w:rsid w:val="00E14528"/>
    <w:rsid w:val="00E20E8E"/>
    <w:rsid w:val="00E27B1C"/>
    <w:rsid w:val="00E33BB5"/>
    <w:rsid w:val="00E43ECC"/>
    <w:rsid w:val="00E635E5"/>
    <w:rsid w:val="00E97E62"/>
    <w:rsid w:val="00EA2524"/>
    <w:rsid w:val="00EB171E"/>
    <w:rsid w:val="00ED0D4E"/>
    <w:rsid w:val="00EF261C"/>
    <w:rsid w:val="00EF2625"/>
    <w:rsid w:val="00F12D28"/>
    <w:rsid w:val="00F15453"/>
    <w:rsid w:val="00F21F7D"/>
    <w:rsid w:val="00F2339A"/>
    <w:rsid w:val="00F3739B"/>
    <w:rsid w:val="00F40584"/>
    <w:rsid w:val="00F46116"/>
    <w:rsid w:val="00F5024C"/>
    <w:rsid w:val="00F51077"/>
    <w:rsid w:val="00F6108F"/>
    <w:rsid w:val="00F80CDD"/>
    <w:rsid w:val="00F93DF5"/>
    <w:rsid w:val="00FA0765"/>
    <w:rsid w:val="00FC0309"/>
    <w:rsid w:val="00FF3D0F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1D18F0"/>
  <w15:docId w15:val="{EC569579-AB22-4717-8FCC-D1DDA4291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2A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64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6645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664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66455"/>
    <w:rPr>
      <w:sz w:val="18"/>
      <w:szCs w:val="18"/>
    </w:rPr>
  </w:style>
  <w:style w:type="character" w:styleId="Strong">
    <w:name w:val="Strong"/>
    <w:basedOn w:val="DefaultParagraphFont"/>
    <w:uiPriority w:val="22"/>
    <w:qFormat/>
    <w:rsid w:val="00A66455"/>
    <w:rPr>
      <w:b/>
      <w:bCs/>
    </w:rPr>
  </w:style>
  <w:style w:type="character" w:customStyle="1" w:styleId="tran">
    <w:name w:val="tran"/>
    <w:basedOn w:val="DefaultParagraphFont"/>
    <w:rsid w:val="00A66455"/>
  </w:style>
  <w:style w:type="character" w:styleId="Hyperlink">
    <w:name w:val="Hyperlink"/>
    <w:basedOn w:val="DefaultParagraphFont"/>
    <w:uiPriority w:val="99"/>
    <w:unhideWhenUsed/>
    <w:rsid w:val="00A66455"/>
    <w:rPr>
      <w:color w:val="0000FF"/>
      <w:u w:val="single"/>
    </w:rPr>
  </w:style>
  <w:style w:type="table" w:styleId="TableGrid">
    <w:name w:val="Table Grid"/>
    <w:basedOn w:val="TableNormal"/>
    <w:uiPriority w:val="39"/>
    <w:rsid w:val="00A66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A66455"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8E62AD"/>
  </w:style>
  <w:style w:type="paragraph" w:customStyle="1" w:styleId="EndNoteBibliographyTitle">
    <w:name w:val="EndNote Bibliography Title"/>
    <w:basedOn w:val="Normal"/>
    <w:link w:val="EndNoteBibliographyTitle0"/>
    <w:rsid w:val="005853FF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5853FF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5853FF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5853FF"/>
    <w:rPr>
      <w:rFonts w:ascii="DengXian" w:eastAsia="DengXian" w:hAnsi="DengXian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3402</TotalTime>
  <Pages>8</Pages>
  <Words>1923</Words>
  <Characters>10964</Characters>
  <Application>Microsoft Office Word</Application>
  <DocSecurity>0</DocSecurity>
  <Lines>91</Lines>
  <Paragraphs>25</Paragraphs>
  <ScaleCrop>false</ScaleCrop>
  <Company/>
  <LinksUpToDate>false</LinksUpToDate>
  <CharactersWithSpaces>12862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Jianqun Wu</dc:creator>
  <cp:keywords/>
  <dc:description/>
  <cp:lastModifiedBy>Buvaneswari R</cp:lastModifiedBy>
  <cp:revision>25</cp:revision>
  <cp:lastPrinted>2024-02-02T15:24:00Z</cp:lastPrinted>
  <dcterms:created xsi:type="dcterms:W3CDTF">2023-10-25T14:28:00Z</dcterms:created>
  <dcterms:modified xsi:type="dcterms:W3CDTF">2024-08-05T02:24:00Z</dcterms:modified>
</cp:coreProperties>
</file>