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840" w:rsidRPr="00BD48A1" w:rsidRDefault="00092840" w:rsidP="00092840">
      <w:pPr>
        <w:pStyle w:val="Heading1"/>
      </w:pPr>
      <w:r w:rsidRPr="00BD48A1">
        <w:t>Supplementary Figures and The</w:t>
      </w:r>
      <w:bookmarkStart w:id="0" w:name="_GoBack"/>
      <w:bookmarkEnd w:id="0"/>
      <w:r w:rsidRPr="00BD48A1">
        <w:t>ir Legends</w:t>
      </w:r>
    </w:p>
    <w:p w:rsidR="00092840" w:rsidRPr="00BD48A1" w:rsidRDefault="00092840" w:rsidP="00092840">
      <w:pPr>
        <w:spacing w:after="160" w:line="259" w:lineRule="auto"/>
        <w:rPr>
          <w:color w:val="000000" w:themeColor="text1"/>
        </w:rPr>
      </w:pPr>
      <w:r w:rsidRPr="00BD48A1">
        <w:rPr>
          <w:noProof/>
          <w:color w:val="000000" w:themeColor="text1"/>
          <w:lang w:val="en-IN" w:eastAsia="en-IN"/>
        </w:rPr>
        <w:drawing>
          <wp:inline distT="0" distB="0" distL="0" distR="0" wp14:anchorId="1AF02510" wp14:editId="09CA95E8">
            <wp:extent cx="5943600" cy="3351530"/>
            <wp:effectExtent l="0" t="0" r="0" b="1270"/>
            <wp:docPr id="582889534" name="Picture 2" descr="A comparison of the number of patients with the same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89534" name="Picture 2" descr="A comparison of the number of patients with the same number of patients&#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351530"/>
                    </a:xfrm>
                    <a:prstGeom prst="rect">
                      <a:avLst/>
                    </a:prstGeom>
                    <a:noFill/>
                    <a:ln>
                      <a:noFill/>
                    </a:ln>
                  </pic:spPr>
                </pic:pic>
              </a:graphicData>
            </a:graphic>
          </wp:inline>
        </w:drawing>
      </w:r>
      <w:r w:rsidRPr="00BD48A1">
        <w:rPr>
          <w:b/>
          <w:bCs/>
          <w:color w:val="000000" w:themeColor="text1"/>
        </w:rPr>
        <w:t>Supplementary Figure 1:</w:t>
      </w:r>
      <w:r w:rsidRPr="00BD48A1">
        <w:rPr>
          <w:color w:val="000000" w:themeColor="text1"/>
          <w:lang w:val="en-US"/>
        </w:rPr>
        <w:t xml:space="preserve"> IBA1 levels normalized to GAPDH do not change in autopsy tissue in an AD-state dependent manner. </w:t>
      </w:r>
      <w:r w:rsidRPr="00BD48A1">
        <w:rPr>
          <w:b/>
          <w:bCs/>
          <w:color w:val="000000" w:themeColor="text1"/>
          <w:lang w:val="en-US"/>
        </w:rPr>
        <w:t>(A)</w:t>
      </w:r>
      <w:r w:rsidRPr="00BD48A1">
        <w:rPr>
          <w:color w:val="000000" w:themeColor="text1"/>
          <w:lang w:val="el-GR"/>
        </w:rPr>
        <w:t xml:space="preserve"> </w:t>
      </w:r>
      <w:r w:rsidRPr="00BD48A1">
        <w:rPr>
          <w:color w:val="000000" w:themeColor="text1"/>
        </w:rPr>
        <w:t xml:space="preserve">IBA1 levels in autopsy brain tissue were the same in neurocognitively normal (control), EOAD, and LOAD donors. </w:t>
      </w:r>
      <w:r w:rsidRPr="00BD48A1">
        <w:rPr>
          <w:b/>
          <w:bCs/>
          <w:color w:val="000000" w:themeColor="text1"/>
        </w:rPr>
        <w:t>(B)</w:t>
      </w:r>
      <w:r w:rsidRPr="00BD48A1">
        <w:rPr>
          <w:color w:val="000000" w:themeColor="text1"/>
        </w:rPr>
        <w:t xml:space="preserve"> Stratifying IBA1 levels by sex did not reveal sex dependent differences. Data from 56 donors are presented as mean ± SD. </w:t>
      </w:r>
      <w:r w:rsidRPr="00BD48A1">
        <w:rPr>
          <w:rFonts w:eastAsia="Times New Roman"/>
          <w:color w:val="000000" w:themeColor="text1"/>
          <w:lang w:val="en-US"/>
        </w:rPr>
        <w:t>No significance (</w:t>
      </w:r>
      <w:r w:rsidRPr="00BD48A1">
        <w:rPr>
          <w:rFonts w:eastAsia="Times New Roman"/>
          <w:i/>
          <w:iCs/>
          <w:color w:val="000000" w:themeColor="text1"/>
          <w:lang w:val="en-US"/>
        </w:rPr>
        <w:t xml:space="preserve">p </w:t>
      </w:r>
      <w:r w:rsidRPr="00BD48A1">
        <w:rPr>
          <w:rFonts w:eastAsia="Times New Roman"/>
          <w:color w:val="000000" w:themeColor="text1"/>
          <w:lang w:val="en-US"/>
        </w:rPr>
        <w:t>&gt; 0.05)</w:t>
      </w:r>
      <w:r w:rsidRPr="00BD48A1">
        <w:rPr>
          <w:rFonts w:eastAsia="Times New Roman"/>
          <w:i/>
          <w:iCs/>
          <w:color w:val="000000" w:themeColor="text1"/>
          <w:lang w:val="en-US"/>
        </w:rPr>
        <w:t xml:space="preserve"> </w:t>
      </w:r>
      <w:r w:rsidRPr="00BD48A1">
        <w:rPr>
          <w:b/>
          <w:bCs/>
          <w:color w:val="000000" w:themeColor="text1"/>
        </w:rPr>
        <w:t xml:space="preserve">(A) </w:t>
      </w:r>
      <w:r w:rsidRPr="00BD48A1">
        <w:rPr>
          <w:rFonts w:eastAsia="Times New Roman"/>
          <w:color w:val="000000" w:themeColor="text1"/>
          <w:lang w:val="en-US"/>
        </w:rPr>
        <w:t xml:space="preserve">according to the Dunn’s test following the randomized block Kruskal-Wallis test (Krusak-Wallis: </w:t>
      </w:r>
      <w:r w:rsidRPr="00BD48A1">
        <w:rPr>
          <w:rFonts w:eastAsia="Times New Roman"/>
          <w:i/>
          <w:iCs/>
          <w:color w:val="000000" w:themeColor="text1"/>
          <w:lang w:val="en-US"/>
        </w:rPr>
        <w:t>p</w:t>
      </w:r>
      <w:r w:rsidRPr="00BD48A1">
        <w:rPr>
          <w:rFonts w:eastAsia="Times New Roman"/>
          <w:color w:val="000000" w:themeColor="text1"/>
          <w:lang w:val="en-US"/>
        </w:rPr>
        <w:t xml:space="preserve"> = 0.49, H = 1.4) and </w:t>
      </w:r>
      <w:r w:rsidRPr="00BD48A1">
        <w:rPr>
          <w:rFonts w:eastAsia="Times New Roman"/>
          <w:b/>
          <w:bCs/>
          <w:color w:val="000000" w:themeColor="text1"/>
          <w:lang w:val="en-US"/>
        </w:rPr>
        <w:t xml:space="preserve">(B) </w:t>
      </w:r>
      <w:r w:rsidRPr="00BD48A1">
        <w:rPr>
          <w:rFonts w:eastAsia="Times New Roman"/>
          <w:color w:val="000000" w:themeColor="text1"/>
          <w:lang w:val="en-US"/>
        </w:rPr>
        <w:t>according to a Sidak’s post-hoc test following a randomized block two-way ANOVA (Two-way ANOVA:</w:t>
      </w:r>
      <w:r w:rsidRPr="00BD48A1">
        <w:rPr>
          <w:rFonts w:eastAsia="Times New Roman"/>
          <w:b/>
          <w:bCs/>
          <w:color w:val="000000" w:themeColor="text1"/>
          <w:lang w:val="en-US"/>
        </w:rPr>
        <w:t xml:space="preserve"> </w:t>
      </w:r>
      <w:r w:rsidRPr="00BD48A1">
        <w:rPr>
          <w:rFonts w:eastAsia="Times New Roman"/>
          <w:i/>
          <w:iCs/>
          <w:color w:val="000000" w:themeColor="text1"/>
          <w:lang w:val="en-US"/>
        </w:rPr>
        <w:t>p(sex)</w:t>
      </w:r>
      <w:r w:rsidRPr="00BD48A1">
        <w:rPr>
          <w:rFonts w:eastAsia="Times New Roman"/>
          <w:color w:val="000000" w:themeColor="text1"/>
          <w:lang w:val="en-US"/>
        </w:rPr>
        <w:t xml:space="preserve"> = 0.67, F = 0.19; </w:t>
      </w:r>
      <w:r w:rsidRPr="00BD48A1">
        <w:rPr>
          <w:rFonts w:eastAsia="Times New Roman"/>
          <w:i/>
          <w:iCs/>
          <w:color w:val="000000" w:themeColor="text1"/>
          <w:lang w:val="en-US"/>
        </w:rPr>
        <w:t xml:space="preserve">p(disease state) </w:t>
      </w:r>
      <w:r w:rsidRPr="00BD48A1">
        <w:rPr>
          <w:rFonts w:eastAsia="Times New Roman"/>
          <w:color w:val="000000" w:themeColor="text1"/>
          <w:lang w:val="en-US"/>
        </w:rPr>
        <w:t xml:space="preserve">= 0.38, F = 0.98; </w:t>
      </w:r>
      <w:r w:rsidRPr="00BD48A1">
        <w:rPr>
          <w:rFonts w:eastAsia="Times New Roman"/>
          <w:i/>
          <w:iCs/>
          <w:color w:val="000000" w:themeColor="text1"/>
          <w:lang w:val="en-US"/>
        </w:rPr>
        <w:t>p(interaction) = 0.63, F = 0.46</w:t>
      </w:r>
      <w:r w:rsidRPr="00BD48A1">
        <w:rPr>
          <w:rFonts w:eastAsia="Times New Roman"/>
          <w:color w:val="000000" w:themeColor="text1"/>
          <w:lang w:val="en-US"/>
        </w:rPr>
        <w:t xml:space="preserve">). </w:t>
      </w:r>
      <w:r w:rsidRPr="00BD48A1">
        <w:rPr>
          <w:rFonts w:eastAsia="Times New Roman"/>
          <w:b/>
          <w:bCs/>
          <w:color w:val="000000" w:themeColor="text1"/>
        </w:rPr>
        <w:t>(C)</w:t>
      </w:r>
      <w:r w:rsidRPr="00BD48A1">
        <w:rPr>
          <w:rFonts w:eastAsia="Times New Roman"/>
          <w:color w:val="000000" w:themeColor="text1"/>
        </w:rPr>
        <w:t xml:space="preserve"> Representative images of membranes probed with the IBA1 and GAPDH</w:t>
      </w:r>
      <w:r w:rsidRPr="00BD48A1">
        <w:rPr>
          <w:rFonts w:eastAsia="Times New Roman"/>
          <w:color w:val="000000" w:themeColor="text1"/>
          <w:lang w:val="en-US"/>
        </w:rPr>
        <w:t xml:space="preserve"> antibodies to generate graphs are shown in </w:t>
      </w:r>
      <w:r w:rsidRPr="00BD48A1">
        <w:rPr>
          <w:rFonts w:eastAsia="Times New Roman"/>
          <w:b/>
          <w:bCs/>
          <w:color w:val="000000" w:themeColor="text1"/>
          <w:lang w:val="en-US"/>
        </w:rPr>
        <w:t>Figure 5</w:t>
      </w:r>
      <w:r w:rsidRPr="00BD48A1">
        <w:rPr>
          <w:color w:val="000000" w:themeColor="text1"/>
        </w:rPr>
        <w:t xml:space="preserve">, </w:t>
      </w:r>
      <w:r w:rsidRPr="00BD48A1">
        <w:rPr>
          <w:rFonts w:eastAsia="Times New Roman"/>
          <w:color w:val="000000" w:themeColor="text1"/>
          <w:lang w:val="en-US"/>
        </w:rPr>
        <w:t xml:space="preserve">and were used in densitometric analyses to generate the graphs shown in </w:t>
      </w:r>
      <w:r w:rsidRPr="00BD48A1">
        <w:rPr>
          <w:rFonts w:eastAsia="Times New Roman"/>
          <w:b/>
          <w:bCs/>
          <w:color w:val="000000" w:themeColor="text1"/>
          <w:lang w:val="en-US"/>
        </w:rPr>
        <w:t>(A,B)</w:t>
      </w:r>
      <w:r w:rsidRPr="00BD48A1">
        <w:rPr>
          <w:rFonts w:eastAsia="Times New Roman"/>
          <w:color w:val="000000" w:themeColor="text1"/>
          <w:lang w:val="en-US"/>
        </w:rPr>
        <w:t>.</w:t>
      </w:r>
      <w:r w:rsidRPr="00BD48A1">
        <w:rPr>
          <w:color w:val="000000" w:themeColor="text1"/>
        </w:rPr>
        <w:t xml:space="preserve"> All immunoblots used to generate these graphs are presented in </w:t>
      </w:r>
      <w:r w:rsidRPr="00BD48A1">
        <w:rPr>
          <w:b/>
          <w:bCs/>
          <w:color w:val="000000" w:themeColor="text1"/>
        </w:rPr>
        <w:t>Supplementary Figures 2,3</w:t>
      </w:r>
      <w:r w:rsidRPr="00BD48A1">
        <w:rPr>
          <w:color w:val="000000" w:themeColor="text1"/>
        </w:rPr>
        <w:t>.</w:t>
      </w:r>
    </w:p>
    <w:p w:rsidR="00092840" w:rsidRPr="00BD48A1" w:rsidRDefault="00092840" w:rsidP="00092840">
      <w:pPr>
        <w:spacing w:after="160" w:line="259" w:lineRule="auto"/>
        <w:rPr>
          <w:color w:val="000000" w:themeColor="text1"/>
        </w:rPr>
      </w:pPr>
      <w:r w:rsidRPr="00BD48A1">
        <w:rPr>
          <w:b/>
          <w:bCs/>
          <w:color w:val="000000" w:themeColor="text1"/>
        </w:rPr>
        <w:br w:type="page"/>
      </w:r>
    </w:p>
    <w:p w:rsidR="00092840" w:rsidRPr="00BD48A1" w:rsidRDefault="00092840" w:rsidP="00092840">
      <w:pPr>
        <w:spacing w:after="160" w:line="259" w:lineRule="auto"/>
        <w:rPr>
          <w:b/>
          <w:bCs/>
          <w:color w:val="000000" w:themeColor="text1"/>
        </w:rPr>
      </w:pPr>
      <w:r w:rsidRPr="00BD48A1">
        <w:rPr>
          <w:noProof/>
          <w:color w:val="000000" w:themeColor="text1"/>
          <w:lang w:val="en-IN" w:eastAsia="en-IN"/>
        </w:rPr>
        <w:lastRenderedPageBreak/>
        <w:drawing>
          <wp:inline distT="0" distB="0" distL="0" distR="0" wp14:anchorId="3BE59682" wp14:editId="71CBE007">
            <wp:extent cx="5311943" cy="6891338"/>
            <wp:effectExtent l="0" t="0" r="3175" b="5080"/>
            <wp:docPr id="1475505772" name="Picture 6" descr="A close-up of a dn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505772" name="Picture 6" descr="A close-up of a dna tes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23207" cy="6905951"/>
                    </a:xfrm>
                    <a:prstGeom prst="rect">
                      <a:avLst/>
                    </a:prstGeom>
                    <a:noFill/>
                    <a:ln>
                      <a:noFill/>
                    </a:ln>
                  </pic:spPr>
                </pic:pic>
              </a:graphicData>
            </a:graphic>
          </wp:inline>
        </w:drawing>
      </w:r>
    </w:p>
    <w:p w:rsidR="00092840" w:rsidRPr="00BD48A1" w:rsidRDefault="00092840" w:rsidP="00092840">
      <w:pPr>
        <w:spacing w:after="160" w:line="259" w:lineRule="auto"/>
        <w:rPr>
          <w:color w:val="000000" w:themeColor="text1"/>
        </w:rPr>
      </w:pPr>
      <w:r w:rsidRPr="00BD48A1">
        <w:rPr>
          <w:b/>
          <w:bCs/>
          <w:color w:val="000000" w:themeColor="text1"/>
        </w:rPr>
        <w:t xml:space="preserve">Supplementary Figure 2: </w:t>
      </w:r>
      <w:r w:rsidRPr="00BD48A1">
        <w:rPr>
          <w:color w:val="000000" w:themeColor="text1"/>
        </w:rPr>
        <w:t xml:space="preserve">Uncropped immunoblots probing for IBA1 in human cortical tissues. Letter on column header indicates disease status (C = neurocognitively normal, E = EOAD, L = LOAD) and number is the identifier (ID) for referencing the patient age, cause of death, and apolipoprotein E alleles on </w:t>
      </w:r>
      <w:r w:rsidRPr="00BD48A1">
        <w:rPr>
          <w:b/>
          <w:bCs/>
          <w:color w:val="000000" w:themeColor="text1"/>
        </w:rPr>
        <w:t>Supplementary Table 1</w:t>
      </w:r>
      <w:r w:rsidRPr="00BD48A1">
        <w:rPr>
          <w:color w:val="000000" w:themeColor="text1"/>
        </w:rPr>
        <w:t>.</w:t>
      </w:r>
    </w:p>
    <w:p w:rsidR="00092840" w:rsidRPr="00BD48A1" w:rsidRDefault="00092840" w:rsidP="00092840">
      <w:pPr>
        <w:spacing w:after="160" w:line="259" w:lineRule="auto"/>
        <w:rPr>
          <w:noProof/>
          <w:color w:val="000000" w:themeColor="text1"/>
        </w:rPr>
      </w:pPr>
    </w:p>
    <w:p w:rsidR="00092840" w:rsidRPr="00BD48A1" w:rsidRDefault="00092840" w:rsidP="00092840">
      <w:pPr>
        <w:spacing w:after="160" w:line="259" w:lineRule="auto"/>
        <w:rPr>
          <w:b/>
          <w:bCs/>
          <w:color w:val="000000" w:themeColor="text1"/>
        </w:rPr>
      </w:pPr>
      <w:r w:rsidRPr="00BD48A1">
        <w:rPr>
          <w:noProof/>
          <w:color w:val="000000" w:themeColor="text1"/>
          <w:lang w:val="en-IN" w:eastAsia="en-IN"/>
        </w:rPr>
        <w:lastRenderedPageBreak/>
        <w:drawing>
          <wp:inline distT="0" distB="0" distL="0" distR="0" wp14:anchorId="355E4E7A" wp14:editId="7DF56161">
            <wp:extent cx="5616636" cy="7286625"/>
            <wp:effectExtent l="0" t="0" r="3175" b="0"/>
            <wp:docPr id="262129046" name="Picture 7" descr="A close-up of a dn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129046" name="Picture 7" descr="A close-up of a dna tes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6975" cy="7287065"/>
                    </a:xfrm>
                    <a:prstGeom prst="rect">
                      <a:avLst/>
                    </a:prstGeom>
                    <a:noFill/>
                    <a:ln>
                      <a:noFill/>
                    </a:ln>
                  </pic:spPr>
                </pic:pic>
              </a:graphicData>
            </a:graphic>
          </wp:inline>
        </w:drawing>
      </w:r>
    </w:p>
    <w:p w:rsidR="00092840" w:rsidRPr="00BD48A1" w:rsidRDefault="00092840" w:rsidP="00092840">
      <w:pPr>
        <w:spacing w:after="160" w:line="259" w:lineRule="auto"/>
        <w:rPr>
          <w:color w:val="000000" w:themeColor="text1"/>
        </w:rPr>
      </w:pPr>
      <w:r w:rsidRPr="00BD48A1">
        <w:rPr>
          <w:b/>
          <w:bCs/>
          <w:color w:val="000000" w:themeColor="text1"/>
        </w:rPr>
        <w:t xml:space="preserve">Supplementary Figure 3: </w:t>
      </w:r>
      <w:r w:rsidRPr="00BD48A1">
        <w:rPr>
          <w:color w:val="000000" w:themeColor="text1"/>
        </w:rPr>
        <w:t xml:space="preserve">Uncropped immunoblots probing for GAPDH in human cortical tissues. Letter on column header indicates disease status (C = neurocognitively normal, E = EOAD, L = LOAD) and number is the identifier (ID) for referencing the patient age, cause of death, and apolipoprotein E alleles on </w:t>
      </w:r>
      <w:r w:rsidRPr="00BD48A1">
        <w:rPr>
          <w:b/>
          <w:bCs/>
          <w:color w:val="000000" w:themeColor="text1"/>
        </w:rPr>
        <w:t>Supplementary Table 1</w:t>
      </w:r>
      <w:r w:rsidRPr="00BD48A1">
        <w:rPr>
          <w:color w:val="000000" w:themeColor="text1"/>
        </w:rPr>
        <w:t>.</w:t>
      </w:r>
      <w:r w:rsidRPr="00BD48A1">
        <w:rPr>
          <w:color w:val="000000" w:themeColor="text1"/>
        </w:rPr>
        <w:br w:type="page"/>
      </w:r>
    </w:p>
    <w:p w:rsidR="00092840" w:rsidRPr="00BD48A1" w:rsidRDefault="00092840" w:rsidP="00092840">
      <w:pPr>
        <w:spacing w:after="160" w:line="259" w:lineRule="auto"/>
        <w:rPr>
          <w:b/>
          <w:bCs/>
          <w:color w:val="000000" w:themeColor="text1"/>
        </w:rPr>
      </w:pPr>
      <w:bookmarkStart w:id="1" w:name="_Hlk170383037"/>
      <w:r w:rsidRPr="00BD48A1">
        <w:rPr>
          <w:noProof/>
          <w:color w:val="000000" w:themeColor="text1"/>
          <w:lang w:val="en-IN" w:eastAsia="en-IN"/>
        </w:rPr>
        <w:lastRenderedPageBreak/>
        <w:drawing>
          <wp:inline distT="0" distB="0" distL="0" distR="0" wp14:anchorId="49A5B5E2" wp14:editId="753F6B73">
            <wp:extent cx="5943600" cy="4244975"/>
            <wp:effectExtent l="0" t="0" r="0" b="3175"/>
            <wp:docPr id="686445197" name="Picture 2" descr="A close-up of several images of d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445197" name="Picture 2" descr="A close-up of several images of dna&#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244975"/>
                    </a:xfrm>
                    <a:prstGeom prst="rect">
                      <a:avLst/>
                    </a:prstGeom>
                    <a:noFill/>
                    <a:ln>
                      <a:noFill/>
                    </a:ln>
                  </pic:spPr>
                </pic:pic>
              </a:graphicData>
            </a:graphic>
          </wp:inline>
        </w:drawing>
      </w:r>
    </w:p>
    <w:p w:rsidR="00092840" w:rsidRPr="00BD48A1" w:rsidRDefault="00092840" w:rsidP="00092840">
      <w:pPr>
        <w:spacing w:after="160" w:line="259" w:lineRule="auto"/>
        <w:rPr>
          <w:i/>
          <w:iCs/>
          <w:color w:val="000000" w:themeColor="text1"/>
        </w:rPr>
      </w:pPr>
      <w:r w:rsidRPr="00BD48A1">
        <w:rPr>
          <w:b/>
          <w:bCs/>
          <w:color w:val="000000" w:themeColor="text1"/>
        </w:rPr>
        <w:t xml:space="preserve">Supplementary Figure 4: </w:t>
      </w:r>
      <w:r w:rsidRPr="00BD48A1">
        <w:rPr>
          <w:color w:val="000000" w:themeColor="text1"/>
        </w:rPr>
        <w:t xml:space="preserve">Blots representing </w:t>
      </w:r>
      <w:r w:rsidRPr="00BD48A1">
        <w:rPr>
          <w:b/>
          <w:bCs/>
          <w:color w:val="000000" w:themeColor="text1"/>
        </w:rPr>
        <w:t xml:space="preserve">(A, B) </w:t>
      </w:r>
      <w:r w:rsidRPr="00BD48A1">
        <w:rPr>
          <w:color w:val="000000" w:themeColor="text1"/>
        </w:rPr>
        <w:t xml:space="preserve">soluble (aqueous) and the corresponding </w:t>
      </w:r>
      <w:r w:rsidRPr="00BD48A1">
        <w:rPr>
          <w:b/>
          <w:bCs/>
          <w:color w:val="000000" w:themeColor="text1"/>
        </w:rPr>
        <w:t>(C, D)</w:t>
      </w:r>
      <w:r w:rsidRPr="00BD48A1">
        <w:rPr>
          <w:color w:val="000000" w:themeColor="text1"/>
        </w:rPr>
        <w:t xml:space="preserve"> insoluble (plaque-associated) Aβs. Samples are separated by samples from </w:t>
      </w:r>
      <w:r w:rsidRPr="00BD48A1">
        <w:rPr>
          <w:b/>
          <w:bCs/>
          <w:color w:val="000000" w:themeColor="text1"/>
        </w:rPr>
        <w:t>(A,C)</w:t>
      </w:r>
      <w:r w:rsidRPr="00BD48A1">
        <w:rPr>
          <w:color w:val="000000" w:themeColor="text1"/>
        </w:rPr>
        <w:t xml:space="preserve"> male and </w:t>
      </w:r>
      <w:r w:rsidRPr="00BD48A1">
        <w:rPr>
          <w:b/>
          <w:bCs/>
          <w:color w:val="000000" w:themeColor="text1"/>
        </w:rPr>
        <w:t xml:space="preserve">(B,D) </w:t>
      </w:r>
      <w:r w:rsidRPr="00BD48A1">
        <w:rPr>
          <w:color w:val="000000" w:themeColor="text1"/>
        </w:rPr>
        <w:t xml:space="preserve">female donors. 20-30 mg wet weight brain tissue was homogenized in 400-600 </w:t>
      </w:r>
      <w:r w:rsidRPr="00BD48A1">
        <w:rPr>
          <w:color w:val="000000" w:themeColor="text1"/>
          <w:lang w:val="el-GR"/>
        </w:rPr>
        <w:t>μ</w:t>
      </w:r>
      <w:r w:rsidRPr="00BD48A1">
        <w:rPr>
          <w:color w:val="000000" w:themeColor="text1"/>
        </w:rPr>
        <w:t xml:space="preserve">l ice-cold RIPA buffer and then centrifuged at 12,000 </w:t>
      </w:r>
      <w:r w:rsidRPr="00BD48A1">
        <w:rPr>
          <w:i/>
          <w:iCs/>
          <w:color w:val="000000" w:themeColor="text1"/>
        </w:rPr>
        <w:t>g</w:t>
      </w:r>
      <w:r w:rsidRPr="00BD48A1">
        <w:rPr>
          <w:color w:val="000000" w:themeColor="text1"/>
        </w:rPr>
        <w:t xml:space="preserve"> for 10 min at 4°C. The RIPA-soluble fraction contains the soluble Aβs. The pellet collected after centrifugation was dissolved in 5 M guanidine hydrochloride for 2 h at room temperature, and the resulting solution contains the insoluble A</w:t>
      </w:r>
      <w:r w:rsidRPr="00BD48A1">
        <w:rPr>
          <w:color w:val="000000" w:themeColor="text1"/>
          <w:lang w:val="el-GR"/>
        </w:rPr>
        <w:t>β</w:t>
      </w:r>
      <w:r w:rsidRPr="00BD48A1">
        <w:rPr>
          <w:color w:val="000000" w:themeColor="text1"/>
        </w:rPr>
        <w:t xml:space="preserve">s. Protein concentration was quantified by the Lowry assay, and 300 </w:t>
      </w:r>
      <w:r w:rsidRPr="00BD48A1">
        <w:rPr>
          <w:color w:val="000000" w:themeColor="text1"/>
          <w:lang w:val="el-GR"/>
        </w:rPr>
        <w:t>μ</w:t>
      </w:r>
      <w:r w:rsidRPr="00BD48A1">
        <w:rPr>
          <w:color w:val="000000" w:themeColor="text1"/>
        </w:rPr>
        <w:t>g of the RIPA-soluble and guanidine-soluble fraction was used for the immunoprecipitation (which occurred over 16 h at 4°C) of A</w:t>
      </w:r>
      <w:r w:rsidRPr="00BD48A1">
        <w:rPr>
          <w:color w:val="000000" w:themeColor="text1"/>
          <w:lang w:val="el-GR"/>
        </w:rPr>
        <w:t>β</w:t>
      </w:r>
      <w:r w:rsidRPr="00BD48A1">
        <w:rPr>
          <w:color w:val="000000" w:themeColor="text1"/>
        </w:rPr>
        <w:t>s using 6E10 anti-A</w:t>
      </w:r>
      <w:r w:rsidRPr="00BD48A1">
        <w:rPr>
          <w:color w:val="000000" w:themeColor="text1"/>
          <w:lang w:val="el-GR"/>
        </w:rPr>
        <w:t>β</w:t>
      </w:r>
      <w:r w:rsidRPr="00BD48A1">
        <w:rPr>
          <w:color w:val="000000" w:themeColor="text1"/>
        </w:rPr>
        <w:t xml:space="preserve"> antibodies. 6E10 antibodies target all A</w:t>
      </w:r>
      <w:r w:rsidRPr="00BD48A1">
        <w:rPr>
          <w:color w:val="000000" w:themeColor="text1"/>
          <w:lang w:val="el-GR"/>
        </w:rPr>
        <w:t>β</w:t>
      </w:r>
      <w:r w:rsidRPr="00BD48A1">
        <w:rPr>
          <w:color w:val="000000" w:themeColor="text1"/>
        </w:rPr>
        <w:t xml:space="preserve">s with an intact N-terminal sequences, </w:t>
      </w:r>
      <w:r w:rsidRPr="00BD48A1">
        <w:rPr>
          <w:i/>
          <w:iCs/>
          <w:color w:val="000000" w:themeColor="text1"/>
        </w:rPr>
        <w:t xml:space="preserve">i.e., </w:t>
      </w:r>
      <w:r w:rsidRPr="00BD48A1">
        <w:rPr>
          <w:color w:val="000000" w:themeColor="text1"/>
        </w:rPr>
        <w:t>contain residues 1-17 of the A</w:t>
      </w:r>
      <w:r w:rsidRPr="00BD48A1">
        <w:rPr>
          <w:color w:val="000000" w:themeColor="text1"/>
          <w:lang w:val="el-GR"/>
        </w:rPr>
        <w:t>β</w:t>
      </w:r>
      <w:r w:rsidRPr="00BD48A1">
        <w:rPr>
          <w:color w:val="000000" w:themeColor="text1"/>
        </w:rPr>
        <w:t xml:space="preserve"> sequence. The antibody-A</w:t>
      </w:r>
      <w:r w:rsidRPr="00BD48A1">
        <w:rPr>
          <w:color w:val="000000" w:themeColor="text1"/>
          <w:lang w:val="el-GR"/>
        </w:rPr>
        <w:t>β</w:t>
      </w:r>
      <w:r w:rsidRPr="00BD48A1">
        <w:rPr>
          <w:color w:val="000000" w:themeColor="text1"/>
        </w:rPr>
        <w:t xml:space="preserve"> complexes were precipitated using protein A/G Sepharose, and the individual immunocomplexes were resolved on a discontinuous 8 M urea gel system </w:t>
      </w:r>
      <w:r w:rsidRPr="00BD48A1">
        <w:rPr>
          <w:color w:val="000000" w:themeColor="text1"/>
        </w:rPr>
        <w:fldChar w:fldCharType="begin" w:fldLock="1"/>
      </w:r>
      <w:r w:rsidRPr="00BD48A1">
        <w:rPr>
          <w:color w:val="000000" w:themeColor="text1"/>
        </w:rPr>
        <w:instrText>ADDIN CSL_CITATION {"citationItems":[{"id":"ITEM-1","itemData":{"DOI":"10.1016/j.neuroscience.2018.01.005","ISSN":"1873-7544 (Electronic)","PMID":"29331531","abstract":"The APOE ε4 allele was originally reported to contribute to risk of Alzheimer's disease (AD) in women, yet male and female AD patient-derived data are routinely pooled. Histopathological hallmarks of AD include neurofibrillary tangles centered on hyperphosphorylated Tau and plaques composed of the β-amyloid (Aβ) peptide that is derived by sequential secretase-mediated cleavage of the Amyloid Protein Precursor (APP). We chose to examine profiles of Aβ(1-40), Aβ(1-42), and N-truncated (i.e., p3-related) fragments in the plaque-associated fraction of autopsied cortical and corresponding hippocampal samples from donors with a diagnosis of early-onset (EOAD) and late-onset (LOAD) AD. Levels of Aβ(1-40), Aβ(1-42), and the p3 fragment-enriched pool were increased in EOAD and LOAD samples, and correlated well within -but not between- regions. Counterintuitively, these increases were similar regardless of the AD donor's APOE ε4 status. Focusing on the donor's sex and APOE ε4 status as nominal variables (i.e., omitting diagnosis from the stratification) revealed that increases in Aβ peptides were specific to female carriers of the ε4 allele and correlated with the proportional expression of BACE1/β-secretase and ADAM10/α-secretase in the cortex and with nicastrin (γ-secretase) expression in the hippocampus. These data preliminarily support the possibility that AD follows distinct amyloidogenic processes in males and females, and that the APOE ε4 allele exerts a major influence on the disease process, particularly in women. This knowledge could significantly impact the (re)interpretation of unsuccessful outcomes of clinical interventions targeting either Aβ peptides directly or the secretases implicated in APP processing.","author":[{"dropping-particle":"","family":"Nyarko","given":"Jennifer N K","non-dropping-particle":"","parse-names":false,"suffix":""},{"dropping-particle":"","family":"Quartey","given":"Maa O","non-dropping-particle":"","parse-names":false,"suffix":""},{"dropping-particle":"","family":"Pennington","given":"Paul R","non-dropping-particle":"","parse-names":false,"suffix":""},{"dropping-particle":"","family":"Heistad","given":"Ryan M","non-dropping-particle":"","parse-names":false,"suffix":""},{"dropping-particle":"","family":"Dea","given":"Doris","non-dropping-particle":"","parse-names":false,"suffix":""},{"dropping-particle":"","family":"Poirier","given":"Judes","non-dropping-particle":"","parse-names":false,"suffix":""},{"dropping-particle":"","family":"Baker","given":"Glen B","non-dropping-particle":"","parse-names":false,"suffix":""},{"dropping-particle":"","family":"Mousseau","given":"Darrell D","non-dropping-particle":"","parse-names":false,"suffix":""}],"container-title":"Neuroscience","id":"ITEM-1","issued":{"date-parts":[["2018","3"]]},"language":"eng","page":"20-36","publisher-place":"United States","title":"Profiles of β-amyloid peptides and key secretases in brain autopsy samples differ with sex and APOE ε4 status: impact for risk and progression of Alzheimer disease.","type":"article-journal","volume":"373"},"uris":["http://www.mendeley.com/documents/?uuid=7833c7c4-c197-4b89-950b-d2b7e1d1a6b9"]},{"id":"ITEM-2","itemData":{"DOI":"10.1038/s41598-020-80164-w","ISSN":"2045-2322 (Electronic)","PMID":"33432101","abstract":"The pool of β-Amyloid (Aβ) length variants detected in preclinical and clinical  Alzheimer disease (AD) samples suggests a diversity of roles for Aβ peptides. We examined how a naturally occurring variant, e.g. Aβ(1-38), interacts with the AD-related variant, Aβ(1-42), and the predominant physiological variant, Aβ(1-40). Atomic force microscopy, Thioflavin T fluorescence, circular dichroism, dynamic light scattering, and surface plasmon resonance reveal that Aβ(1-38) interacts differently with Aβ(1-40) and Aβ(1-42) and, in general, Aβ(1-38) interferes with the conversion of Aβ(1-42) to a β-sheet-rich aggregate. Functionally, Aβ(1-38) reverses the negative impact of Aβ(1-42) on long-term potentiation in acute hippocampal slices and on membrane conductance in primary neurons, and mitigates an Aβ(1-42) phenotype in Caenorhabditis elegans. Aβ(1-38) also reverses any loss of MTT conversion induced by Aβ(1-40) and Aβ(1-42) in HT-22 hippocampal neurons and APOE ε4-positive human fibroblasts, although the combination of Aβ(1-38) and Aβ(1-42) inhibits MTT conversion in APOE ε4-negative fibroblasts. A greater ratio of soluble Aβ(1-42)/Aβ(1-38) [and Aβ(1-42)/Aβ(1-40)] in autopsied brain extracts correlates with an earlier age-at-death in males (but not females) with a diagnosis of AD. These results suggest that Aβ(1-38) is capable of physically counteracting, potentially in a sex-dependent manner, the neuropathological effects of the AD-relevant Aβ(1-42).","author":[{"dropping-particle":"","family":"Quartey","given":"Maa O","non-dropping-particle":"","parse-names":false,"suffix":""},{"dropping-particle":"","family":"Nyarko","given":"Jennifer N K","non-dropping-particle":"","parse-names":false,"suffix":""},{"dropping-particle":"","family":"Maley","given":"Jason M","non-dropping-particle":"","parse-names":false,"suffix":""},{"dropping-particle":"","family":"Barnes","given":"Jocelyn R","non-dropping-particle":"","parse-names":false,"suffix":""},{"dropping-particle":"","family":"Bolanos","given":"Maria A C","non-dropping-particle":"","parse-names":false,"suffix":""},{"dropping-particle":"","family":"Heistad","given":"Ryan M","non-dropping-particle":"","parse-names":false,"suffix":""},{"dropping-particle":"","family":"Knudsen","given":"Kaeli J","non-dropping-particle":"","parse-names":false,"suffix":""},{"dropping-particle":"","family":"Pennington","given":"Paul R","non-dropping-particle":"","parse-names":false,"suffix":""},{"dropping-particle":"","family":"Buttigieg","given":"Josef","non-dropping-particle":"","parse-names":false,"suffix":""},{"dropping-particle":"","family":"Carvalho","given":"Carlos E","non-dropping-particle":"De","parse-names":false,"suffix":""},{"dropping-particle":"","family":"Leary","given":"Scot C","non-dropping-particle":"","parse-names":false,"suffix":""},{"dropping-particle":"","family":"Parsons","given":"Matthew P","non-dropping-particle":"","parse-names":false,"suffix":""},{"dropping-particle":"","family":"Mousseau","given":"Darrell D","non-dropping-particle":"","parse-names":false,"suffix":""}],"container-title":"Scientific reports","id":"ITEM-2","issue":"1","issued":{"date-parts":[["2021","1"]]},"language":"eng","page":"431","publisher-place":"England","title":"The Aβ(1-38) peptide is a negative regulator of the Aβ(1-42) peptide implicated  in Alzheimer disease progression.","type":"article-journal","volume":"11"},"uris":["http://www.mendeley.com/documents/?uuid=74528bf7-6e91-4ef8-9f13-28ea8f3f0e91"]}],"mendeley":{"formattedCitation":"[21,28]","plainTextFormattedCitation":"[21,28]"},"properties":{"noteIndex":0},"schema":"https://github.com/citation-style-language/schema/raw/master/csl-citation.json"}</w:instrText>
      </w:r>
      <w:r w:rsidRPr="00BD48A1">
        <w:rPr>
          <w:color w:val="000000" w:themeColor="text1"/>
        </w:rPr>
        <w:fldChar w:fldCharType="separate"/>
      </w:r>
      <w:r w:rsidRPr="00BD48A1">
        <w:rPr>
          <w:noProof/>
          <w:color w:val="000000" w:themeColor="text1"/>
        </w:rPr>
        <w:t>[21,28]</w:t>
      </w:r>
      <w:r w:rsidRPr="00BD48A1">
        <w:rPr>
          <w:color w:val="000000" w:themeColor="text1"/>
        </w:rPr>
        <w:fldChar w:fldCharType="end"/>
      </w:r>
      <w:r w:rsidRPr="00BD48A1">
        <w:rPr>
          <w:color w:val="000000" w:themeColor="text1"/>
        </w:rPr>
        <w:t>. This system allows for resolving A</w:t>
      </w:r>
      <w:r w:rsidRPr="00BD48A1">
        <w:rPr>
          <w:color w:val="000000" w:themeColor="text1"/>
          <w:lang w:val="el-GR"/>
        </w:rPr>
        <w:t>β</w:t>
      </w:r>
      <w:r w:rsidRPr="00BD48A1">
        <w:rPr>
          <w:color w:val="000000" w:themeColor="text1"/>
        </w:rPr>
        <w:t xml:space="preserve"> length variants, which were detected by blotting with 6E10 antibodies and visualized using enhanced chemiluminescence. Densitometric analyses were performed using ImageJ 1.32j. Letter on column header indicates disease status (C = neurocognitively normal, E = EOAD, L = LOAD) and number is the patient age. </w:t>
      </w:r>
      <w:r w:rsidRPr="00BD48A1">
        <w:rPr>
          <w:i/>
          <w:iCs/>
          <w:color w:val="000000" w:themeColor="text1"/>
        </w:rPr>
        <w:t>Note: A</w:t>
      </w:r>
      <w:r w:rsidRPr="00BD48A1">
        <w:rPr>
          <w:i/>
          <w:iCs/>
          <w:color w:val="000000" w:themeColor="text1"/>
          <w:lang w:val="el-GR"/>
        </w:rPr>
        <w:t>β</w:t>
      </w:r>
      <w:r w:rsidRPr="00BD48A1">
        <w:rPr>
          <w:i/>
          <w:iCs/>
          <w:color w:val="000000" w:themeColor="text1"/>
        </w:rPr>
        <w:t>(1-40) standard = Std; Immunoglobulin heavy and light chains of 6E10 antibodies used to immunoprecipitated A</w:t>
      </w:r>
      <w:r w:rsidRPr="00BD48A1">
        <w:rPr>
          <w:i/>
          <w:iCs/>
          <w:color w:val="000000" w:themeColor="text1"/>
          <w:lang w:val="el-GR"/>
        </w:rPr>
        <w:t>β</w:t>
      </w:r>
      <w:r w:rsidRPr="00BD48A1">
        <w:rPr>
          <w:i/>
          <w:iCs/>
          <w:color w:val="000000" w:themeColor="text1"/>
        </w:rPr>
        <w:t>s = IgG</w:t>
      </w:r>
      <w:bookmarkEnd w:id="1"/>
      <w:r w:rsidRPr="00BD48A1">
        <w:rPr>
          <w:i/>
          <w:iCs/>
          <w:color w:val="000000" w:themeColor="text1"/>
        </w:rPr>
        <w:t>.</w:t>
      </w:r>
      <w:r w:rsidRPr="00BD48A1">
        <w:rPr>
          <w:b/>
          <w:bCs/>
          <w:color w:val="000000" w:themeColor="text1"/>
        </w:rPr>
        <w:br w:type="page"/>
      </w:r>
    </w:p>
    <w:p w:rsidR="00092840" w:rsidRPr="00BD48A1" w:rsidRDefault="00092840" w:rsidP="00092840">
      <w:pPr>
        <w:pStyle w:val="Heading1"/>
      </w:pPr>
      <w:r w:rsidRPr="00BD48A1">
        <w:lastRenderedPageBreak/>
        <w:t>Supplementary Tables</w:t>
      </w:r>
    </w:p>
    <w:p w:rsidR="00092840" w:rsidRPr="00BD48A1" w:rsidRDefault="00092840" w:rsidP="00092840">
      <w:pPr>
        <w:rPr>
          <w:color w:val="000000" w:themeColor="text1"/>
        </w:rPr>
      </w:pPr>
      <w:r w:rsidRPr="00BD48A1">
        <w:rPr>
          <w:b/>
          <w:bCs/>
          <w:color w:val="000000" w:themeColor="text1"/>
        </w:rPr>
        <w:t xml:space="preserve">Supplementary Table 1: </w:t>
      </w:r>
      <w:r w:rsidRPr="00BD48A1">
        <w:rPr>
          <w:color w:val="000000" w:themeColor="text1"/>
        </w:rPr>
        <w:t>Sex, age, apolipoprotein E status, and cause of death for each human brain sample used in this study.</w:t>
      </w:r>
    </w:p>
    <w:tbl>
      <w:tblPr>
        <w:tblW w:w="0" w:type="auto"/>
        <w:tblLook w:val="04A0" w:firstRow="1" w:lastRow="0" w:firstColumn="1" w:lastColumn="0" w:noHBand="0" w:noVBand="1"/>
      </w:tblPr>
      <w:tblGrid>
        <w:gridCol w:w="2578"/>
        <w:gridCol w:w="416"/>
        <w:gridCol w:w="746"/>
        <w:gridCol w:w="516"/>
        <w:gridCol w:w="2065"/>
        <w:gridCol w:w="3029"/>
      </w:tblGrid>
      <w:tr w:rsidR="00BD48A1" w:rsidRPr="00BD48A1" w:rsidTr="0074255F">
        <w:trPr>
          <w:trHeight w:val="285"/>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noWrap/>
          </w:tcPr>
          <w:p w:rsidR="00092840" w:rsidRPr="00BD48A1" w:rsidRDefault="00092840" w:rsidP="0074255F">
            <w:pPr>
              <w:spacing w:line="240" w:lineRule="auto"/>
              <w:jc w:val="center"/>
              <w:rPr>
                <w:rFonts w:eastAsia="Times New Roman"/>
                <w:b/>
                <w:bCs/>
                <w:color w:val="000000" w:themeColor="text1"/>
                <w:lang w:eastAsia="en-CA"/>
              </w:rPr>
            </w:pPr>
            <w:r w:rsidRPr="00BD48A1">
              <w:rPr>
                <w:rFonts w:eastAsia="Times New Roman"/>
                <w:b/>
                <w:bCs/>
                <w:color w:val="000000" w:themeColor="text1"/>
                <w:lang w:eastAsia="en-CA"/>
              </w:rPr>
              <w:t>Alzheimer Disease (AD) Status</w:t>
            </w:r>
          </w:p>
        </w:tc>
        <w:tc>
          <w:tcPr>
            <w:tcW w:w="0" w:type="auto"/>
            <w:tcBorders>
              <w:top w:val="single" w:sz="4" w:space="0" w:color="auto"/>
              <w:left w:val="nil"/>
              <w:bottom w:val="single" w:sz="4" w:space="0" w:color="auto"/>
              <w:right w:val="single" w:sz="4" w:space="0" w:color="auto"/>
            </w:tcBorders>
            <w:shd w:val="clear" w:color="auto" w:fill="E7E6E6" w:themeFill="background2"/>
          </w:tcPr>
          <w:p w:rsidR="00092840" w:rsidRPr="00BD48A1" w:rsidRDefault="00092840" w:rsidP="0074255F">
            <w:pPr>
              <w:spacing w:line="240" w:lineRule="auto"/>
              <w:jc w:val="center"/>
              <w:rPr>
                <w:rFonts w:eastAsia="Times New Roman"/>
                <w:b/>
                <w:bCs/>
                <w:color w:val="000000" w:themeColor="text1"/>
                <w:lang w:eastAsia="en-CA"/>
              </w:rPr>
            </w:pPr>
            <w:r w:rsidRPr="00BD48A1">
              <w:rPr>
                <w:rFonts w:eastAsia="Times New Roman"/>
                <w:b/>
                <w:bCs/>
                <w:color w:val="000000" w:themeColor="text1"/>
                <w:lang w:eastAsia="en-CA"/>
              </w:rPr>
              <w:t>ID</w:t>
            </w:r>
          </w:p>
        </w:tc>
        <w:tc>
          <w:tcPr>
            <w:tcW w:w="0" w:type="auto"/>
            <w:tcBorders>
              <w:top w:val="single" w:sz="4" w:space="0" w:color="auto"/>
              <w:left w:val="single" w:sz="4" w:space="0" w:color="auto"/>
              <w:bottom w:val="single" w:sz="4" w:space="0" w:color="auto"/>
              <w:right w:val="single" w:sz="4" w:space="0" w:color="auto"/>
            </w:tcBorders>
            <w:shd w:val="clear" w:color="auto" w:fill="E7E6E6" w:themeFill="background2"/>
            <w:noWrap/>
          </w:tcPr>
          <w:p w:rsidR="00092840" w:rsidRPr="00BD48A1" w:rsidRDefault="00092840" w:rsidP="0074255F">
            <w:pPr>
              <w:spacing w:line="240" w:lineRule="auto"/>
              <w:jc w:val="center"/>
              <w:rPr>
                <w:rFonts w:eastAsia="Times New Roman"/>
                <w:b/>
                <w:bCs/>
                <w:color w:val="000000" w:themeColor="text1"/>
                <w:lang w:eastAsia="en-CA"/>
              </w:rPr>
            </w:pPr>
            <w:r w:rsidRPr="00BD48A1">
              <w:rPr>
                <w:rFonts w:eastAsia="Times New Roman"/>
                <w:b/>
                <w:bCs/>
                <w:color w:val="000000" w:themeColor="text1"/>
                <w:lang w:eastAsia="en-CA"/>
              </w:rPr>
              <w:t>Sex</w:t>
            </w:r>
          </w:p>
        </w:tc>
        <w:tc>
          <w:tcPr>
            <w:tcW w:w="0" w:type="auto"/>
            <w:tcBorders>
              <w:top w:val="single" w:sz="4" w:space="0" w:color="auto"/>
              <w:left w:val="nil"/>
              <w:bottom w:val="single" w:sz="4" w:space="0" w:color="auto"/>
              <w:right w:val="single" w:sz="4" w:space="0" w:color="auto"/>
            </w:tcBorders>
            <w:shd w:val="clear" w:color="auto" w:fill="E7E6E6" w:themeFill="background2"/>
            <w:noWrap/>
          </w:tcPr>
          <w:p w:rsidR="00092840" w:rsidRPr="00BD48A1" w:rsidRDefault="00092840" w:rsidP="0074255F">
            <w:pPr>
              <w:spacing w:line="240" w:lineRule="auto"/>
              <w:jc w:val="center"/>
              <w:rPr>
                <w:rFonts w:eastAsia="Times New Roman"/>
                <w:b/>
                <w:bCs/>
                <w:color w:val="000000" w:themeColor="text1"/>
                <w:lang w:eastAsia="en-CA"/>
              </w:rPr>
            </w:pPr>
            <w:r w:rsidRPr="00BD48A1">
              <w:rPr>
                <w:rFonts w:eastAsia="Times New Roman"/>
                <w:b/>
                <w:bCs/>
                <w:color w:val="000000" w:themeColor="text1"/>
                <w:lang w:eastAsia="en-CA"/>
              </w:rPr>
              <w:t>Age</w:t>
            </w:r>
          </w:p>
        </w:tc>
        <w:tc>
          <w:tcPr>
            <w:tcW w:w="0" w:type="auto"/>
            <w:tcBorders>
              <w:top w:val="single" w:sz="4" w:space="0" w:color="auto"/>
              <w:left w:val="nil"/>
              <w:bottom w:val="single" w:sz="4" w:space="0" w:color="auto"/>
              <w:right w:val="single" w:sz="4" w:space="0" w:color="auto"/>
            </w:tcBorders>
            <w:shd w:val="clear" w:color="auto" w:fill="E7E6E6" w:themeFill="background2"/>
            <w:noWrap/>
          </w:tcPr>
          <w:p w:rsidR="00092840" w:rsidRPr="00BD48A1" w:rsidRDefault="00092840" w:rsidP="0074255F">
            <w:pPr>
              <w:spacing w:line="240" w:lineRule="auto"/>
              <w:jc w:val="center"/>
              <w:rPr>
                <w:rFonts w:eastAsia="Times New Roman"/>
                <w:b/>
                <w:bCs/>
                <w:color w:val="000000" w:themeColor="text1"/>
                <w:lang w:eastAsia="en-CA"/>
              </w:rPr>
            </w:pPr>
            <w:r w:rsidRPr="00BD48A1">
              <w:rPr>
                <w:rFonts w:eastAsia="Times New Roman"/>
                <w:b/>
                <w:bCs/>
                <w:color w:val="000000" w:themeColor="text1"/>
                <w:lang w:eastAsia="en-CA"/>
              </w:rPr>
              <w:t>Apolipoprotein E alleles</w:t>
            </w:r>
          </w:p>
        </w:tc>
        <w:tc>
          <w:tcPr>
            <w:tcW w:w="0" w:type="auto"/>
            <w:tcBorders>
              <w:top w:val="single" w:sz="4" w:space="0" w:color="auto"/>
              <w:left w:val="nil"/>
              <w:bottom w:val="single" w:sz="4" w:space="0" w:color="auto"/>
              <w:right w:val="single" w:sz="4" w:space="0" w:color="auto"/>
            </w:tcBorders>
            <w:shd w:val="clear" w:color="auto" w:fill="E7E6E6" w:themeFill="background2"/>
            <w:noWrap/>
          </w:tcPr>
          <w:p w:rsidR="00092840" w:rsidRPr="00BD48A1" w:rsidRDefault="00092840" w:rsidP="0074255F">
            <w:pPr>
              <w:spacing w:line="240" w:lineRule="auto"/>
              <w:jc w:val="center"/>
              <w:rPr>
                <w:rFonts w:eastAsia="Times New Roman"/>
                <w:b/>
                <w:bCs/>
                <w:color w:val="000000" w:themeColor="text1"/>
                <w:lang w:eastAsia="en-CA"/>
              </w:rPr>
            </w:pPr>
            <w:r w:rsidRPr="00BD48A1">
              <w:rPr>
                <w:rFonts w:eastAsia="Times New Roman"/>
                <w:b/>
                <w:bCs/>
                <w:color w:val="000000" w:themeColor="text1"/>
                <w:lang w:eastAsia="en-CA"/>
              </w:rPr>
              <w:t>Cause of death</w:t>
            </w:r>
          </w:p>
        </w:tc>
      </w:tr>
      <w:tr w:rsidR="00BD48A1" w:rsidRPr="00BD48A1" w:rsidTr="0074255F">
        <w:trPr>
          <w:trHeight w:val="285"/>
        </w:trPr>
        <w:tc>
          <w:tcPr>
            <w:tcW w:w="0" w:type="auto"/>
            <w:vMerge w:val="restart"/>
            <w:tcBorders>
              <w:top w:val="single" w:sz="4" w:space="0" w:color="auto"/>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Neurocognitively normal (C)</w:t>
            </w: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single" w:sz="4" w:space="0" w:color="auto"/>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69</w:t>
            </w:r>
          </w:p>
        </w:tc>
        <w:tc>
          <w:tcPr>
            <w:tcW w:w="0" w:type="auto"/>
            <w:tcBorders>
              <w:top w:val="single" w:sz="4" w:space="0" w:color="auto"/>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single" w:sz="4" w:space="0" w:color="auto"/>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Heart failure</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2</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70</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Hemorrhagic colitis</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3</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69</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2</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Heart failure</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89</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Heart failure</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21</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79</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Acute pulmonary edema</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22</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85</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Heart failure</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23</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60</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2/</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 discernable cause</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24</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61</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Pancreatic metastasis</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41</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59</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42</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43</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77</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44</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66</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48</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Breast cancer metastasis</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75</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Coronary arteriosclerosis</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9</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70</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Retroperitoneal hematoma</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15</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75</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Pulmonary edema</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16</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77</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Pancreatic carcinoma</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29</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76</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Heart failure</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30</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86</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Heart failure</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31</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50</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Heart failure</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32</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51</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Breast cancer</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37</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59</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Chronic obstructive pulmonary disease</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38</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Cecal adenocarcinoma</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50</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91</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51</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val="restart"/>
            <w:tcBorders>
              <w:top w:val="nil"/>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Early-onset AD</w:t>
            </w:r>
            <w:r w:rsidRPr="00BD48A1">
              <w:rPr>
                <w:rFonts w:eastAsia="Times New Roman"/>
                <w:color w:val="000000" w:themeColor="text1"/>
                <w:lang w:eastAsia="en-CA"/>
              </w:rPr>
              <w:br/>
              <w:t>(EOAD)</w:t>
            </w:r>
          </w:p>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67</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2</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Early-onset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25</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Early-onset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26</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Early-onset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45</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62</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46</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47</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70</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10</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46</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Early-onset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11</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47</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Early-onset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17</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58</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Early-onset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20</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59</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Early-onset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33</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47</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Early-onset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34</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49</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Early-onset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39</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62</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Early-onset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52</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53</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val="restart"/>
            <w:tcBorders>
              <w:top w:val="nil"/>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r w:rsidRPr="00BD48A1">
              <w:rPr>
                <w:rFonts w:eastAsia="Times New Roman"/>
                <w:color w:val="000000" w:themeColor="text1"/>
                <w:lang w:eastAsia="en-CA"/>
              </w:rPr>
              <w:br/>
              <w:t>(LOAD)</w:t>
            </w: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2</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13</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88</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14</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88</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27</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79</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28</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85</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48</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79</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49</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87</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12</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77</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val="el-GR"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18</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19</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85</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35</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76</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4</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36</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80</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3/</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40</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61</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Late-onset AD</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54</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87</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55</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90</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r w:rsidR="00BD48A1" w:rsidRPr="00BD48A1" w:rsidTr="0074255F">
        <w:trPr>
          <w:trHeight w:val="285"/>
        </w:trPr>
        <w:tc>
          <w:tcPr>
            <w:tcW w:w="0" w:type="auto"/>
            <w:vMerge/>
            <w:tcBorders>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p>
        </w:tc>
        <w:tc>
          <w:tcPr>
            <w:tcW w:w="0" w:type="auto"/>
            <w:tcBorders>
              <w:top w:val="single" w:sz="4" w:space="0" w:color="auto"/>
              <w:left w:val="nil"/>
              <w:bottom w:val="single" w:sz="4" w:space="0" w:color="auto"/>
              <w:right w:val="single" w:sz="4" w:space="0" w:color="auto"/>
            </w:tcBorders>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56</w:t>
            </w:r>
          </w:p>
        </w:tc>
        <w:tc>
          <w:tcPr>
            <w:tcW w:w="0" w:type="auto"/>
            <w:tcBorders>
              <w:top w:val="nil"/>
              <w:left w:val="single" w:sz="4" w:space="0" w:color="auto"/>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Female</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93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val="el-GR" w:eastAsia="en-CA"/>
              </w:rPr>
              <w:t>ε</w:t>
            </w:r>
            <w:r w:rsidRPr="00BD48A1">
              <w:rPr>
                <w:rFonts w:eastAsia="Times New Roman"/>
                <w:color w:val="000000" w:themeColor="text1"/>
                <w:lang w:eastAsia="en-CA"/>
              </w:rPr>
              <w:t>4/</w:t>
            </w:r>
            <w:r w:rsidRPr="00BD48A1">
              <w:rPr>
                <w:rFonts w:eastAsia="Times New Roman"/>
                <w:color w:val="000000" w:themeColor="text1"/>
                <w:lang w:val="el-GR" w:eastAsia="en-CA"/>
              </w:rPr>
              <w:t>ε</w:t>
            </w:r>
            <w:r w:rsidRPr="00BD48A1">
              <w:rPr>
                <w:rFonts w:eastAsia="Times New Roman"/>
                <w:color w:val="000000" w:themeColor="text1"/>
                <w:lang w:eastAsia="en-CA"/>
              </w:rPr>
              <w:t>3</w:t>
            </w:r>
          </w:p>
        </w:tc>
        <w:tc>
          <w:tcPr>
            <w:tcW w:w="0" w:type="auto"/>
            <w:tcBorders>
              <w:top w:val="nil"/>
              <w:left w:val="nil"/>
              <w:bottom w:val="single" w:sz="4" w:space="0" w:color="auto"/>
              <w:right w:val="single" w:sz="4" w:space="0" w:color="auto"/>
            </w:tcBorders>
            <w:shd w:val="clear" w:color="auto" w:fill="auto"/>
            <w:noWrap/>
            <w:hideMark/>
          </w:tcPr>
          <w:p w:rsidR="00092840" w:rsidRPr="00BD48A1" w:rsidRDefault="00092840" w:rsidP="0074255F">
            <w:pPr>
              <w:spacing w:line="240" w:lineRule="auto"/>
              <w:jc w:val="center"/>
              <w:rPr>
                <w:rFonts w:eastAsia="Times New Roman"/>
                <w:color w:val="000000" w:themeColor="text1"/>
                <w:lang w:eastAsia="en-CA"/>
              </w:rPr>
            </w:pPr>
            <w:r w:rsidRPr="00BD48A1">
              <w:rPr>
                <w:rFonts w:eastAsia="Times New Roman"/>
                <w:color w:val="000000" w:themeColor="text1"/>
                <w:lang w:eastAsia="en-CA"/>
              </w:rPr>
              <w:t>Not known</w:t>
            </w:r>
          </w:p>
        </w:tc>
      </w:tr>
    </w:tbl>
    <w:p w:rsidR="00092840" w:rsidRPr="00BD48A1" w:rsidRDefault="00092840" w:rsidP="00092840">
      <w:pPr>
        <w:spacing w:after="160" w:line="259" w:lineRule="auto"/>
        <w:rPr>
          <w:b/>
          <w:bCs/>
          <w:color w:val="000000" w:themeColor="text1"/>
          <w:lang w:val="el-GR"/>
        </w:rPr>
      </w:pPr>
      <w:r w:rsidRPr="00BD48A1">
        <w:rPr>
          <w:b/>
          <w:bCs/>
          <w:color w:val="000000" w:themeColor="text1"/>
        </w:rPr>
        <w:br w:type="page"/>
      </w:r>
    </w:p>
    <w:p w:rsidR="00092840" w:rsidRPr="00BD48A1" w:rsidRDefault="00092840" w:rsidP="00092840">
      <w:pPr>
        <w:rPr>
          <w:b/>
          <w:bCs/>
          <w:color w:val="000000" w:themeColor="text1"/>
        </w:rPr>
      </w:pPr>
      <w:r w:rsidRPr="00BD48A1">
        <w:rPr>
          <w:b/>
          <w:bCs/>
          <w:color w:val="000000" w:themeColor="text1"/>
        </w:rPr>
        <w:lastRenderedPageBreak/>
        <w:t xml:space="preserve">Supplementary Table 2: </w:t>
      </w:r>
      <w:r w:rsidRPr="00BD48A1">
        <w:rPr>
          <w:color w:val="000000" w:themeColor="text1"/>
        </w:rPr>
        <w:t>Relationship of cortical IBA1 levels and patient demographics</w:t>
      </w:r>
      <w:r w:rsidRPr="00BD48A1">
        <w:rPr>
          <w:color w:val="000000" w:themeColor="text1"/>
          <w:lang w:val="en-US"/>
        </w:rPr>
        <w:t xml:space="preserve"> according to a linear regression</w:t>
      </w:r>
    </w:p>
    <w:tbl>
      <w:tblPr>
        <w:tblStyle w:val="TableGrid"/>
        <w:tblW w:w="0" w:type="auto"/>
        <w:tblLook w:val="04A0" w:firstRow="1" w:lastRow="0" w:firstColumn="1" w:lastColumn="0" w:noHBand="0" w:noVBand="1"/>
      </w:tblPr>
      <w:tblGrid>
        <w:gridCol w:w="1605"/>
        <w:gridCol w:w="733"/>
        <w:gridCol w:w="828"/>
        <w:gridCol w:w="805"/>
        <w:gridCol w:w="1079"/>
        <w:gridCol w:w="1080"/>
        <w:gridCol w:w="1079"/>
        <w:gridCol w:w="1079"/>
      </w:tblGrid>
      <w:tr w:rsidR="00BD48A1" w:rsidRPr="00BD48A1" w:rsidTr="0074255F">
        <w:trPr>
          <w:trHeight w:val="432"/>
        </w:trPr>
        <w:tc>
          <w:tcPr>
            <w:tcW w:w="0" w:type="auto"/>
            <w:tcBorders>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Cortex</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Control</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EOAD</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LOAD</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IBA1 vs AAO</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0.6515</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0.6744</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0.1272</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0.1139</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by sex</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single" w:sz="4" w:space="0" w:color="auto"/>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0.8414</w:t>
            </w:r>
          </w:p>
        </w:tc>
        <w:tc>
          <w:tcPr>
            <w:tcW w:w="0" w:type="auto"/>
            <w:tcBorders>
              <w:top w:val="single" w:sz="4" w:space="0" w:color="auto"/>
              <w:left w:val="nil"/>
              <w:bottom w:val="nil"/>
              <w:right w:val="nil"/>
            </w:tcBorders>
          </w:tcPr>
          <w:p w:rsidR="00092840" w:rsidRPr="00BD48A1" w:rsidRDefault="00092840" w:rsidP="0074255F">
            <w:pPr>
              <w:rPr>
                <w:b/>
                <w:bCs/>
                <w:color w:val="000000" w:themeColor="text1"/>
                <w:sz w:val="20"/>
                <w:szCs w:val="20"/>
              </w:rPr>
            </w:pPr>
            <w:r w:rsidRPr="00BD48A1">
              <w:rPr>
                <w:b/>
                <w:bCs/>
                <w:i/>
                <w:iCs/>
                <w:color w:val="000000" w:themeColor="text1"/>
                <w:sz w:val="20"/>
                <w:szCs w:val="20"/>
              </w:rPr>
              <w:t>p</w:t>
            </w:r>
            <w:r w:rsidRPr="00BD48A1">
              <w:rPr>
                <w:b/>
                <w:bCs/>
                <w:color w:val="000000" w:themeColor="text1"/>
                <w:sz w:val="20"/>
                <w:szCs w:val="20"/>
              </w:rPr>
              <w:t xml:space="preserve"> = 0.0211</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0.4533</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0.4115</w:t>
            </w:r>
          </w:p>
        </w:tc>
      </w:tr>
      <w:tr w:rsidR="00BD48A1" w:rsidRPr="00BD48A1" w:rsidTr="0074255F">
        <w:trPr>
          <w:trHeight w:val="432"/>
        </w:trPr>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single" w:sz="4" w:space="0" w:color="auto"/>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0.1061</w:t>
            </w:r>
          </w:p>
        </w:tc>
        <w:tc>
          <w:tcPr>
            <w:tcW w:w="0" w:type="auto"/>
            <w:tcBorders>
              <w:top w:val="nil"/>
              <w:left w:val="nil"/>
              <w:bottom w:val="single" w:sz="4" w:space="0" w:color="auto"/>
              <w:right w:val="nil"/>
            </w:tcBorders>
          </w:tcPr>
          <w:p w:rsidR="00092840" w:rsidRPr="00BD48A1" w:rsidRDefault="00092840" w:rsidP="0074255F">
            <w:pPr>
              <w:rPr>
                <w:b/>
                <w:color w:val="000000" w:themeColor="text1"/>
                <w:sz w:val="20"/>
                <w:szCs w:val="20"/>
              </w:rPr>
            </w:pPr>
            <w:r w:rsidRPr="00BD48A1">
              <w:rPr>
                <w:b/>
                <w:color w:val="000000" w:themeColor="text1"/>
                <w:sz w:val="20"/>
                <w:szCs w:val="20"/>
              </w:rPr>
              <w:t>r = 0.7457</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0.3416</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0.3134</w:t>
            </w:r>
          </w:p>
        </w:tc>
      </w:tr>
      <w:tr w:rsidR="00BD48A1" w:rsidRPr="00BD48A1" w:rsidTr="0074255F">
        <w:trPr>
          <w:trHeight w:val="432"/>
        </w:trPr>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IBA1 vs duration</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single" w:sz="4" w:space="0" w:color="auto"/>
              <w:left w:val="nil"/>
              <w:bottom w:val="nil"/>
              <w:right w:val="nil"/>
            </w:tcBorders>
          </w:tcPr>
          <w:p w:rsidR="00092840" w:rsidRPr="00BD48A1" w:rsidRDefault="00092840" w:rsidP="0074255F">
            <w:pPr>
              <w:jc w:val="cente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0.3804</w:t>
            </w:r>
          </w:p>
        </w:tc>
        <w:tc>
          <w:tcPr>
            <w:tcW w:w="0" w:type="auto"/>
            <w:tcBorders>
              <w:top w:val="single" w:sz="4" w:space="0" w:color="auto"/>
              <w:left w:val="nil"/>
              <w:bottom w:val="nil"/>
              <w:right w:val="nil"/>
            </w:tcBorders>
          </w:tcPr>
          <w:p w:rsidR="00092840" w:rsidRPr="00BD48A1" w:rsidRDefault="00092840" w:rsidP="0074255F">
            <w:pPr>
              <w:rPr>
                <w:b/>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0.7166</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nil"/>
              <w:right w:val="nil"/>
            </w:tcBorders>
          </w:tcPr>
          <w:p w:rsidR="00092840" w:rsidRPr="00BD48A1" w:rsidRDefault="00092840" w:rsidP="0074255F">
            <w:pPr>
              <w:jc w:val="cente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0.2442</w:t>
            </w:r>
          </w:p>
        </w:tc>
        <w:tc>
          <w:tcPr>
            <w:tcW w:w="0" w:type="auto"/>
            <w:tcBorders>
              <w:top w:val="nil"/>
              <w:left w:val="nil"/>
              <w:bottom w:val="nil"/>
              <w:right w:val="nil"/>
            </w:tcBorders>
          </w:tcPr>
          <w:p w:rsidR="00092840" w:rsidRPr="00BD48A1" w:rsidRDefault="00092840" w:rsidP="0074255F">
            <w:pPr>
              <w:rPr>
                <w:b/>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0.1067</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by sex</w:t>
            </w:r>
          </w:p>
        </w:tc>
        <w:tc>
          <w:tcPr>
            <w:tcW w:w="0" w:type="auto"/>
            <w:tcBorders>
              <w:top w:val="nil"/>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Male</w:t>
            </w:r>
          </w:p>
        </w:tc>
        <w:tc>
          <w:tcPr>
            <w:tcW w:w="0" w:type="auto"/>
            <w:tcBorders>
              <w:top w:val="nil"/>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Female</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nil"/>
              <w:right w:val="nil"/>
            </w:tcBorders>
          </w:tcPr>
          <w:p w:rsidR="00092840" w:rsidRPr="00BD48A1" w:rsidRDefault="00092840" w:rsidP="0074255F">
            <w:pPr>
              <w:rPr>
                <w:b/>
                <w:color w:val="000000" w:themeColor="text1"/>
                <w:sz w:val="20"/>
                <w:szCs w:val="20"/>
              </w:rPr>
            </w:pPr>
            <w:r w:rsidRPr="00BD48A1">
              <w:rPr>
                <w:color w:val="000000" w:themeColor="text1"/>
                <w:sz w:val="20"/>
                <w:szCs w:val="20"/>
              </w:rPr>
              <w:t>Female</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Female</w:t>
            </w: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0.9928</w:t>
            </w:r>
          </w:p>
        </w:tc>
        <w:tc>
          <w:tcPr>
            <w:tcW w:w="0" w:type="auto"/>
            <w:tcBorders>
              <w:top w:val="nil"/>
              <w:left w:val="nil"/>
              <w:bottom w:val="nil"/>
              <w:right w:val="nil"/>
            </w:tcBorders>
          </w:tcPr>
          <w:p w:rsidR="00092840" w:rsidRPr="00BD48A1" w:rsidRDefault="00092840" w:rsidP="0074255F">
            <w:pPr>
              <w:rPr>
                <w:b/>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0.2261</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0.8390</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0.8456</w:t>
            </w:r>
          </w:p>
        </w:tc>
      </w:tr>
      <w:tr w:rsidR="00BD48A1" w:rsidRPr="00BD48A1" w:rsidTr="0074255F">
        <w:trPr>
          <w:trHeight w:val="432"/>
        </w:trPr>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single" w:sz="4" w:space="0" w:color="auto"/>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0.0048</w:t>
            </w:r>
          </w:p>
        </w:tc>
        <w:tc>
          <w:tcPr>
            <w:tcW w:w="0" w:type="auto"/>
            <w:tcBorders>
              <w:top w:val="nil"/>
              <w:left w:val="nil"/>
              <w:bottom w:val="single" w:sz="4" w:space="0" w:color="auto"/>
              <w:right w:val="nil"/>
            </w:tcBorders>
          </w:tcPr>
          <w:p w:rsidR="00092840" w:rsidRPr="00BD48A1" w:rsidRDefault="00092840" w:rsidP="0074255F">
            <w:pPr>
              <w:rPr>
                <w:b/>
                <w:color w:val="000000" w:themeColor="text1"/>
                <w:sz w:val="20"/>
                <w:szCs w:val="20"/>
              </w:rPr>
            </w:pPr>
            <w:r w:rsidRPr="00BD48A1">
              <w:rPr>
                <w:color w:val="000000" w:themeColor="text1"/>
                <w:sz w:val="20"/>
                <w:szCs w:val="20"/>
              </w:rPr>
              <w:t>r = 0.4483</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0.1077</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0.0827</w:t>
            </w:r>
          </w:p>
        </w:tc>
      </w:tr>
      <w:tr w:rsidR="00BD48A1" w:rsidRPr="00BD48A1" w:rsidTr="0074255F">
        <w:trPr>
          <w:trHeight w:val="432"/>
        </w:trPr>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IBA1 vs AAD</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single" w:sz="4" w:space="0" w:color="auto"/>
              <w:left w:val="nil"/>
              <w:bottom w:val="nil"/>
              <w:right w:val="nil"/>
            </w:tcBorders>
          </w:tcPr>
          <w:p w:rsidR="00092840" w:rsidRPr="00BD48A1" w:rsidRDefault="00092840" w:rsidP="0074255F">
            <w:pPr>
              <w:jc w:val="cente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0.4020</w:t>
            </w:r>
          </w:p>
        </w:tc>
        <w:tc>
          <w:tcPr>
            <w:tcW w:w="0" w:type="auto"/>
            <w:tcBorders>
              <w:top w:val="single" w:sz="4" w:space="0" w:color="auto"/>
              <w:left w:val="nil"/>
              <w:bottom w:val="nil"/>
              <w:right w:val="nil"/>
            </w:tcBorders>
          </w:tcPr>
          <w:p w:rsidR="00092840" w:rsidRPr="00BD48A1" w:rsidRDefault="00092840" w:rsidP="0074255F">
            <w:pPr>
              <w:rPr>
                <w:b/>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0.3683</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nil"/>
              <w:right w:val="nil"/>
            </w:tcBorders>
          </w:tcPr>
          <w:p w:rsidR="00092840" w:rsidRPr="00BD48A1" w:rsidRDefault="00092840" w:rsidP="0074255F">
            <w:pPr>
              <w:jc w:val="cente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0.2337</w:t>
            </w:r>
          </w:p>
        </w:tc>
        <w:tc>
          <w:tcPr>
            <w:tcW w:w="0" w:type="auto"/>
            <w:tcBorders>
              <w:top w:val="nil"/>
              <w:left w:val="nil"/>
              <w:bottom w:val="nil"/>
              <w:right w:val="nil"/>
            </w:tcBorders>
          </w:tcPr>
          <w:p w:rsidR="00092840" w:rsidRPr="00BD48A1" w:rsidRDefault="00092840" w:rsidP="0074255F">
            <w:pPr>
              <w:rPr>
                <w:b/>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0.2411</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by sex</w:t>
            </w:r>
          </w:p>
        </w:tc>
        <w:tc>
          <w:tcPr>
            <w:tcW w:w="0" w:type="auto"/>
            <w:tcBorders>
              <w:top w:val="nil"/>
              <w:left w:val="nil"/>
              <w:bottom w:val="nil"/>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Male</w:t>
            </w:r>
          </w:p>
        </w:tc>
        <w:tc>
          <w:tcPr>
            <w:tcW w:w="0" w:type="auto"/>
            <w:tcBorders>
              <w:top w:val="nil"/>
              <w:left w:val="nil"/>
              <w:bottom w:val="nil"/>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Female</w:t>
            </w:r>
          </w:p>
        </w:tc>
        <w:tc>
          <w:tcPr>
            <w:tcW w:w="0" w:type="auto"/>
            <w:tcBorders>
              <w:top w:val="nil"/>
              <w:left w:val="nil"/>
              <w:bottom w:val="nil"/>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nil"/>
              <w:right w:val="nil"/>
            </w:tcBorders>
            <w:shd w:val="clear" w:color="auto" w:fill="E7E6E6" w:themeFill="background2"/>
          </w:tcPr>
          <w:p w:rsidR="00092840" w:rsidRPr="00BD48A1" w:rsidRDefault="00092840" w:rsidP="0074255F">
            <w:pPr>
              <w:rPr>
                <w:b/>
                <w:color w:val="000000" w:themeColor="text1"/>
                <w:sz w:val="20"/>
                <w:szCs w:val="20"/>
              </w:rPr>
            </w:pPr>
            <w:r w:rsidRPr="00BD48A1">
              <w:rPr>
                <w:color w:val="000000" w:themeColor="text1"/>
                <w:sz w:val="20"/>
                <w:szCs w:val="20"/>
              </w:rPr>
              <w:t>Female</w:t>
            </w:r>
          </w:p>
        </w:tc>
        <w:tc>
          <w:tcPr>
            <w:tcW w:w="0" w:type="auto"/>
            <w:tcBorders>
              <w:top w:val="nil"/>
              <w:left w:val="nil"/>
              <w:bottom w:val="nil"/>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nil"/>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nil"/>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0.7030</w:t>
            </w:r>
          </w:p>
        </w:tc>
        <w:tc>
          <w:tcPr>
            <w:tcW w:w="0" w:type="auto"/>
            <w:tcBorders>
              <w:top w:val="nil"/>
              <w:left w:val="nil"/>
              <w:bottom w:val="nil"/>
              <w:right w:val="nil"/>
            </w:tcBorders>
          </w:tcPr>
          <w:p w:rsidR="00092840" w:rsidRPr="00BD48A1" w:rsidRDefault="00092840" w:rsidP="0074255F">
            <w:pPr>
              <w:rPr>
                <w:b/>
                <w:color w:val="000000" w:themeColor="text1"/>
                <w:sz w:val="20"/>
                <w:szCs w:val="20"/>
              </w:rPr>
            </w:pPr>
            <w:r w:rsidRPr="00BD48A1">
              <w:rPr>
                <w:b/>
                <w:bCs/>
                <w:i/>
                <w:iCs/>
                <w:color w:val="000000" w:themeColor="text1"/>
                <w:sz w:val="20"/>
                <w:szCs w:val="20"/>
              </w:rPr>
              <w:t>p</w:t>
            </w:r>
            <w:r w:rsidRPr="00BD48A1">
              <w:rPr>
                <w:color w:val="000000" w:themeColor="text1"/>
                <w:sz w:val="20"/>
                <w:szCs w:val="20"/>
              </w:rPr>
              <w:t xml:space="preserve"> </w:t>
            </w:r>
            <w:r w:rsidRPr="00BD48A1">
              <w:rPr>
                <w:b/>
                <w:color w:val="000000" w:themeColor="text1"/>
                <w:sz w:val="20"/>
                <w:szCs w:val="20"/>
              </w:rPr>
              <w:t>= 0.0298</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0.6109</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0.3262</w:t>
            </w:r>
          </w:p>
        </w:tc>
      </w:tr>
      <w:tr w:rsidR="00BD48A1" w:rsidRPr="00BD48A1" w:rsidTr="0074255F">
        <w:trPr>
          <w:trHeight w:val="432"/>
        </w:trPr>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single" w:sz="4" w:space="0" w:color="auto"/>
              <w:right w:val="nil"/>
            </w:tcBorders>
          </w:tcPr>
          <w:p w:rsidR="00092840" w:rsidRPr="00BD48A1" w:rsidRDefault="00092840" w:rsidP="0074255F">
            <w:pPr>
              <w:jc w:val="center"/>
              <w:rPr>
                <w:color w:val="000000" w:themeColor="text1"/>
                <w:sz w:val="20"/>
                <w:szCs w:val="20"/>
              </w:rPr>
            </w:pPr>
            <w:r w:rsidRPr="00BD48A1">
              <w:rPr>
                <w:color w:val="000000" w:themeColor="text1"/>
                <w:sz w:val="20"/>
                <w:szCs w:val="20"/>
              </w:rPr>
              <w:t>N/A</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0.2007</w:t>
            </w:r>
          </w:p>
        </w:tc>
        <w:tc>
          <w:tcPr>
            <w:tcW w:w="0" w:type="auto"/>
            <w:tcBorders>
              <w:top w:val="nil"/>
              <w:left w:val="nil"/>
              <w:bottom w:val="single" w:sz="4" w:space="0" w:color="auto"/>
              <w:right w:val="nil"/>
            </w:tcBorders>
          </w:tcPr>
          <w:p w:rsidR="00092840" w:rsidRPr="00BD48A1" w:rsidRDefault="00092840" w:rsidP="0074255F">
            <w:pPr>
              <w:rPr>
                <w:b/>
                <w:color w:val="000000" w:themeColor="text1"/>
                <w:sz w:val="20"/>
                <w:szCs w:val="20"/>
              </w:rPr>
            </w:pPr>
            <w:r w:rsidRPr="00BD48A1">
              <w:rPr>
                <w:b/>
                <w:color w:val="000000" w:themeColor="text1"/>
                <w:sz w:val="20"/>
                <w:szCs w:val="20"/>
              </w:rPr>
              <w:t>r = 0.7167</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0.2357</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0.3705</w:t>
            </w:r>
          </w:p>
        </w:tc>
      </w:tr>
    </w:tbl>
    <w:p w:rsidR="00092840" w:rsidRPr="00BD48A1" w:rsidRDefault="00092840" w:rsidP="00092840">
      <w:pPr>
        <w:rPr>
          <w:i/>
          <w:iCs/>
          <w:color w:val="000000" w:themeColor="text1"/>
        </w:rPr>
      </w:pPr>
      <w:r w:rsidRPr="00BD48A1">
        <w:rPr>
          <w:i/>
          <w:iCs/>
          <w:color w:val="000000" w:themeColor="text1"/>
        </w:rPr>
        <w:t>Note: age at death (in years) = AAD; age at onset (in years) = AAO; duration of disease (in years) = duration; early-onset Alzheimer disease = EOAD; late-onset Alzheimer disease = LOAD</w:t>
      </w:r>
    </w:p>
    <w:p w:rsidR="00092840" w:rsidRPr="00BD48A1" w:rsidRDefault="00092840" w:rsidP="00092840">
      <w:pPr>
        <w:spacing w:after="160" w:line="259" w:lineRule="auto"/>
        <w:rPr>
          <w:color w:val="000000" w:themeColor="text1"/>
        </w:rPr>
      </w:pPr>
      <w:r w:rsidRPr="00BD48A1">
        <w:rPr>
          <w:color w:val="000000" w:themeColor="text1"/>
        </w:rPr>
        <w:br w:type="page"/>
      </w:r>
    </w:p>
    <w:p w:rsidR="00092840" w:rsidRPr="00BD48A1" w:rsidRDefault="00092840" w:rsidP="00092840">
      <w:pPr>
        <w:rPr>
          <w:color w:val="000000" w:themeColor="text1"/>
          <w:lang w:val="en-US"/>
        </w:rPr>
      </w:pPr>
      <w:r w:rsidRPr="00BD48A1">
        <w:rPr>
          <w:b/>
          <w:bCs/>
          <w:color w:val="000000" w:themeColor="text1"/>
        </w:rPr>
        <w:lastRenderedPageBreak/>
        <w:t xml:space="preserve">Supplementary Table 3: </w:t>
      </w:r>
      <w:r w:rsidRPr="00BD48A1">
        <w:rPr>
          <w:color w:val="000000" w:themeColor="text1"/>
        </w:rPr>
        <w:t>Relationship of cortical IBA1 levels and insoluble A</w:t>
      </w:r>
      <w:r w:rsidRPr="00BD48A1">
        <w:rPr>
          <w:color w:val="000000" w:themeColor="text1"/>
          <w:lang w:val="el-GR"/>
        </w:rPr>
        <w:t>β</w:t>
      </w:r>
      <w:r w:rsidRPr="00BD48A1">
        <w:rPr>
          <w:color w:val="000000" w:themeColor="text1"/>
          <w:lang w:val="en-US"/>
        </w:rPr>
        <w:t>s according to a linear regression</w:t>
      </w:r>
    </w:p>
    <w:tbl>
      <w:tblPr>
        <w:tblStyle w:val="TableGrid"/>
        <w:tblW w:w="0" w:type="auto"/>
        <w:tblLook w:val="04A0" w:firstRow="1" w:lastRow="0" w:firstColumn="1" w:lastColumn="0" w:noHBand="0" w:noVBand="1"/>
      </w:tblPr>
      <w:tblGrid>
        <w:gridCol w:w="1968"/>
        <w:gridCol w:w="1230"/>
        <w:gridCol w:w="1033"/>
        <w:gridCol w:w="1028"/>
        <w:gridCol w:w="1023"/>
        <w:gridCol w:w="1028"/>
        <w:gridCol w:w="1022"/>
        <w:gridCol w:w="1028"/>
      </w:tblGrid>
      <w:tr w:rsidR="00BD48A1" w:rsidRPr="00BD48A1" w:rsidTr="0074255F">
        <w:trPr>
          <w:trHeight w:val="432"/>
        </w:trPr>
        <w:tc>
          <w:tcPr>
            <w:tcW w:w="0" w:type="auto"/>
            <w:tcBorders>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Cortex</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IBA1 vs Aβs</w:t>
            </w:r>
          </w:p>
          <w:p w:rsidR="00092840" w:rsidRPr="00BD48A1" w:rsidRDefault="00092840" w:rsidP="0074255F">
            <w:pPr>
              <w:jc w:val="center"/>
              <w:rPr>
                <w:color w:val="000000" w:themeColor="text1"/>
                <w:sz w:val="20"/>
                <w:szCs w:val="20"/>
              </w:rPr>
            </w:pPr>
            <w:r w:rsidRPr="00BD48A1">
              <w:rPr>
                <w:color w:val="000000" w:themeColor="text1"/>
                <w:sz w:val="20"/>
                <w:szCs w:val="20"/>
              </w:rPr>
              <w:t>(insoluble)</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Control</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EOAD</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LOAD</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Aβ(1-40)</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0.1609</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b/>
                <w:color w:val="000000" w:themeColor="text1"/>
                <w:sz w:val="20"/>
                <w:szCs w:val="20"/>
              </w:rPr>
            </w:pPr>
            <w:r w:rsidRPr="00BD48A1">
              <w:rPr>
                <w:b/>
                <w:bCs/>
                <w:i/>
                <w:iCs/>
                <w:color w:val="000000" w:themeColor="text1"/>
                <w:sz w:val="20"/>
                <w:szCs w:val="20"/>
              </w:rPr>
              <w:t>p</w:t>
            </w:r>
            <w:r w:rsidRPr="00BD48A1">
              <w:rPr>
                <w:color w:val="000000" w:themeColor="text1"/>
                <w:sz w:val="20"/>
                <w:szCs w:val="20"/>
              </w:rPr>
              <w:t xml:space="preserve"> </w:t>
            </w:r>
            <w:r w:rsidRPr="00BD48A1">
              <w:rPr>
                <w:b/>
                <w:color w:val="000000" w:themeColor="text1"/>
                <w:sz w:val="20"/>
                <w:szCs w:val="20"/>
              </w:rPr>
              <w:t>= 0.0214</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0.2200</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0.2892</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b/>
                <w:color w:val="000000" w:themeColor="text1"/>
                <w:sz w:val="20"/>
                <w:szCs w:val="20"/>
              </w:rPr>
            </w:pPr>
            <w:r w:rsidRPr="00BD48A1">
              <w:rPr>
                <w:b/>
                <w:color w:val="000000" w:themeColor="text1"/>
                <w:sz w:val="20"/>
                <w:szCs w:val="20"/>
              </w:rPr>
              <w:t>r = 0.5871</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0.3245</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by sex</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0.3001</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0.1994</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0.2588</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0.0541</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0.3580</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0.4643</w:t>
            </w:r>
          </w:p>
        </w:tc>
      </w:tr>
      <w:tr w:rsidR="00BD48A1" w:rsidRPr="00BD48A1" w:rsidTr="0074255F">
        <w:trPr>
          <w:trHeight w:val="432"/>
        </w:trPr>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0.3266</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0.3807</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0.5495</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0.6580</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0.4123</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0.2808</w:t>
            </w:r>
          </w:p>
        </w:tc>
      </w:tr>
      <w:tr w:rsidR="00BD48A1" w:rsidRPr="00BD48A1" w:rsidTr="0074255F">
        <w:trPr>
          <w:trHeight w:val="432"/>
        </w:trPr>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Aβ(1-42)</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0.2083</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b/>
                <w:color w:val="000000" w:themeColor="text1"/>
                <w:sz w:val="20"/>
                <w:szCs w:val="20"/>
              </w:rPr>
            </w:pPr>
            <w:r w:rsidRPr="00BD48A1">
              <w:rPr>
                <w:b/>
                <w:bCs/>
                <w:i/>
                <w:iCs/>
                <w:color w:val="000000" w:themeColor="text1"/>
                <w:sz w:val="20"/>
                <w:szCs w:val="20"/>
              </w:rPr>
              <w:t>p</w:t>
            </w:r>
            <w:r w:rsidRPr="00BD48A1">
              <w:rPr>
                <w:b/>
                <w:bCs/>
                <w:color w:val="000000" w:themeColor="text1"/>
                <w:sz w:val="20"/>
                <w:szCs w:val="20"/>
              </w:rPr>
              <w:t xml:space="preserve"> </w:t>
            </w:r>
            <w:r w:rsidRPr="00BD48A1">
              <w:rPr>
                <w:b/>
                <w:color w:val="000000" w:themeColor="text1"/>
                <w:sz w:val="20"/>
                <w:szCs w:val="20"/>
              </w:rPr>
              <w:t>= 0.0450</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0.8913</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0.2606</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b/>
                <w:color w:val="000000" w:themeColor="text1"/>
                <w:sz w:val="20"/>
                <w:szCs w:val="20"/>
              </w:rPr>
            </w:pPr>
            <w:r w:rsidRPr="00BD48A1">
              <w:rPr>
                <w:b/>
                <w:color w:val="000000" w:themeColor="text1"/>
                <w:sz w:val="20"/>
                <w:szCs w:val="20"/>
              </w:rPr>
              <w:t>r = 0.5240</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0.0372</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by sex</w:t>
            </w:r>
          </w:p>
        </w:tc>
        <w:tc>
          <w:tcPr>
            <w:tcW w:w="0" w:type="auto"/>
            <w:tcBorders>
              <w:top w:val="nil"/>
              <w:left w:val="nil"/>
              <w:bottom w:val="nil"/>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nil"/>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nil"/>
              <w:right w:val="nil"/>
            </w:tcBorders>
            <w:shd w:val="clear" w:color="auto" w:fill="E7E6E6" w:themeFill="background2"/>
          </w:tcPr>
          <w:p w:rsidR="00092840" w:rsidRPr="00BD48A1" w:rsidRDefault="00092840" w:rsidP="0074255F">
            <w:pPr>
              <w:rPr>
                <w:b/>
                <w:color w:val="000000" w:themeColor="text1"/>
                <w:sz w:val="20"/>
                <w:szCs w:val="20"/>
              </w:rPr>
            </w:pPr>
            <w:r w:rsidRPr="00BD48A1">
              <w:rPr>
                <w:color w:val="000000" w:themeColor="text1"/>
                <w:sz w:val="20"/>
                <w:szCs w:val="20"/>
              </w:rPr>
              <w:t>Male</w:t>
            </w:r>
          </w:p>
        </w:tc>
        <w:tc>
          <w:tcPr>
            <w:tcW w:w="0" w:type="auto"/>
            <w:tcBorders>
              <w:top w:val="nil"/>
              <w:left w:val="nil"/>
              <w:bottom w:val="nil"/>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nil"/>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nil"/>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0.4225</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0.1791</w:t>
            </w:r>
          </w:p>
        </w:tc>
        <w:tc>
          <w:tcPr>
            <w:tcW w:w="0" w:type="auto"/>
            <w:tcBorders>
              <w:top w:val="nil"/>
              <w:left w:val="nil"/>
              <w:bottom w:val="nil"/>
              <w:right w:val="nil"/>
            </w:tcBorders>
          </w:tcPr>
          <w:p w:rsidR="00092840" w:rsidRPr="00BD48A1" w:rsidRDefault="00092840" w:rsidP="0074255F">
            <w:pPr>
              <w:rPr>
                <w:b/>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0.2411</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0.1878</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0.0935</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0.3006</w:t>
            </w: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0.2557</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0.3971</w:t>
            </w:r>
          </w:p>
        </w:tc>
        <w:tc>
          <w:tcPr>
            <w:tcW w:w="0" w:type="auto"/>
            <w:tcBorders>
              <w:top w:val="nil"/>
              <w:left w:val="nil"/>
              <w:bottom w:val="nil"/>
              <w:right w:val="nil"/>
            </w:tcBorders>
          </w:tcPr>
          <w:p w:rsidR="00092840" w:rsidRPr="00BD48A1" w:rsidRDefault="00092840" w:rsidP="0074255F">
            <w:pPr>
              <w:rPr>
                <w:b/>
                <w:color w:val="000000" w:themeColor="text1"/>
                <w:sz w:val="20"/>
                <w:szCs w:val="20"/>
              </w:rPr>
            </w:pPr>
            <w:r w:rsidRPr="00BD48A1">
              <w:rPr>
                <w:color w:val="000000" w:themeColor="text1"/>
                <w:sz w:val="20"/>
                <w:szCs w:val="20"/>
              </w:rPr>
              <w:t>r = 0.5666</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0.4830</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0.6780</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0.3892</w:t>
            </w:r>
          </w:p>
        </w:tc>
      </w:tr>
      <w:tr w:rsidR="00BD48A1" w:rsidRPr="00BD48A1" w:rsidTr="0074255F">
        <w:trPr>
          <w:trHeight w:val="432"/>
        </w:trPr>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Aβ(1-42)/Aβ(1-40) ratio</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0.3097</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b/>
                <w:color w:val="000000" w:themeColor="text1"/>
                <w:sz w:val="20"/>
                <w:szCs w:val="20"/>
              </w:rPr>
            </w:pPr>
            <w:r w:rsidRPr="00BD48A1">
              <w:rPr>
                <w:b/>
                <w:i/>
                <w:iCs/>
                <w:color w:val="000000" w:themeColor="text1"/>
                <w:sz w:val="20"/>
                <w:szCs w:val="20"/>
              </w:rPr>
              <w:t>p</w:t>
            </w:r>
            <w:r w:rsidRPr="00BD48A1">
              <w:rPr>
                <w:b/>
                <w:color w:val="000000" w:themeColor="text1"/>
                <w:sz w:val="20"/>
                <w:szCs w:val="20"/>
              </w:rPr>
              <w:t xml:space="preserve"> = 0.0131</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0.4175</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0.2117</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b/>
                <w:color w:val="000000" w:themeColor="text1"/>
                <w:sz w:val="20"/>
                <w:szCs w:val="20"/>
              </w:rPr>
            </w:pPr>
            <w:r w:rsidRPr="00BD48A1">
              <w:rPr>
                <w:b/>
                <w:color w:val="000000" w:themeColor="text1"/>
                <w:sz w:val="20"/>
                <w:szCs w:val="20"/>
              </w:rPr>
              <w:t>r = 0.6430</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nil"/>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0.2179</w:t>
            </w:r>
          </w:p>
        </w:tc>
        <w:tc>
          <w:tcPr>
            <w:tcW w:w="0" w:type="auto"/>
            <w:tcBorders>
              <w:top w:val="nil"/>
              <w:left w:val="nil"/>
              <w:bottom w:val="nil"/>
              <w:right w:val="nil"/>
            </w:tcBorders>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by sex</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r>
      <w:tr w:rsidR="00BD48A1" w:rsidRPr="00BD48A1" w:rsidTr="0074255F">
        <w:trPr>
          <w:trHeight w:val="432"/>
        </w:trPr>
        <w:tc>
          <w:tcPr>
            <w:tcW w:w="0" w:type="auto"/>
            <w:tcBorders>
              <w:top w:val="nil"/>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0.4196</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0.3495</w:t>
            </w:r>
          </w:p>
        </w:tc>
        <w:tc>
          <w:tcPr>
            <w:tcW w:w="0" w:type="auto"/>
            <w:tcBorders>
              <w:top w:val="single" w:sz="4" w:space="0" w:color="auto"/>
              <w:left w:val="nil"/>
              <w:bottom w:val="nil"/>
              <w:right w:val="nil"/>
            </w:tcBorders>
          </w:tcPr>
          <w:p w:rsidR="00092840" w:rsidRPr="00BD48A1" w:rsidRDefault="00092840" w:rsidP="0074255F">
            <w:pPr>
              <w:rPr>
                <w:b/>
                <w:color w:val="000000" w:themeColor="text1"/>
                <w:sz w:val="20"/>
                <w:szCs w:val="20"/>
              </w:rPr>
            </w:pPr>
            <w:r w:rsidRPr="00BD48A1">
              <w:rPr>
                <w:b/>
                <w:bCs/>
                <w:i/>
                <w:iCs/>
                <w:color w:val="000000" w:themeColor="text1"/>
                <w:sz w:val="20"/>
                <w:szCs w:val="20"/>
              </w:rPr>
              <w:t>p</w:t>
            </w:r>
            <w:r w:rsidRPr="00BD48A1">
              <w:rPr>
                <w:color w:val="000000" w:themeColor="text1"/>
                <w:sz w:val="20"/>
                <w:szCs w:val="20"/>
              </w:rPr>
              <w:t xml:space="preserve"> </w:t>
            </w:r>
            <w:r w:rsidRPr="00BD48A1">
              <w:rPr>
                <w:b/>
                <w:color w:val="000000" w:themeColor="text1"/>
                <w:sz w:val="20"/>
                <w:szCs w:val="20"/>
              </w:rPr>
              <w:t>= 0.0231</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0.0612</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0.5175</w:t>
            </w:r>
          </w:p>
        </w:tc>
        <w:tc>
          <w:tcPr>
            <w:tcW w:w="0" w:type="auto"/>
            <w:tcBorders>
              <w:top w:val="single" w:sz="4" w:space="0" w:color="auto"/>
              <w:left w:val="nil"/>
              <w:bottom w:val="nil"/>
              <w:right w:val="nil"/>
            </w:tcBorders>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0.6036</w:t>
            </w:r>
          </w:p>
        </w:tc>
      </w:tr>
      <w:tr w:rsidR="00BD48A1" w:rsidRPr="00BD48A1" w:rsidTr="0074255F">
        <w:trPr>
          <w:trHeight w:val="432"/>
        </w:trPr>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0.2572</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0.2806</w:t>
            </w:r>
          </w:p>
        </w:tc>
        <w:tc>
          <w:tcPr>
            <w:tcW w:w="0" w:type="auto"/>
            <w:tcBorders>
              <w:top w:val="nil"/>
              <w:left w:val="nil"/>
              <w:bottom w:val="single" w:sz="4" w:space="0" w:color="auto"/>
              <w:right w:val="nil"/>
            </w:tcBorders>
          </w:tcPr>
          <w:p w:rsidR="00092840" w:rsidRPr="00BD48A1" w:rsidRDefault="00092840" w:rsidP="0074255F">
            <w:pPr>
              <w:rPr>
                <w:b/>
                <w:color w:val="000000" w:themeColor="text1"/>
                <w:sz w:val="20"/>
                <w:szCs w:val="20"/>
              </w:rPr>
            </w:pPr>
            <w:r w:rsidRPr="00BD48A1">
              <w:rPr>
                <w:b/>
                <w:color w:val="000000" w:themeColor="text1"/>
                <w:sz w:val="20"/>
                <w:szCs w:val="20"/>
              </w:rPr>
              <w:t>r = 0.8732</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0.6843</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0.2972</w:t>
            </w:r>
          </w:p>
        </w:tc>
        <w:tc>
          <w:tcPr>
            <w:tcW w:w="0" w:type="auto"/>
            <w:tcBorders>
              <w:top w:val="nil"/>
              <w:left w:val="nil"/>
              <w:bottom w:val="single" w:sz="4" w:space="0" w:color="auto"/>
              <w:right w:val="nil"/>
            </w:tcBorders>
          </w:tcPr>
          <w:p w:rsidR="00092840" w:rsidRPr="00BD48A1" w:rsidRDefault="00092840" w:rsidP="0074255F">
            <w:pPr>
              <w:rPr>
                <w:color w:val="000000" w:themeColor="text1"/>
                <w:sz w:val="20"/>
                <w:szCs w:val="20"/>
              </w:rPr>
            </w:pPr>
            <w:r w:rsidRPr="00BD48A1">
              <w:rPr>
                <w:color w:val="000000" w:themeColor="text1"/>
                <w:sz w:val="20"/>
                <w:szCs w:val="20"/>
              </w:rPr>
              <w:t>r = 0.2012</w:t>
            </w:r>
          </w:p>
        </w:tc>
      </w:tr>
    </w:tbl>
    <w:p w:rsidR="00092840" w:rsidRPr="00BD48A1" w:rsidRDefault="00092840" w:rsidP="00092840">
      <w:pPr>
        <w:rPr>
          <w:i/>
          <w:iCs/>
          <w:color w:val="000000" w:themeColor="text1"/>
        </w:rPr>
      </w:pPr>
      <w:r w:rsidRPr="00BD48A1">
        <w:rPr>
          <w:i/>
          <w:iCs/>
          <w:color w:val="000000" w:themeColor="text1"/>
        </w:rPr>
        <w:t xml:space="preserve">Note: </w:t>
      </w:r>
      <w:r w:rsidRPr="00BD48A1">
        <w:rPr>
          <w:i/>
          <w:iCs/>
          <w:color w:val="000000" w:themeColor="text1"/>
          <w:lang w:val="el-GR"/>
        </w:rPr>
        <w:t>β</w:t>
      </w:r>
      <w:r w:rsidRPr="00BD48A1">
        <w:rPr>
          <w:i/>
          <w:iCs/>
          <w:color w:val="000000" w:themeColor="text1"/>
        </w:rPr>
        <w:t>-amyloid peptide = A</w:t>
      </w:r>
      <w:r w:rsidRPr="00BD48A1">
        <w:rPr>
          <w:i/>
          <w:iCs/>
          <w:color w:val="000000" w:themeColor="text1"/>
          <w:lang w:val="el-GR"/>
        </w:rPr>
        <w:t>β</w:t>
      </w:r>
      <w:r w:rsidRPr="00BD48A1">
        <w:rPr>
          <w:i/>
          <w:iCs/>
          <w:color w:val="000000" w:themeColor="text1"/>
        </w:rPr>
        <w:t>; early-onset Alzheimer disease = EOAD; late-onset Alzheimer disease = LOAD</w:t>
      </w:r>
      <w:r w:rsidRPr="00BD48A1">
        <w:rPr>
          <w:b/>
          <w:bCs/>
          <w:color w:val="000000" w:themeColor="text1"/>
        </w:rPr>
        <w:br w:type="page"/>
      </w:r>
    </w:p>
    <w:p w:rsidR="00092840" w:rsidRPr="00BD48A1" w:rsidRDefault="00092840" w:rsidP="00092840">
      <w:pPr>
        <w:rPr>
          <w:b/>
          <w:bCs/>
          <w:color w:val="000000" w:themeColor="text1"/>
        </w:rPr>
      </w:pPr>
      <w:r w:rsidRPr="00BD48A1">
        <w:rPr>
          <w:b/>
          <w:bCs/>
          <w:color w:val="000000" w:themeColor="text1"/>
        </w:rPr>
        <w:lastRenderedPageBreak/>
        <w:t xml:space="preserve">Supplementary Table 4: </w:t>
      </w:r>
      <w:r w:rsidRPr="00BD48A1">
        <w:rPr>
          <w:color w:val="000000" w:themeColor="text1"/>
        </w:rPr>
        <w:t>Relationship of cortical IBA1 levels and soluble A</w:t>
      </w:r>
      <w:r w:rsidRPr="00BD48A1">
        <w:rPr>
          <w:color w:val="000000" w:themeColor="text1"/>
          <w:lang w:val="el-GR"/>
        </w:rPr>
        <w:t>β</w:t>
      </w:r>
      <w:r w:rsidRPr="00BD48A1">
        <w:rPr>
          <w:color w:val="000000" w:themeColor="text1"/>
          <w:lang w:val="en-US"/>
        </w:rPr>
        <w:t>s according to a linear regression</w:t>
      </w:r>
    </w:p>
    <w:tbl>
      <w:tblPr>
        <w:tblStyle w:val="TableGrid"/>
        <w:tblW w:w="0" w:type="auto"/>
        <w:tblLook w:val="04A0" w:firstRow="1" w:lastRow="0" w:firstColumn="1" w:lastColumn="0" w:noHBand="0" w:noVBand="1"/>
      </w:tblPr>
      <w:tblGrid>
        <w:gridCol w:w="2005"/>
        <w:gridCol w:w="1198"/>
        <w:gridCol w:w="1030"/>
        <w:gridCol w:w="1026"/>
        <w:gridCol w:w="1020"/>
        <w:gridCol w:w="1035"/>
        <w:gridCol w:w="1020"/>
        <w:gridCol w:w="1026"/>
      </w:tblGrid>
      <w:tr w:rsidR="00BD48A1" w:rsidRPr="00BD48A1" w:rsidTr="0074255F">
        <w:trPr>
          <w:trHeight w:val="432"/>
        </w:trPr>
        <w:tc>
          <w:tcPr>
            <w:tcW w:w="0" w:type="auto"/>
            <w:tcBorders>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Cortex</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IBA1 vs Aβs</w:t>
            </w:r>
          </w:p>
          <w:p w:rsidR="00092840" w:rsidRPr="00BD48A1" w:rsidRDefault="00092840" w:rsidP="0074255F">
            <w:pPr>
              <w:jc w:val="center"/>
              <w:rPr>
                <w:color w:val="000000" w:themeColor="text1"/>
                <w:sz w:val="20"/>
                <w:szCs w:val="20"/>
              </w:rPr>
            </w:pPr>
            <w:r w:rsidRPr="00BD48A1">
              <w:rPr>
                <w:color w:val="000000" w:themeColor="text1"/>
                <w:sz w:val="20"/>
                <w:szCs w:val="20"/>
              </w:rPr>
              <w:t>(soluble)</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Control</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EOAD</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p>
        </w:tc>
        <w:tc>
          <w:tcPr>
            <w:tcW w:w="0" w:type="auto"/>
            <w:tcBorders>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LOAD</w:t>
            </w:r>
          </w:p>
        </w:tc>
        <w:tc>
          <w:tcPr>
            <w:tcW w:w="0" w:type="auto"/>
            <w:tcBorders>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Aβ(1-38)</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0.3845</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0.8901</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0.1711</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0.1881</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0.0387</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0.3597</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by sex</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0.8304</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0.1081</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0.6084</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P = 0.5495</w:t>
            </w:r>
          </w:p>
        </w:tc>
        <w:tc>
          <w:tcPr>
            <w:tcW w:w="0" w:type="auto"/>
            <w:tcBorders>
              <w:top w:val="single" w:sz="4" w:space="0" w:color="auto"/>
              <w:left w:val="nil"/>
              <w:bottom w:val="nil"/>
              <w:right w:val="nil"/>
            </w:tcBorders>
            <w:shd w:val="clear" w:color="auto" w:fill="auto"/>
          </w:tcPr>
          <w:p w:rsidR="00092840" w:rsidRPr="00BD48A1" w:rsidRDefault="00092840" w:rsidP="0074255F">
            <w:pPr>
              <w:rPr>
                <w:b/>
                <w:color w:val="000000" w:themeColor="text1"/>
                <w:sz w:val="20"/>
                <w:szCs w:val="20"/>
              </w:rPr>
            </w:pPr>
            <w:r w:rsidRPr="00BD48A1">
              <w:rPr>
                <w:b/>
                <w:bCs/>
                <w:i/>
                <w:iCs/>
                <w:color w:val="000000" w:themeColor="text1"/>
                <w:sz w:val="20"/>
                <w:szCs w:val="20"/>
              </w:rPr>
              <w:t>p</w:t>
            </w:r>
            <w:r w:rsidRPr="00BD48A1">
              <w:rPr>
                <w:b/>
                <w:bCs/>
                <w:color w:val="000000" w:themeColor="text1"/>
                <w:sz w:val="20"/>
                <w:szCs w:val="20"/>
              </w:rPr>
              <w:t xml:space="preserve"> </w:t>
            </w:r>
            <w:r w:rsidRPr="00BD48A1">
              <w:rPr>
                <w:b/>
                <w:color w:val="000000" w:themeColor="text1"/>
                <w:sz w:val="20"/>
                <w:szCs w:val="20"/>
              </w:rPr>
              <w:t>= 0.0113</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0.6909</w:t>
            </w:r>
          </w:p>
        </w:tc>
      </w:tr>
      <w:tr w:rsidR="00BD48A1" w:rsidRPr="00BD48A1" w:rsidTr="0074255F">
        <w:trPr>
          <w:trHeight w:val="432"/>
        </w:trPr>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0.0693</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0.4665</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0.2675</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0.2312</w:t>
            </w:r>
          </w:p>
        </w:tc>
        <w:tc>
          <w:tcPr>
            <w:tcW w:w="0" w:type="auto"/>
            <w:tcBorders>
              <w:top w:val="nil"/>
              <w:left w:val="nil"/>
              <w:bottom w:val="single" w:sz="4" w:space="0" w:color="auto"/>
              <w:right w:val="nil"/>
            </w:tcBorders>
            <w:shd w:val="clear" w:color="auto" w:fill="auto"/>
          </w:tcPr>
          <w:p w:rsidR="00092840" w:rsidRPr="00BD48A1" w:rsidRDefault="00092840" w:rsidP="0074255F">
            <w:pPr>
              <w:rPr>
                <w:b/>
                <w:color w:val="000000" w:themeColor="text1"/>
                <w:sz w:val="20"/>
                <w:szCs w:val="20"/>
              </w:rPr>
            </w:pPr>
            <w:r w:rsidRPr="00BD48A1">
              <w:rPr>
                <w:b/>
                <w:color w:val="000000" w:themeColor="text1"/>
                <w:sz w:val="20"/>
                <w:szCs w:val="20"/>
              </w:rPr>
              <w:t>r = 0.8682</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0.1548</w:t>
            </w:r>
          </w:p>
        </w:tc>
      </w:tr>
      <w:tr w:rsidR="00BD48A1" w:rsidRPr="00BD48A1" w:rsidTr="0074255F">
        <w:trPr>
          <w:trHeight w:val="432"/>
        </w:trPr>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Aβ(1-40)</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0.2803</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b/>
                <w:color w:val="000000" w:themeColor="text1"/>
                <w:sz w:val="20"/>
                <w:szCs w:val="20"/>
              </w:rPr>
            </w:pPr>
            <w:r w:rsidRPr="00BD48A1">
              <w:rPr>
                <w:b/>
                <w:bCs/>
                <w:i/>
                <w:iCs/>
                <w:color w:val="000000" w:themeColor="text1"/>
                <w:sz w:val="20"/>
                <w:szCs w:val="20"/>
              </w:rPr>
              <w:t>p</w:t>
            </w:r>
            <w:r w:rsidRPr="00BD48A1">
              <w:rPr>
                <w:b/>
                <w:bCs/>
                <w:color w:val="000000" w:themeColor="text1"/>
                <w:sz w:val="20"/>
                <w:szCs w:val="20"/>
              </w:rPr>
              <w:t xml:space="preserve"> </w:t>
            </w:r>
            <w:r w:rsidRPr="00BD48A1">
              <w:rPr>
                <w:b/>
                <w:color w:val="000000" w:themeColor="text1"/>
                <w:sz w:val="20"/>
                <w:szCs w:val="20"/>
              </w:rPr>
              <w:t>= 0.0272</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0.4644</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0.2247</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b/>
                <w:color w:val="000000" w:themeColor="text1"/>
                <w:sz w:val="20"/>
                <w:szCs w:val="20"/>
              </w:rPr>
            </w:pPr>
            <w:r w:rsidRPr="00BD48A1">
              <w:rPr>
                <w:b/>
                <w:color w:val="000000" w:themeColor="text1"/>
                <w:sz w:val="20"/>
                <w:szCs w:val="20"/>
              </w:rPr>
              <w:t>r = 0.5681</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0.1971</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by sex</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0.3775</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0.7456</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0.2306</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0.1002</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0.9885</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0.3766</w:t>
            </w:r>
          </w:p>
        </w:tc>
      </w:tr>
      <w:tr w:rsidR="00BD48A1" w:rsidRPr="00BD48A1" w:rsidTr="0074255F">
        <w:trPr>
          <w:trHeight w:val="432"/>
        </w:trPr>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0.2803</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0.0998</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0.5769</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0.5820</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0.0067</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0.3360</w:t>
            </w:r>
          </w:p>
        </w:tc>
      </w:tr>
      <w:tr w:rsidR="00BD48A1" w:rsidRPr="00BD48A1" w:rsidTr="0074255F">
        <w:trPr>
          <w:trHeight w:val="432"/>
        </w:trPr>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Aβ(1-42)</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0.2489</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0.7015</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0.9378</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0.2395</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0.1080</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0.0212</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by sex</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0.6122</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0.2648</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0.7879</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0.9292</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0.5979</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0.8527</w:t>
            </w:r>
          </w:p>
        </w:tc>
      </w:tr>
      <w:tr w:rsidR="00BD48A1" w:rsidRPr="00BD48A1" w:rsidTr="0074255F">
        <w:trPr>
          <w:trHeight w:val="432"/>
        </w:trPr>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0.1632</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0.3500</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0.1424</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0.0348</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0.2441</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0.0726</w:t>
            </w:r>
          </w:p>
        </w:tc>
      </w:tr>
      <w:tr w:rsidR="00BD48A1" w:rsidRPr="00BD48A1" w:rsidTr="0074255F">
        <w:trPr>
          <w:trHeight w:val="432"/>
        </w:trPr>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A</w:t>
            </w:r>
            <w:r w:rsidRPr="00BD48A1">
              <w:rPr>
                <w:color w:val="000000" w:themeColor="text1"/>
                <w:sz w:val="20"/>
                <w:szCs w:val="20"/>
                <w:lang w:val="el-GR"/>
              </w:rPr>
              <w:t>β</w:t>
            </w:r>
            <w:r w:rsidRPr="00BD48A1">
              <w:rPr>
                <w:color w:val="000000" w:themeColor="text1"/>
                <w:sz w:val="20"/>
                <w:szCs w:val="20"/>
              </w:rPr>
              <w:t>(1-</w:t>
            </w:r>
            <w:r w:rsidRPr="00BD48A1">
              <w:rPr>
                <w:color w:val="000000" w:themeColor="text1"/>
                <w:sz w:val="20"/>
                <w:szCs w:val="20"/>
                <w:lang w:val="en-US"/>
              </w:rPr>
              <w:t>42)/A</w:t>
            </w:r>
            <w:r w:rsidRPr="00BD48A1">
              <w:rPr>
                <w:color w:val="000000" w:themeColor="text1"/>
                <w:sz w:val="20"/>
                <w:szCs w:val="20"/>
                <w:lang w:val="el-GR"/>
              </w:rPr>
              <w:t>β</w:t>
            </w:r>
            <w:r w:rsidRPr="00BD48A1">
              <w:rPr>
                <w:color w:val="000000" w:themeColor="text1"/>
                <w:sz w:val="20"/>
                <w:szCs w:val="20"/>
              </w:rPr>
              <w:t>(1-</w:t>
            </w:r>
            <w:r w:rsidRPr="00BD48A1">
              <w:rPr>
                <w:color w:val="000000" w:themeColor="text1"/>
                <w:sz w:val="20"/>
                <w:szCs w:val="20"/>
                <w:lang w:val="en-US"/>
              </w:rPr>
              <w:t>40)</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0.7284</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0.7308</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b/>
                <w:color w:val="000000" w:themeColor="text1"/>
                <w:sz w:val="20"/>
                <w:szCs w:val="20"/>
              </w:rPr>
            </w:pPr>
            <w:r w:rsidRPr="00BD48A1">
              <w:rPr>
                <w:b/>
                <w:bCs/>
                <w:i/>
                <w:iCs/>
                <w:color w:val="000000" w:themeColor="text1"/>
                <w:sz w:val="20"/>
                <w:szCs w:val="20"/>
              </w:rPr>
              <w:t>p</w:t>
            </w:r>
            <w:r w:rsidRPr="00BD48A1">
              <w:rPr>
                <w:color w:val="000000" w:themeColor="text1"/>
                <w:sz w:val="20"/>
                <w:szCs w:val="20"/>
              </w:rPr>
              <w:t xml:space="preserve"> </w:t>
            </w:r>
            <w:r w:rsidRPr="00BD48A1">
              <w:rPr>
                <w:b/>
                <w:color w:val="000000" w:themeColor="text1"/>
                <w:sz w:val="20"/>
                <w:szCs w:val="20"/>
              </w:rPr>
              <w:t>= 0.0150</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0.0731</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0.0970</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b/>
                <w:color w:val="000000" w:themeColor="text1"/>
                <w:sz w:val="20"/>
                <w:szCs w:val="20"/>
              </w:rPr>
            </w:pPr>
            <w:r w:rsidRPr="00BD48A1">
              <w:rPr>
                <w:b/>
                <w:color w:val="000000" w:themeColor="text1"/>
                <w:sz w:val="20"/>
                <w:szCs w:val="20"/>
              </w:rPr>
              <w:t>r = 0.5951</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by sex</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Female</w:t>
            </w: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0.6914</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0.9456</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0.6643</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0.5888</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0.4463</w:t>
            </w:r>
          </w:p>
        </w:tc>
        <w:tc>
          <w:tcPr>
            <w:tcW w:w="0" w:type="auto"/>
            <w:tcBorders>
              <w:top w:val="single" w:sz="4" w:space="0" w:color="auto"/>
              <w:left w:val="nil"/>
              <w:bottom w:val="nil"/>
              <w:right w:val="nil"/>
            </w:tcBorders>
            <w:shd w:val="clear" w:color="auto" w:fill="auto"/>
          </w:tcPr>
          <w:p w:rsidR="00092840" w:rsidRPr="00BD48A1" w:rsidRDefault="00092840" w:rsidP="0074255F">
            <w:pPr>
              <w:rPr>
                <w:b/>
                <w:bCs/>
                <w:color w:val="000000" w:themeColor="text1"/>
                <w:sz w:val="20"/>
                <w:szCs w:val="20"/>
              </w:rPr>
            </w:pPr>
            <w:r w:rsidRPr="00BD48A1">
              <w:rPr>
                <w:b/>
                <w:bCs/>
                <w:i/>
                <w:iCs/>
                <w:color w:val="000000" w:themeColor="text1"/>
                <w:sz w:val="20"/>
                <w:szCs w:val="20"/>
              </w:rPr>
              <w:t>p</w:t>
            </w:r>
            <w:r w:rsidRPr="00BD48A1">
              <w:rPr>
                <w:b/>
                <w:bCs/>
                <w:color w:val="000000" w:themeColor="text1"/>
                <w:sz w:val="20"/>
                <w:szCs w:val="20"/>
              </w:rPr>
              <w:t xml:space="preserve"> = 0.0083</w:t>
            </w:r>
          </w:p>
        </w:tc>
      </w:tr>
      <w:tr w:rsidR="00BD48A1" w:rsidRPr="00BD48A1" w:rsidTr="0074255F">
        <w:trPr>
          <w:trHeight w:val="432"/>
        </w:trPr>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0.1281</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0.0211</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0.2277</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0.2093</w:t>
            </w:r>
          </w:p>
        </w:tc>
        <w:tc>
          <w:tcPr>
            <w:tcW w:w="0" w:type="auto"/>
            <w:tcBorders>
              <w:top w:val="nil"/>
              <w:left w:val="nil"/>
              <w:bottom w:val="single" w:sz="4" w:space="0" w:color="auto"/>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0.3466</w:t>
            </w:r>
          </w:p>
        </w:tc>
        <w:tc>
          <w:tcPr>
            <w:tcW w:w="0" w:type="auto"/>
            <w:tcBorders>
              <w:top w:val="nil"/>
              <w:left w:val="nil"/>
              <w:bottom w:val="single" w:sz="4" w:space="0" w:color="auto"/>
              <w:right w:val="nil"/>
            </w:tcBorders>
            <w:shd w:val="clear" w:color="auto" w:fill="auto"/>
          </w:tcPr>
          <w:p w:rsidR="00092840" w:rsidRPr="00BD48A1" w:rsidRDefault="00092840" w:rsidP="0074255F">
            <w:pPr>
              <w:rPr>
                <w:b/>
                <w:color w:val="000000" w:themeColor="text1"/>
                <w:sz w:val="20"/>
                <w:szCs w:val="20"/>
              </w:rPr>
            </w:pPr>
            <w:r w:rsidRPr="00BD48A1">
              <w:rPr>
                <w:b/>
                <w:color w:val="000000" w:themeColor="text1"/>
                <w:sz w:val="20"/>
                <w:szCs w:val="20"/>
              </w:rPr>
              <w:t>r = 0.8090</w:t>
            </w:r>
          </w:p>
        </w:tc>
      </w:tr>
      <w:tr w:rsidR="00BD48A1" w:rsidRPr="00BD48A1" w:rsidTr="0074255F">
        <w:trPr>
          <w:trHeight w:val="432"/>
        </w:trPr>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Aβ(1-38+1-40)/Aβ(1-42)</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0.5094</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0.9422</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0.7232</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0.1384</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0.0205</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0.0961</w:t>
            </w:r>
          </w:p>
        </w:tc>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rPr>
                <w:color w:val="000000" w:themeColor="text1"/>
                <w:sz w:val="20"/>
                <w:szCs w:val="20"/>
              </w:rPr>
            </w:pPr>
            <w:r w:rsidRPr="00BD48A1">
              <w:rPr>
                <w:color w:val="000000" w:themeColor="text1"/>
                <w:sz w:val="20"/>
                <w:szCs w:val="20"/>
              </w:rPr>
              <w:t>by sex</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Female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Male</w:t>
            </w:r>
          </w:p>
        </w:tc>
        <w:tc>
          <w:tcPr>
            <w:tcW w:w="0" w:type="auto"/>
            <w:tcBorders>
              <w:top w:val="nil"/>
              <w:left w:val="nil"/>
              <w:bottom w:val="single" w:sz="4" w:space="0" w:color="auto"/>
              <w:right w:val="nil"/>
            </w:tcBorders>
            <w:shd w:val="clear" w:color="auto" w:fill="E7E6E6" w:themeFill="background2"/>
          </w:tcPr>
          <w:p w:rsidR="00092840" w:rsidRPr="00BD48A1" w:rsidRDefault="00092840" w:rsidP="0074255F">
            <w:pPr>
              <w:jc w:val="center"/>
              <w:rPr>
                <w:color w:val="000000" w:themeColor="text1"/>
                <w:sz w:val="20"/>
                <w:szCs w:val="20"/>
              </w:rPr>
            </w:pPr>
            <w:r w:rsidRPr="00BD48A1">
              <w:rPr>
                <w:color w:val="000000" w:themeColor="text1"/>
                <w:sz w:val="20"/>
                <w:szCs w:val="20"/>
              </w:rPr>
              <w:t>Female</w:t>
            </w:r>
          </w:p>
        </w:tc>
      </w:tr>
      <w:tr w:rsidR="00BD48A1" w:rsidRPr="00BD48A1" w:rsidTr="0074255F">
        <w:trPr>
          <w:trHeight w:val="432"/>
        </w:trPr>
        <w:tc>
          <w:tcPr>
            <w:tcW w:w="0" w:type="auto"/>
            <w:tcBorders>
              <w:top w:val="nil"/>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0.4739</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0.5153</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0.1924</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0.7906</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0.6254</w:t>
            </w:r>
          </w:p>
        </w:tc>
        <w:tc>
          <w:tcPr>
            <w:tcW w:w="0" w:type="auto"/>
            <w:tcBorders>
              <w:top w:val="single" w:sz="4" w:space="0" w:color="auto"/>
              <w:left w:val="nil"/>
              <w:bottom w:val="nil"/>
              <w:right w:val="nil"/>
            </w:tcBorders>
            <w:shd w:val="clear" w:color="auto" w:fill="auto"/>
          </w:tcPr>
          <w:p w:rsidR="00092840" w:rsidRPr="00BD48A1" w:rsidRDefault="00092840" w:rsidP="0074255F">
            <w:pPr>
              <w:rPr>
                <w:color w:val="000000" w:themeColor="text1"/>
                <w:sz w:val="20"/>
                <w:szCs w:val="20"/>
              </w:rPr>
            </w:pPr>
            <w:r w:rsidRPr="00BD48A1">
              <w:rPr>
                <w:i/>
                <w:iCs/>
                <w:color w:val="000000" w:themeColor="text1"/>
                <w:sz w:val="20"/>
                <w:szCs w:val="20"/>
              </w:rPr>
              <w:t>p</w:t>
            </w:r>
            <w:r w:rsidRPr="00BD48A1">
              <w:rPr>
                <w:color w:val="000000" w:themeColor="text1"/>
                <w:sz w:val="20"/>
                <w:szCs w:val="20"/>
              </w:rPr>
              <w:t xml:space="preserve"> = 0.8472</w:t>
            </w:r>
          </w:p>
        </w:tc>
      </w:tr>
      <w:tr w:rsidR="00BD48A1" w:rsidRPr="00BD48A1" w:rsidTr="0074255F">
        <w:trPr>
          <w:trHeight w:val="432"/>
        </w:trPr>
        <w:tc>
          <w:tcPr>
            <w:tcW w:w="0" w:type="auto"/>
            <w:tcBorders>
              <w:top w:val="nil"/>
              <w:left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right w:val="nil"/>
            </w:tcBorders>
            <w:shd w:val="clear" w:color="auto" w:fill="auto"/>
          </w:tcPr>
          <w:p w:rsidR="00092840" w:rsidRPr="00BD48A1" w:rsidRDefault="00092840" w:rsidP="0074255F">
            <w:pPr>
              <w:rPr>
                <w:color w:val="000000" w:themeColor="text1"/>
                <w:sz w:val="20"/>
                <w:szCs w:val="20"/>
              </w:rPr>
            </w:pPr>
          </w:p>
        </w:tc>
        <w:tc>
          <w:tcPr>
            <w:tcW w:w="0" w:type="auto"/>
            <w:tcBorders>
              <w:top w:val="nil"/>
              <w:left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0.2290</w:t>
            </w:r>
          </w:p>
        </w:tc>
        <w:tc>
          <w:tcPr>
            <w:tcW w:w="0" w:type="auto"/>
            <w:tcBorders>
              <w:top w:val="nil"/>
              <w:left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0.1986</w:t>
            </w:r>
          </w:p>
        </w:tc>
        <w:tc>
          <w:tcPr>
            <w:tcW w:w="0" w:type="auto"/>
            <w:tcBorders>
              <w:top w:val="nil"/>
              <w:left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0.6165</w:t>
            </w:r>
          </w:p>
        </w:tc>
        <w:tc>
          <w:tcPr>
            <w:tcW w:w="0" w:type="auto"/>
            <w:tcBorders>
              <w:top w:val="nil"/>
              <w:left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0.0997</w:t>
            </w:r>
          </w:p>
        </w:tc>
        <w:tc>
          <w:tcPr>
            <w:tcW w:w="0" w:type="auto"/>
            <w:tcBorders>
              <w:top w:val="nil"/>
              <w:left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0.2265</w:t>
            </w:r>
          </w:p>
        </w:tc>
        <w:tc>
          <w:tcPr>
            <w:tcW w:w="0" w:type="auto"/>
            <w:tcBorders>
              <w:top w:val="nil"/>
              <w:left w:val="nil"/>
              <w:right w:val="nil"/>
            </w:tcBorders>
            <w:shd w:val="clear" w:color="auto" w:fill="auto"/>
          </w:tcPr>
          <w:p w:rsidR="00092840" w:rsidRPr="00BD48A1" w:rsidRDefault="00092840" w:rsidP="0074255F">
            <w:pPr>
              <w:rPr>
                <w:color w:val="000000" w:themeColor="text1"/>
                <w:sz w:val="20"/>
                <w:szCs w:val="20"/>
              </w:rPr>
            </w:pPr>
            <w:r w:rsidRPr="00BD48A1">
              <w:rPr>
                <w:color w:val="000000" w:themeColor="text1"/>
                <w:sz w:val="20"/>
                <w:szCs w:val="20"/>
              </w:rPr>
              <w:t>r = 0.0754</w:t>
            </w:r>
          </w:p>
        </w:tc>
      </w:tr>
    </w:tbl>
    <w:p w:rsidR="00092840" w:rsidRPr="00BD48A1" w:rsidRDefault="00092840" w:rsidP="00092840">
      <w:pPr>
        <w:rPr>
          <w:i/>
          <w:iCs/>
          <w:color w:val="000000" w:themeColor="text1"/>
        </w:rPr>
      </w:pPr>
      <w:r w:rsidRPr="00BD48A1">
        <w:rPr>
          <w:i/>
          <w:iCs/>
          <w:color w:val="000000" w:themeColor="text1"/>
        </w:rPr>
        <w:t xml:space="preserve">Note: </w:t>
      </w:r>
      <w:r w:rsidRPr="00BD48A1">
        <w:rPr>
          <w:i/>
          <w:iCs/>
          <w:color w:val="000000" w:themeColor="text1"/>
          <w:lang w:val="el-GR"/>
        </w:rPr>
        <w:t>β</w:t>
      </w:r>
      <w:r w:rsidRPr="00BD48A1">
        <w:rPr>
          <w:i/>
          <w:iCs/>
          <w:color w:val="000000" w:themeColor="text1"/>
        </w:rPr>
        <w:t>-amyloid peptide = A</w:t>
      </w:r>
      <w:r w:rsidRPr="00BD48A1">
        <w:rPr>
          <w:i/>
          <w:iCs/>
          <w:color w:val="000000" w:themeColor="text1"/>
          <w:lang w:val="el-GR"/>
        </w:rPr>
        <w:t>β</w:t>
      </w:r>
      <w:r w:rsidRPr="00BD48A1">
        <w:rPr>
          <w:i/>
          <w:iCs/>
          <w:color w:val="000000" w:themeColor="text1"/>
        </w:rPr>
        <w:t>; early-onset Alzheimer disease = EOAD; late-onset Alzheimer disease = LOAD</w:t>
      </w:r>
    </w:p>
    <w:p w:rsidR="00092840" w:rsidRPr="00BD48A1" w:rsidRDefault="00092840" w:rsidP="00092840">
      <w:pPr>
        <w:rPr>
          <w:i/>
          <w:iCs/>
          <w:color w:val="000000" w:themeColor="text1"/>
        </w:rPr>
      </w:pPr>
    </w:p>
    <w:p w:rsidR="0075554D" w:rsidRPr="00BD48A1" w:rsidRDefault="0075554D">
      <w:pPr>
        <w:rPr>
          <w:color w:val="000000" w:themeColor="text1"/>
        </w:rPr>
      </w:pPr>
    </w:p>
    <w:sectPr w:rsidR="0075554D" w:rsidRPr="00BD48A1" w:rsidSect="00A875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7E7474"/>
    <w:multiLevelType w:val="hybridMultilevel"/>
    <w:tmpl w:val="8014E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424D3"/>
    <w:multiLevelType w:val="multilevel"/>
    <w:tmpl w:val="CB38BE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2155B4"/>
    <w:multiLevelType w:val="hybridMultilevel"/>
    <w:tmpl w:val="7E2A73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C56FE"/>
    <w:multiLevelType w:val="hybridMultilevel"/>
    <w:tmpl w:val="2A1E23A4"/>
    <w:lvl w:ilvl="0" w:tplc="BD202C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270562"/>
    <w:multiLevelType w:val="hybridMultilevel"/>
    <w:tmpl w:val="5212076A"/>
    <w:lvl w:ilvl="0" w:tplc="04BA90B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A6B334E"/>
    <w:multiLevelType w:val="hybridMultilevel"/>
    <w:tmpl w:val="5CCEA87C"/>
    <w:lvl w:ilvl="0" w:tplc="281616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803C48"/>
    <w:multiLevelType w:val="hybridMultilevel"/>
    <w:tmpl w:val="72722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E2055"/>
    <w:multiLevelType w:val="hybridMultilevel"/>
    <w:tmpl w:val="C79A1482"/>
    <w:lvl w:ilvl="0" w:tplc="EF36757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45B00B6"/>
    <w:multiLevelType w:val="multilevel"/>
    <w:tmpl w:val="6966062A"/>
    <w:styleLink w:val="0001US0-99"/>
    <w:lvl w:ilvl="0">
      <w:start w:val="1"/>
      <w:numFmt w:val="decimalZero"/>
      <w:pStyle w:val="US0-99"/>
      <w:isLgl/>
      <w:lvlText w:val="[00%1]"/>
      <w:lvlJc w:val="left"/>
      <w:rPr>
        <w:rFonts w:ascii="Arial" w:hAnsi="Arial" w:hint="default"/>
        <w:b w:val="0"/>
        <w:i w:val="0"/>
        <w:caps w:val="0"/>
        <w:strike w:val="0"/>
        <w:dstrike w:val="0"/>
        <w:vanish w:val="0"/>
        <w:color w:val="000000"/>
        <w:sz w:val="24"/>
        <w:vertAlign w:val="baseline"/>
      </w:rPr>
    </w:lvl>
    <w:lvl w:ilvl="1">
      <w:start w:val="1"/>
      <w:numFmt w:val="none"/>
      <w:isLgl/>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4771F29"/>
    <w:multiLevelType w:val="hybridMultilevel"/>
    <w:tmpl w:val="2CA4E5B0"/>
    <w:lvl w:ilvl="0" w:tplc="BD202CD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9939C3"/>
    <w:multiLevelType w:val="hybridMultilevel"/>
    <w:tmpl w:val="8A0C7FDC"/>
    <w:lvl w:ilvl="0" w:tplc="BCF0DA2C">
      <w:start w:val="2"/>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948674F"/>
    <w:multiLevelType w:val="hybridMultilevel"/>
    <w:tmpl w:val="41B8A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3C4550"/>
    <w:multiLevelType w:val="hybridMultilevel"/>
    <w:tmpl w:val="E8F0E46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D5246C"/>
    <w:multiLevelType w:val="hybridMultilevel"/>
    <w:tmpl w:val="F64C5F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8990B88"/>
    <w:multiLevelType w:val="hybridMultilevel"/>
    <w:tmpl w:val="4B601DFC"/>
    <w:lvl w:ilvl="0" w:tplc="10090011">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93F537E"/>
    <w:multiLevelType w:val="hybridMultilevel"/>
    <w:tmpl w:val="564AE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8E1002"/>
    <w:multiLevelType w:val="hybridMultilevel"/>
    <w:tmpl w:val="ACD4EE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41685C"/>
    <w:multiLevelType w:val="hybridMultilevel"/>
    <w:tmpl w:val="C05652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149561E"/>
    <w:multiLevelType w:val="hybridMultilevel"/>
    <w:tmpl w:val="3FBEB708"/>
    <w:lvl w:ilvl="0" w:tplc="F45AA0E6">
      <w:start w:val="1"/>
      <w:numFmt w:val="decimal"/>
      <w:lvlText w:val="%1."/>
      <w:lvlJc w:val="left"/>
      <w:pPr>
        <w:ind w:left="1353" w:hanging="360"/>
      </w:pPr>
      <w:rPr>
        <w:rFonts w:cstheme="minorBidi"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0" w15:restartNumberingAfterBreak="0">
    <w:nsid w:val="416F7ECF"/>
    <w:multiLevelType w:val="multilevel"/>
    <w:tmpl w:val="548ACD7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1DE3FCC"/>
    <w:multiLevelType w:val="hybridMultilevel"/>
    <w:tmpl w:val="618A4532"/>
    <w:lvl w:ilvl="0" w:tplc="BD202C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4E7A5C"/>
    <w:multiLevelType w:val="hybridMultilevel"/>
    <w:tmpl w:val="CC58C0C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5546C4A"/>
    <w:multiLevelType w:val="multilevel"/>
    <w:tmpl w:val="548ACD7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72F072E"/>
    <w:multiLevelType w:val="hybridMultilevel"/>
    <w:tmpl w:val="C79A1482"/>
    <w:lvl w:ilvl="0" w:tplc="EF36757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7B8D368F"/>
    <w:multiLevelType w:val="hybridMultilevel"/>
    <w:tmpl w:val="46E2D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393949"/>
    <w:multiLevelType w:val="hybridMultilevel"/>
    <w:tmpl w:val="349CA41C"/>
    <w:lvl w:ilvl="0" w:tplc="41BE817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8704F3"/>
    <w:multiLevelType w:val="hybridMultilevel"/>
    <w:tmpl w:val="E8D25C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D455DA"/>
    <w:multiLevelType w:val="hybridMultilevel"/>
    <w:tmpl w:val="8DEAF0D8"/>
    <w:lvl w:ilvl="0" w:tplc="10090011">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FD60DC1"/>
    <w:multiLevelType w:val="multilevel"/>
    <w:tmpl w:val="548ACD7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0"/>
  </w:num>
  <w:num w:numId="2">
    <w:abstractNumId w:val="29"/>
  </w:num>
  <w:num w:numId="3">
    <w:abstractNumId w:val="23"/>
  </w:num>
  <w:num w:numId="4">
    <w:abstractNumId w:val="0"/>
  </w:num>
  <w:num w:numId="5">
    <w:abstractNumId w:val="13"/>
  </w:num>
  <w:num w:numId="6">
    <w:abstractNumId w:val="5"/>
  </w:num>
  <w:num w:numId="7">
    <w:abstractNumId w:val="3"/>
  </w:num>
  <w:num w:numId="8">
    <w:abstractNumId w:val="27"/>
  </w:num>
  <w:num w:numId="9">
    <w:abstractNumId w:val="7"/>
  </w:num>
  <w:num w:numId="10">
    <w:abstractNumId w:val="24"/>
  </w:num>
  <w:num w:numId="11">
    <w:abstractNumId w:val="19"/>
  </w:num>
  <w:num w:numId="12">
    <w:abstractNumId w:val="8"/>
  </w:num>
  <w:num w:numId="13">
    <w:abstractNumId w:val="1"/>
  </w:num>
  <w:num w:numId="14">
    <w:abstractNumId w:val="25"/>
  </w:num>
  <w:num w:numId="15">
    <w:abstractNumId w:val="21"/>
  </w:num>
  <w:num w:numId="16">
    <w:abstractNumId w:val="10"/>
  </w:num>
  <w:num w:numId="17">
    <w:abstractNumId w:val="17"/>
  </w:num>
  <w:num w:numId="18">
    <w:abstractNumId w:val="4"/>
  </w:num>
  <w:num w:numId="19">
    <w:abstractNumId w:val="2"/>
  </w:num>
  <w:num w:numId="20">
    <w:abstractNumId w:val="6"/>
  </w:num>
  <w:num w:numId="21">
    <w:abstractNumId w:val="12"/>
  </w:num>
  <w:num w:numId="22">
    <w:abstractNumId w:val="26"/>
  </w:num>
  <w:num w:numId="23">
    <w:abstractNumId w:val="14"/>
  </w:num>
  <w:num w:numId="24">
    <w:abstractNumId w:val="11"/>
  </w:num>
  <w:num w:numId="25">
    <w:abstractNumId w:val="15"/>
  </w:num>
  <w:num w:numId="26">
    <w:abstractNumId w:val="28"/>
  </w:num>
  <w:num w:numId="27">
    <w:abstractNumId w:val="22"/>
  </w:num>
  <w:num w:numId="28">
    <w:abstractNumId w:val="9"/>
    <w:lvlOverride w:ilvl="0">
      <w:lvl w:ilvl="0">
        <w:start w:val="1"/>
        <w:numFmt w:val="decimalZero"/>
        <w:pStyle w:val="US0-99"/>
        <w:isLgl/>
        <w:lvlText w:val="[00%1]"/>
        <w:lvlJc w:val="left"/>
        <w:pPr>
          <w:tabs>
            <w:tab w:val="num" w:pos="1440"/>
          </w:tabs>
          <w:ind w:left="0" w:firstLine="0"/>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none"/>
        <w:isLgl/>
        <w:suff w:val="nothing"/>
        <w:lvlText w:val="%2"/>
        <w:lvlJc w:val="left"/>
        <w:pPr>
          <w:ind w:left="0" w:firstLine="0"/>
        </w:pPr>
        <w:rPr>
          <w:rFonts w:hint="default"/>
        </w:rPr>
      </w:lvl>
    </w:lvlOverride>
    <w:lvlOverride w:ilvl="2">
      <w:lvl w:ilvl="2">
        <w:start w:val="1"/>
        <w:numFmt w:val="none"/>
        <w:suff w:val="nothing"/>
        <w:lvlText w:val="%3"/>
        <w:lvlJc w:val="left"/>
        <w:pPr>
          <w:ind w:left="0" w:firstLine="0"/>
        </w:pPr>
        <w:rPr>
          <w:rFonts w:hint="default"/>
        </w:rPr>
      </w:lvl>
    </w:lvlOverride>
    <w:lvlOverride w:ilvl="3">
      <w:lvl w:ilvl="3">
        <w:start w:val="1"/>
        <w:numFmt w:val="none"/>
        <w:suff w:val="nothing"/>
        <w:lvlText w:val="%4"/>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9">
    <w:abstractNumId w:val="9"/>
  </w:num>
  <w:num w:numId="30">
    <w:abstractNumId w:val="18"/>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840"/>
    <w:rsid w:val="00092840"/>
    <w:rsid w:val="000B0112"/>
    <w:rsid w:val="001E01BD"/>
    <w:rsid w:val="002D5F21"/>
    <w:rsid w:val="00341A5D"/>
    <w:rsid w:val="006F1529"/>
    <w:rsid w:val="0075554D"/>
    <w:rsid w:val="00AF35C4"/>
    <w:rsid w:val="00BD48A1"/>
    <w:rsid w:val="00BF04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CA54C3-2C53-4EE1-BE69-F7BA96403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840"/>
    <w:pPr>
      <w:spacing w:after="0" w:line="360" w:lineRule="auto"/>
    </w:pPr>
    <w:rPr>
      <w:rFonts w:ascii="Times New Roman" w:hAnsi="Times New Roman" w:cs="Times New Roman"/>
      <w:sz w:val="24"/>
      <w:szCs w:val="24"/>
      <w:lang w:val="en-CA"/>
    </w:rPr>
  </w:style>
  <w:style w:type="paragraph" w:styleId="Heading1">
    <w:name w:val="heading 1"/>
    <w:basedOn w:val="Normal"/>
    <w:next w:val="Normal"/>
    <w:link w:val="Heading1Char"/>
    <w:uiPriority w:val="9"/>
    <w:qFormat/>
    <w:rsid w:val="00092840"/>
    <w:pPr>
      <w:keepNext/>
      <w:keepLines/>
      <w:spacing w:before="240" w:after="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092840"/>
    <w:pPr>
      <w:keepNext/>
      <w:keepLines/>
      <w:outlineLvl w:val="1"/>
    </w:pPr>
    <w:rPr>
      <w:rFonts w:eastAsiaTheme="majorEastAsia" w:cstheme="majorBidi"/>
      <w:i/>
      <w:color w:val="000000" w:themeColor="text1"/>
      <w:szCs w:val="26"/>
    </w:rPr>
  </w:style>
  <w:style w:type="paragraph" w:styleId="Heading3">
    <w:name w:val="heading 3"/>
    <w:basedOn w:val="Normal"/>
    <w:next w:val="Normal"/>
    <w:link w:val="Heading3Char"/>
    <w:uiPriority w:val="9"/>
    <w:unhideWhenUsed/>
    <w:qFormat/>
    <w:rsid w:val="00092840"/>
    <w:pPr>
      <w:keepNext/>
      <w:keepLines/>
      <w:outlineLvl w:val="2"/>
    </w:pPr>
    <w:rPr>
      <w:rFonts w:eastAsiaTheme="majorEastAsia" w:cstheme="majorBidi"/>
      <w:i/>
      <w:color w:val="000000" w:themeColor="text1"/>
    </w:rPr>
  </w:style>
  <w:style w:type="paragraph" w:styleId="Heading4">
    <w:name w:val="heading 4"/>
    <w:basedOn w:val="Normal"/>
    <w:link w:val="Heading4Char"/>
    <w:uiPriority w:val="9"/>
    <w:qFormat/>
    <w:rsid w:val="00092840"/>
    <w:pPr>
      <w:spacing w:before="100" w:beforeAutospacing="1"/>
      <w:outlineLvl w:val="3"/>
    </w:pPr>
    <w:rPr>
      <w:rFonts w:eastAsia="Times New Roman"/>
      <w:bCs/>
      <w:i/>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840"/>
    <w:rPr>
      <w:rFonts w:ascii="Times New Roman" w:eastAsiaTheme="majorEastAsia" w:hAnsi="Times New Roman" w:cstheme="majorBidi"/>
      <w:b/>
      <w:color w:val="000000" w:themeColor="text1"/>
      <w:sz w:val="24"/>
      <w:szCs w:val="32"/>
      <w:lang w:val="en-CA"/>
    </w:rPr>
  </w:style>
  <w:style w:type="character" w:customStyle="1" w:styleId="Heading2Char">
    <w:name w:val="Heading 2 Char"/>
    <w:basedOn w:val="DefaultParagraphFont"/>
    <w:link w:val="Heading2"/>
    <w:uiPriority w:val="9"/>
    <w:rsid w:val="00092840"/>
    <w:rPr>
      <w:rFonts w:ascii="Times New Roman" w:eastAsiaTheme="majorEastAsia" w:hAnsi="Times New Roman" w:cstheme="majorBidi"/>
      <w:i/>
      <w:color w:val="000000" w:themeColor="text1"/>
      <w:sz w:val="24"/>
      <w:szCs w:val="26"/>
      <w:lang w:val="en-CA"/>
    </w:rPr>
  </w:style>
  <w:style w:type="character" w:customStyle="1" w:styleId="Heading3Char">
    <w:name w:val="Heading 3 Char"/>
    <w:basedOn w:val="DefaultParagraphFont"/>
    <w:link w:val="Heading3"/>
    <w:uiPriority w:val="9"/>
    <w:rsid w:val="00092840"/>
    <w:rPr>
      <w:rFonts w:ascii="Times New Roman" w:eastAsiaTheme="majorEastAsia" w:hAnsi="Times New Roman" w:cstheme="majorBidi"/>
      <w:i/>
      <w:color w:val="000000" w:themeColor="text1"/>
      <w:sz w:val="24"/>
      <w:szCs w:val="24"/>
      <w:lang w:val="en-CA"/>
    </w:rPr>
  </w:style>
  <w:style w:type="character" w:customStyle="1" w:styleId="Heading4Char">
    <w:name w:val="Heading 4 Char"/>
    <w:basedOn w:val="DefaultParagraphFont"/>
    <w:link w:val="Heading4"/>
    <w:uiPriority w:val="9"/>
    <w:rsid w:val="00092840"/>
    <w:rPr>
      <w:rFonts w:ascii="Times New Roman" w:eastAsia="Times New Roman" w:hAnsi="Times New Roman" w:cs="Times New Roman"/>
      <w:bCs/>
      <w:i/>
      <w:sz w:val="24"/>
      <w:szCs w:val="24"/>
      <w:lang w:val="en-CA" w:eastAsia="en-CA"/>
    </w:rPr>
  </w:style>
  <w:style w:type="paragraph" w:styleId="ListParagraph">
    <w:name w:val="List Paragraph"/>
    <w:basedOn w:val="Normal"/>
    <w:uiPriority w:val="34"/>
    <w:qFormat/>
    <w:rsid w:val="00092840"/>
    <w:pPr>
      <w:ind w:left="720"/>
      <w:contextualSpacing/>
    </w:pPr>
    <w:rPr>
      <w:rFonts w:cstheme="minorBidi"/>
    </w:rPr>
  </w:style>
  <w:style w:type="paragraph" w:styleId="TOCHeading">
    <w:name w:val="TOC Heading"/>
    <w:basedOn w:val="Heading1"/>
    <w:next w:val="Normal"/>
    <w:uiPriority w:val="39"/>
    <w:unhideWhenUsed/>
    <w:qFormat/>
    <w:rsid w:val="00092840"/>
    <w:pPr>
      <w:spacing w:before="480" w:line="276" w:lineRule="auto"/>
      <w:outlineLvl w:val="9"/>
    </w:pPr>
    <w:rPr>
      <w:b w:val="0"/>
      <w:bCs/>
      <w:sz w:val="28"/>
      <w:szCs w:val="28"/>
    </w:rPr>
  </w:style>
  <w:style w:type="paragraph" w:styleId="TOC1">
    <w:name w:val="toc 1"/>
    <w:basedOn w:val="Normal"/>
    <w:next w:val="Normal"/>
    <w:autoRedefine/>
    <w:uiPriority w:val="39"/>
    <w:unhideWhenUsed/>
    <w:rsid w:val="00092840"/>
    <w:pPr>
      <w:spacing w:before="120"/>
    </w:pPr>
    <w:rPr>
      <w:rFonts w:cstheme="minorBidi"/>
      <w:b/>
      <w:bCs/>
    </w:rPr>
  </w:style>
  <w:style w:type="paragraph" w:styleId="TOC2">
    <w:name w:val="toc 2"/>
    <w:basedOn w:val="Normal"/>
    <w:next w:val="Normal"/>
    <w:autoRedefine/>
    <w:uiPriority w:val="39"/>
    <w:unhideWhenUsed/>
    <w:rsid w:val="00092840"/>
    <w:pPr>
      <w:ind w:left="240"/>
    </w:pPr>
    <w:rPr>
      <w:rFonts w:cstheme="minorBidi"/>
      <w:bCs/>
      <w:sz w:val="22"/>
      <w:szCs w:val="22"/>
    </w:rPr>
  </w:style>
  <w:style w:type="paragraph" w:styleId="TOC3">
    <w:name w:val="toc 3"/>
    <w:basedOn w:val="Normal"/>
    <w:next w:val="Normal"/>
    <w:autoRedefine/>
    <w:uiPriority w:val="39"/>
    <w:unhideWhenUsed/>
    <w:rsid w:val="00092840"/>
    <w:pPr>
      <w:ind w:left="480"/>
    </w:pPr>
    <w:rPr>
      <w:rFonts w:cstheme="minorBidi"/>
      <w:sz w:val="22"/>
      <w:szCs w:val="22"/>
    </w:rPr>
  </w:style>
  <w:style w:type="paragraph" w:styleId="TOC4">
    <w:name w:val="toc 4"/>
    <w:basedOn w:val="Normal"/>
    <w:next w:val="Normal"/>
    <w:autoRedefine/>
    <w:uiPriority w:val="39"/>
    <w:unhideWhenUsed/>
    <w:rsid w:val="00092840"/>
    <w:pPr>
      <w:ind w:left="720"/>
    </w:pPr>
    <w:rPr>
      <w:rFonts w:cstheme="minorBidi"/>
      <w:sz w:val="20"/>
      <w:szCs w:val="20"/>
    </w:rPr>
  </w:style>
  <w:style w:type="paragraph" w:styleId="TOC5">
    <w:name w:val="toc 5"/>
    <w:basedOn w:val="Normal"/>
    <w:next w:val="Normal"/>
    <w:autoRedefine/>
    <w:uiPriority w:val="39"/>
    <w:unhideWhenUsed/>
    <w:rsid w:val="00092840"/>
    <w:pPr>
      <w:ind w:left="960"/>
    </w:pPr>
    <w:rPr>
      <w:rFonts w:cstheme="minorBidi"/>
      <w:sz w:val="20"/>
      <w:szCs w:val="20"/>
    </w:rPr>
  </w:style>
  <w:style w:type="paragraph" w:styleId="TOC6">
    <w:name w:val="toc 6"/>
    <w:basedOn w:val="Normal"/>
    <w:next w:val="Normal"/>
    <w:autoRedefine/>
    <w:uiPriority w:val="39"/>
    <w:unhideWhenUsed/>
    <w:rsid w:val="00092840"/>
    <w:pPr>
      <w:ind w:left="1200"/>
    </w:pPr>
    <w:rPr>
      <w:rFonts w:cstheme="minorBidi"/>
      <w:sz w:val="20"/>
      <w:szCs w:val="20"/>
    </w:rPr>
  </w:style>
  <w:style w:type="paragraph" w:styleId="TOC7">
    <w:name w:val="toc 7"/>
    <w:basedOn w:val="Normal"/>
    <w:next w:val="Normal"/>
    <w:autoRedefine/>
    <w:uiPriority w:val="39"/>
    <w:unhideWhenUsed/>
    <w:rsid w:val="00092840"/>
    <w:pPr>
      <w:ind w:left="1440"/>
    </w:pPr>
    <w:rPr>
      <w:rFonts w:cstheme="minorBidi"/>
      <w:sz w:val="20"/>
      <w:szCs w:val="20"/>
    </w:rPr>
  </w:style>
  <w:style w:type="paragraph" w:styleId="TOC8">
    <w:name w:val="toc 8"/>
    <w:basedOn w:val="Normal"/>
    <w:next w:val="Normal"/>
    <w:autoRedefine/>
    <w:uiPriority w:val="39"/>
    <w:unhideWhenUsed/>
    <w:rsid w:val="00092840"/>
    <w:pPr>
      <w:ind w:left="1680"/>
    </w:pPr>
    <w:rPr>
      <w:rFonts w:cstheme="minorBidi"/>
      <w:sz w:val="20"/>
      <w:szCs w:val="20"/>
    </w:rPr>
  </w:style>
  <w:style w:type="paragraph" w:styleId="TOC9">
    <w:name w:val="toc 9"/>
    <w:basedOn w:val="Normal"/>
    <w:next w:val="Normal"/>
    <w:autoRedefine/>
    <w:uiPriority w:val="39"/>
    <w:unhideWhenUsed/>
    <w:rsid w:val="00092840"/>
    <w:pPr>
      <w:ind w:left="1920"/>
    </w:pPr>
    <w:rPr>
      <w:rFonts w:cstheme="minorBidi"/>
      <w:sz w:val="20"/>
      <w:szCs w:val="20"/>
    </w:rPr>
  </w:style>
  <w:style w:type="character" w:styleId="Hyperlink">
    <w:name w:val="Hyperlink"/>
    <w:basedOn w:val="DefaultParagraphFont"/>
    <w:uiPriority w:val="99"/>
    <w:unhideWhenUsed/>
    <w:rsid w:val="00092840"/>
    <w:rPr>
      <w:color w:val="0563C1" w:themeColor="hyperlink"/>
      <w:u w:val="single"/>
    </w:rPr>
  </w:style>
  <w:style w:type="character" w:styleId="LineNumber">
    <w:name w:val="line number"/>
    <w:basedOn w:val="DefaultParagraphFont"/>
    <w:uiPriority w:val="99"/>
    <w:semiHidden/>
    <w:unhideWhenUsed/>
    <w:rsid w:val="00092840"/>
  </w:style>
  <w:style w:type="paragraph" w:styleId="Header">
    <w:name w:val="header"/>
    <w:basedOn w:val="Normal"/>
    <w:link w:val="HeaderChar"/>
    <w:uiPriority w:val="99"/>
    <w:unhideWhenUsed/>
    <w:rsid w:val="00092840"/>
    <w:pPr>
      <w:tabs>
        <w:tab w:val="center" w:pos="4680"/>
        <w:tab w:val="right" w:pos="9360"/>
      </w:tabs>
    </w:pPr>
    <w:rPr>
      <w:rFonts w:cstheme="minorBidi"/>
    </w:rPr>
  </w:style>
  <w:style w:type="character" w:customStyle="1" w:styleId="HeaderChar">
    <w:name w:val="Header Char"/>
    <w:basedOn w:val="DefaultParagraphFont"/>
    <w:link w:val="Header"/>
    <w:uiPriority w:val="99"/>
    <w:rsid w:val="00092840"/>
    <w:rPr>
      <w:rFonts w:ascii="Times New Roman" w:hAnsi="Times New Roman"/>
      <w:sz w:val="24"/>
      <w:szCs w:val="24"/>
      <w:lang w:val="en-CA"/>
    </w:rPr>
  </w:style>
  <w:style w:type="character" w:styleId="PageNumber">
    <w:name w:val="page number"/>
    <w:basedOn w:val="DefaultParagraphFont"/>
    <w:uiPriority w:val="99"/>
    <w:semiHidden/>
    <w:unhideWhenUsed/>
    <w:rsid w:val="00092840"/>
  </w:style>
  <w:style w:type="paragraph" w:styleId="NoSpacing">
    <w:name w:val="No Spacing"/>
    <w:uiPriority w:val="1"/>
    <w:qFormat/>
    <w:rsid w:val="00092840"/>
    <w:pPr>
      <w:spacing w:after="0"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unhideWhenUsed/>
    <w:rsid w:val="00092840"/>
    <w:rPr>
      <w:sz w:val="18"/>
      <w:szCs w:val="18"/>
    </w:rPr>
  </w:style>
  <w:style w:type="paragraph" w:styleId="CommentText">
    <w:name w:val="annotation text"/>
    <w:basedOn w:val="Normal"/>
    <w:link w:val="CommentTextChar"/>
    <w:uiPriority w:val="99"/>
    <w:unhideWhenUsed/>
    <w:rsid w:val="00092840"/>
    <w:rPr>
      <w:rFonts w:cstheme="minorBidi"/>
    </w:rPr>
  </w:style>
  <w:style w:type="character" w:customStyle="1" w:styleId="CommentTextChar">
    <w:name w:val="Comment Text Char"/>
    <w:basedOn w:val="DefaultParagraphFont"/>
    <w:link w:val="CommentText"/>
    <w:uiPriority w:val="99"/>
    <w:rsid w:val="00092840"/>
    <w:rPr>
      <w:rFonts w:ascii="Times New Roman" w:hAnsi="Times New Roman"/>
      <w:sz w:val="24"/>
      <w:szCs w:val="24"/>
      <w:lang w:val="en-CA"/>
    </w:rPr>
  </w:style>
  <w:style w:type="paragraph" w:styleId="CommentSubject">
    <w:name w:val="annotation subject"/>
    <w:basedOn w:val="CommentText"/>
    <w:next w:val="CommentText"/>
    <w:link w:val="CommentSubjectChar"/>
    <w:uiPriority w:val="99"/>
    <w:semiHidden/>
    <w:unhideWhenUsed/>
    <w:rsid w:val="00092840"/>
    <w:rPr>
      <w:b/>
      <w:bCs/>
      <w:sz w:val="20"/>
      <w:szCs w:val="20"/>
    </w:rPr>
  </w:style>
  <w:style w:type="character" w:customStyle="1" w:styleId="CommentSubjectChar">
    <w:name w:val="Comment Subject Char"/>
    <w:basedOn w:val="CommentTextChar"/>
    <w:link w:val="CommentSubject"/>
    <w:uiPriority w:val="99"/>
    <w:semiHidden/>
    <w:rsid w:val="00092840"/>
    <w:rPr>
      <w:rFonts w:ascii="Times New Roman" w:hAnsi="Times New Roman"/>
      <w:b/>
      <w:bCs/>
      <w:sz w:val="20"/>
      <w:szCs w:val="20"/>
      <w:lang w:val="en-CA"/>
    </w:rPr>
  </w:style>
  <w:style w:type="paragraph" w:styleId="BalloonText">
    <w:name w:val="Balloon Text"/>
    <w:basedOn w:val="Normal"/>
    <w:link w:val="BalloonTextChar"/>
    <w:uiPriority w:val="99"/>
    <w:semiHidden/>
    <w:unhideWhenUsed/>
    <w:rsid w:val="00092840"/>
    <w:rPr>
      <w:sz w:val="18"/>
      <w:szCs w:val="18"/>
    </w:rPr>
  </w:style>
  <w:style w:type="character" w:customStyle="1" w:styleId="BalloonTextChar">
    <w:name w:val="Balloon Text Char"/>
    <w:basedOn w:val="DefaultParagraphFont"/>
    <w:link w:val="BalloonText"/>
    <w:uiPriority w:val="99"/>
    <w:semiHidden/>
    <w:rsid w:val="00092840"/>
    <w:rPr>
      <w:rFonts w:ascii="Times New Roman" w:hAnsi="Times New Roman" w:cs="Times New Roman"/>
      <w:sz w:val="18"/>
      <w:szCs w:val="18"/>
      <w:lang w:val="en-CA"/>
    </w:rPr>
  </w:style>
  <w:style w:type="table" w:styleId="TableGrid">
    <w:name w:val="Table Grid"/>
    <w:basedOn w:val="TableNormal"/>
    <w:uiPriority w:val="39"/>
    <w:rsid w:val="0009284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92840"/>
    <w:rPr>
      <w:b/>
      <w:bCs/>
    </w:rPr>
  </w:style>
  <w:style w:type="paragraph" w:customStyle="1" w:styleId="p1">
    <w:name w:val="p1"/>
    <w:basedOn w:val="Normal"/>
    <w:rsid w:val="00092840"/>
    <w:rPr>
      <w:rFonts w:ascii="Helvetica Neue" w:hAnsi="Helvetica Neue"/>
      <w:color w:val="000000"/>
      <w:sz w:val="38"/>
      <w:szCs w:val="38"/>
    </w:rPr>
  </w:style>
  <w:style w:type="character" w:customStyle="1" w:styleId="s1">
    <w:name w:val="s1"/>
    <w:basedOn w:val="DefaultParagraphFont"/>
    <w:rsid w:val="00092840"/>
  </w:style>
  <w:style w:type="paragraph" w:styleId="Revision">
    <w:name w:val="Revision"/>
    <w:hidden/>
    <w:uiPriority w:val="99"/>
    <w:semiHidden/>
    <w:rsid w:val="00092840"/>
    <w:pPr>
      <w:spacing w:after="0" w:line="240" w:lineRule="auto"/>
    </w:pPr>
    <w:rPr>
      <w:rFonts w:ascii="Times New Roman" w:hAnsi="Times New Roman"/>
      <w:sz w:val="24"/>
      <w:szCs w:val="24"/>
      <w:lang w:val="en-CA"/>
    </w:rPr>
  </w:style>
  <w:style w:type="paragraph" w:styleId="DocumentMap">
    <w:name w:val="Document Map"/>
    <w:basedOn w:val="Normal"/>
    <w:link w:val="DocumentMapChar"/>
    <w:uiPriority w:val="99"/>
    <w:semiHidden/>
    <w:unhideWhenUsed/>
    <w:rsid w:val="00092840"/>
  </w:style>
  <w:style w:type="character" w:customStyle="1" w:styleId="DocumentMapChar">
    <w:name w:val="Document Map Char"/>
    <w:basedOn w:val="DefaultParagraphFont"/>
    <w:link w:val="DocumentMap"/>
    <w:uiPriority w:val="99"/>
    <w:semiHidden/>
    <w:rsid w:val="00092840"/>
    <w:rPr>
      <w:rFonts w:ascii="Times New Roman" w:hAnsi="Times New Roman" w:cs="Times New Roman"/>
      <w:sz w:val="24"/>
      <w:szCs w:val="24"/>
      <w:lang w:val="en-CA"/>
    </w:rPr>
  </w:style>
  <w:style w:type="character" w:customStyle="1" w:styleId="apple-converted-space">
    <w:name w:val="apple-converted-space"/>
    <w:basedOn w:val="DefaultParagraphFont"/>
    <w:rsid w:val="00092840"/>
  </w:style>
  <w:style w:type="paragraph" w:customStyle="1" w:styleId="EndNoteBibliography">
    <w:name w:val="EndNote Bibliography"/>
    <w:basedOn w:val="Normal"/>
    <w:link w:val="EndNoteBibliographyChar"/>
    <w:rsid w:val="00092840"/>
    <w:rPr>
      <w:rFonts w:ascii="Calibri" w:hAnsi="Calibri" w:cs="Calibri"/>
    </w:rPr>
  </w:style>
  <w:style w:type="character" w:customStyle="1" w:styleId="EndNoteBibliographyChar">
    <w:name w:val="EndNote Bibliography Char"/>
    <w:basedOn w:val="DefaultParagraphFont"/>
    <w:link w:val="EndNoteBibliography"/>
    <w:rsid w:val="00092840"/>
    <w:rPr>
      <w:rFonts w:ascii="Calibri" w:hAnsi="Calibri" w:cs="Calibri"/>
      <w:sz w:val="24"/>
      <w:szCs w:val="24"/>
      <w:lang w:val="en-CA"/>
    </w:rPr>
  </w:style>
  <w:style w:type="paragraph" w:customStyle="1" w:styleId="EndNoteBibliographyTitle">
    <w:name w:val="EndNote Bibliography Title"/>
    <w:basedOn w:val="Normal"/>
    <w:link w:val="EndNoteBibliographyTitleChar"/>
    <w:rsid w:val="00092840"/>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092840"/>
    <w:rPr>
      <w:rFonts w:ascii="Calibri" w:hAnsi="Calibri" w:cs="Calibri"/>
      <w:sz w:val="24"/>
      <w:szCs w:val="24"/>
      <w:lang w:val="en-US"/>
    </w:rPr>
  </w:style>
  <w:style w:type="paragraph" w:styleId="Footer">
    <w:name w:val="footer"/>
    <w:basedOn w:val="Normal"/>
    <w:link w:val="FooterChar"/>
    <w:uiPriority w:val="99"/>
    <w:unhideWhenUsed/>
    <w:rsid w:val="00092840"/>
    <w:pPr>
      <w:tabs>
        <w:tab w:val="center" w:pos="4680"/>
        <w:tab w:val="right" w:pos="9360"/>
      </w:tabs>
    </w:pPr>
    <w:rPr>
      <w:lang w:val="en-US"/>
    </w:rPr>
  </w:style>
  <w:style w:type="character" w:customStyle="1" w:styleId="FooterChar">
    <w:name w:val="Footer Char"/>
    <w:basedOn w:val="DefaultParagraphFont"/>
    <w:link w:val="Footer"/>
    <w:uiPriority w:val="99"/>
    <w:rsid w:val="00092840"/>
    <w:rPr>
      <w:rFonts w:ascii="Times New Roman" w:hAnsi="Times New Roman" w:cs="Times New Roman"/>
      <w:sz w:val="24"/>
      <w:szCs w:val="24"/>
      <w:lang w:val="en-US"/>
    </w:rPr>
  </w:style>
  <w:style w:type="paragraph" w:styleId="Caption">
    <w:name w:val="caption"/>
    <w:basedOn w:val="Normal"/>
    <w:next w:val="Normal"/>
    <w:uiPriority w:val="35"/>
    <w:unhideWhenUsed/>
    <w:qFormat/>
    <w:rsid w:val="00092840"/>
    <w:pPr>
      <w:spacing w:after="200"/>
    </w:pPr>
    <w:rPr>
      <w:rFonts w:asciiTheme="minorHAnsi" w:hAnsiTheme="minorHAnsi" w:cstheme="minorBidi"/>
      <w:i/>
      <w:iCs/>
      <w:color w:val="44546A" w:themeColor="text2"/>
      <w:sz w:val="18"/>
      <w:szCs w:val="18"/>
    </w:rPr>
  </w:style>
  <w:style w:type="character" w:styleId="FootnoteReference">
    <w:name w:val="footnote reference"/>
    <w:basedOn w:val="DefaultParagraphFont"/>
    <w:uiPriority w:val="99"/>
    <w:semiHidden/>
    <w:unhideWhenUsed/>
    <w:rsid w:val="00092840"/>
    <w:rPr>
      <w:vertAlign w:val="superscript"/>
    </w:rPr>
  </w:style>
  <w:style w:type="character" w:styleId="Emphasis">
    <w:name w:val="Emphasis"/>
    <w:basedOn w:val="DefaultParagraphFont"/>
    <w:uiPriority w:val="20"/>
    <w:qFormat/>
    <w:rsid w:val="00092840"/>
    <w:rPr>
      <w:i/>
      <w:iCs/>
    </w:rPr>
  </w:style>
  <w:style w:type="paragraph" w:customStyle="1" w:styleId="Body">
    <w:name w:val="Body"/>
    <w:rsid w:val="00092840"/>
    <w:pPr>
      <w:pBdr>
        <w:top w:val="nil"/>
        <w:left w:val="nil"/>
        <w:bottom w:val="nil"/>
        <w:right w:val="nil"/>
        <w:between w:val="nil"/>
        <w:bar w:val="nil"/>
      </w:pBdr>
    </w:pPr>
    <w:rPr>
      <w:rFonts w:ascii="Calibri" w:eastAsia="Calibri" w:hAnsi="Calibri" w:cs="Calibri"/>
      <w:color w:val="000000"/>
      <w:u w:color="000000"/>
      <w:bdr w:val="nil"/>
      <w:lang w:val="en-CA" w:eastAsia="en-CA"/>
      <w14:textOutline w14:w="0" w14:cap="flat" w14:cmpd="sng" w14:algn="ctr">
        <w14:noFill/>
        <w14:prstDash w14:val="solid"/>
        <w14:bevel/>
      </w14:textOutline>
    </w:rPr>
  </w:style>
  <w:style w:type="character" w:styleId="PlaceholderText">
    <w:name w:val="Placeholder Text"/>
    <w:basedOn w:val="DefaultParagraphFont"/>
    <w:uiPriority w:val="99"/>
    <w:semiHidden/>
    <w:rsid w:val="00092840"/>
    <w:rPr>
      <w:color w:val="808080"/>
    </w:rPr>
  </w:style>
  <w:style w:type="character" w:customStyle="1" w:styleId="UnresolvedMention1">
    <w:name w:val="Unresolved Mention1"/>
    <w:basedOn w:val="DefaultParagraphFont"/>
    <w:uiPriority w:val="99"/>
    <w:semiHidden/>
    <w:unhideWhenUsed/>
    <w:rsid w:val="00092840"/>
    <w:rPr>
      <w:color w:val="605E5C"/>
      <w:shd w:val="clear" w:color="auto" w:fill="E1DFDD"/>
    </w:rPr>
  </w:style>
  <w:style w:type="character" w:customStyle="1" w:styleId="hgkelc">
    <w:name w:val="hgkelc"/>
    <w:basedOn w:val="DefaultParagraphFont"/>
    <w:rsid w:val="00092840"/>
  </w:style>
  <w:style w:type="paragraph" w:styleId="NormalWeb">
    <w:name w:val="Normal (Web)"/>
    <w:basedOn w:val="Normal"/>
    <w:uiPriority w:val="99"/>
    <w:unhideWhenUsed/>
    <w:rsid w:val="00092840"/>
    <w:pPr>
      <w:spacing w:before="100" w:beforeAutospacing="1" w:after="100" w:afterAutospacing="1" w:line="240" w:lineRule="auto"/>
    </w:pPr>
    <w:rPr>
      <w:rFonts w:eastAsia="Times New Roman"/>
    </w:rPr>
  </w:style>
  <w:style w:type="character" w:customStyle="1" w:styleId="textstyle">
    <w:name w:val="textstyle"/>
    <w:basedOn w:val="DefaultParagraphFont"/>
    <w:rsid w:val="00092840"/>
  </w:style>
  <w:style w:type="character" w:customStyle="1" w:styleId="acopre">
    <w:name w:val="acopre"/>
    <w:basedOn w:val="DefaultParagraphFont"/>
    <w:rsid w:val="00092840"/>
  </w:style>
  <w:style w:type="character" w:customStyle="1" w:styleId="stix">
    <w:name w:val="stix"/>
    <w:basedOn w:val="DefaultParagraphFont"/>
    <w:rsid w:val="00092840"/>
  </w:style>
  <w:style w:type="character" w:customStyle="1" w:styleId="UnresolvedMention2">
    <w:name w:val="Unresolved Mention2"/>
    <w:basedOn w:val="DefaultParagraphFont"/>
    <w:uiPriority w:val="99"/>
    <w:semiHidden/>
    <w:unhideWhenUsed/>
    <w:rsid w:val="00092840"/>
    <w:rPr>
      <w:color w:val="605E5C"/>
      <w:shd w:val="clear" w:color="auto" w:fill="E1DFDD"/>
    </w:rPr>
  </w:style>
  <w:style w:type="character" w:styleId="FollowedHyperlink">
    <w:name w:val="FollowedHyperlink"/>
    <w:basedOn w:val="DefaultParagraphFont"/>
    <w:uiPriority w:val="99"/>
    <w:semiHidden/>
    <w:unhideWhenUsed/>
    <w:rsid w:val="00092840"/>
    <w:rPr>
      <w:color w:val="954F72" w:themeColor="followedHyperlink"/>
      <w:u w:val="single"/>
    </w:rPr>
  </w:style>
  <w:style w:type="paragraph" w:customStyle="1" w:styleId="US0-99">
    <w:name w:val="US 0-99"/>
    <w:basedOn w:val="Normal"/>
    <w:link w:val="US0-99Char"/>
    <w:uiPriority w:val="2"/>
    <w:qFormat/>
    <w:rsid w:val="00092840"/>
    <w:pPr>
      <w:numPr>
        <w:numId w:val="28"/>
      </w:numPr>
      <w:spacing w:after="120"/>
      <w:jc w:val="both"/>
    </w:pPr>
    <w:rPr>
      <w:rFonts w:ascii="Arial" w:eastAsia="Times New Roman" w:hAnsi="Arial"/>
      <w:szCs w:val="20"/>
    </w:rPr>
  </w:style>
  <w:style w:type="numbering" w:customStyle="1" w:styleId="0001US0-99">
    <w:name w:val="[0001] US 0-99"/>
    <w:rsid w:val="00092840"/>
    <w:pPr>
      <w:numPr>
        <w:numId w:val="28"/>
      </w:numPr>
    </w:pPr>
  </w:style>
  <w:style w:type="character" w:customStyle="1" w:styleId="US0-99Char">
    <w:name w:val="US 0-99 Char"/>
    <w:link w:val="US0-99"/>
    <w:uiPriority w:val="2"/>
    <w:locked/>
    <w:rsid w:val="00092840"/>
    <w:rPr>
      <w:rFonts w:ascii="Arial" w:eastAsia="Times New Roman" w:hAnsi="Arial" w:cs="Times New Roman"/>
      <w:sz w:val="24"/>
      <w:szCs w:val="20"/>
      <w:lang w:val="en-CA"/>
    </w:rPr>
  </w:style>
  <w:style w:type="character" w:customStyle="1" w:styleId="cf01">
    <w:name w:val="cf01"/>
    <w:basedOn w:val="DefaultParagraphFont"/>
    <w:rsid w:val="00092840"/>
    <w:rPr>
      <w:rFonts w:ascii="Segoe UI" w:hAnsi="Segoe UI" w:cs="Segoe UI" w:hint="default"/>
      <w:sz w:val="18"/>
      <w:szCs w:val="18"/>
    </w:rPr>
  </w:style>
  <w:style w:type="character" w:customStyle="1" w:styleId="aliasmainname">
    <w:name w:val="aliasmainname"/>
    <w:basedOn w:val="DefaultParagraphFont"/>
    <w:rsid w:val="00092840"/>
  </w:style>
  <w:style w:type="character" w:customStyle="1" w:styleId="value">
    <w:name w:val="value"/>
    <w:basedOn w:val="DefaultParagraphFont"/>
    <w:rsid w:val="00092840"/>
  </w:style>
  <w:style w:type="character" w:customStyle="1" w:styleId="ky2igmncmogjharherah">
    <w:name w:val="ky2igmncmogjharherah"/>
    <w:basedOn w:val="DefaultParagraphFont"/>
    <w:rsid w:val="00092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2448</Words>
  <Characters>13959</Characters>
  <Application>Microsoft Office Word</Application>
  <DocSecurity>0</DocSecurity>
  <Lines>116</Lines>
  <Paragraphs>32</Paragraphs>
  <ScaleCrop>false</ScaleCrop>
  <Company>HP Inc.</Company>
  <LinksUpToDate>false</LinksUpToDate>
  <CharactersWithSpaces>16375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Sophiya A Aarokia Samy T</dc:creator>
  <cp:keywords/>
  <dc:description/>
  <cp:lastModifiedBy>Agnes Sophiya A Aarokia Samy T</cp:lastModifiedBy>
  <cp:revision>3</cp:revision>
  <dcterms:created xsi:type="dcterms:W3CDTF">2024-08-08T00:37:00Z</dcterms:created>
  <dcterms:modified xsi:type="dcterms:W3CDTF">2024-08-08T00:38:00Z</dcterms:modified>
</cp:coreProperties>
</file>