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068"/>
        </w:tabs>
        <w:bidi w:val="0"/>
        <w:jc w:val="both"/>
        <w:rPr>
          <w:rFonts w:hint="eastAsia" w:eastAsia="宋体"/>
          <w:lang w:val="en-US" w:eastAsia="zh-CN"/>
        </w:rPr>
      </w:pPr>
    </w:p>
    <w:tbl>
      <w:tblPr>
        <w:tblStyle w:val="3"/>
        <w:tblpPr w:leftFromText="180" w:rightFromText="180" w:vertAnchor="text" w:horzAnchor="page" w:tblpX="2017" w:tblpY="279"/>
        <w:tblOverlap w:val="never"/>
        <w:tblW w:w="86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2615"/>
        <w:gridCol w:w="2200"/>
        <w:gridCol w:w="1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630" w:type="dxa"/>
            <w:gridSpan w:val="4"/>
            <w:tcBorders>
              <w:bottom w:val="single" w:color="auto" w:sz="4" w:space="0"/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Table S1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aseline characteristics of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response and no-response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UC patients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636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Variables</w:t>
            </w:r>
          </w:p>
        </w:tc>
        <w:tc>
          <w:tcPr>
            <w:tcW w:w="261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ind w:left="120" w:hanging="120" w:hangingChars="50"/>
              <w:jc w:val="left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response group </w:t>
            </w:r>
          </w:p>
          <w:p>
            <w:pPr>
              <w:ind w:left="239" w:leftChars="114" w:firstLine="120" w:firstLineChars="50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(n=30)</w:t>
            </w:r>
          </w:p>
        </w:tc>
        <w:tc>
          <w:tcPr>
            <w:tcW w:w="220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ind w:left="602" w:hanging="600" w:hangingChars="250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no-response group (n=11)</w:t>
            </w:r>
          </w:p>
        </w:tc>
        <w:tc>
          <w:tcPr>
            <w:tcW w:w="1179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Mayo score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Mean±SD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†</w:t>
            </w:r>
          </w:p>
        </w:tc>
        <w:tc>
          <w:tcPr>
            <w:tcW w:w="2615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1.6</w:t>
            </w:r>
          </w:p>
        </w:tc>
        <w:tc>
          <w:tcPr>
            <w:tcW w:w="2200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1.2</w:t>
            </w:r>
          </w:p>
        </w:tc>
        <w:tc>
          <w:tcPr>
            <w:tcW w:w="117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0.073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Mayo endoscopic score, Median (IQR)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‡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3.0(3.0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3.0)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3.0(3.0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3.0)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ind w:right="-531" w:rightChars="-25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UCEIS average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value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(Mean±SD)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†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1.0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0.9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0.098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UCEIS maximum value (Mean±SD)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†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1.1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0.4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0.142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Nancy index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Median (IQR)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‡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4.0(3.0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4.0)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4.0(4.0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–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4.0)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cs="Times New Roman"/>
                <w:sz w:val="24"/>
                <w:szCs w:val="24"/>
                <w:lang w:val="en-US" w:eastAsia="zh-CN" w:bidi="ar"/>
              </w:rPr>
              <w:t>0.143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 (10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/L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Mean±SD)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†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2.4</w:t>
            </w:r>
            <w:bookmarkStart w:id="1" w:name="_GoBack"/>
            <w:bookmarkEnd w:id="1"/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2.3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g/L,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Mean±SD)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†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24.9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15.6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ESR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Median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Median (IQR)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‡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0.0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（10.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,37.2）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9.0,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）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CRP (mg/L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Median (IQR)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‡</w:t>
            </w:r>
          </w:p>
        </w:tc>
        <w:tc>
          <w:tcPr>
            <w:tcW w:w="2615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2.0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,28.4）</w:t>
            </w:r>
          </w:p>
        </w:tc>
        <w:tc>
          <w:tcPr>
            <w:tcW w:w="22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5.7(0.5,18.2)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6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g/L,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Mean±SD)</w:t>
            </w:r>
            <w:r>
              <w:rPr>
                <w:rFonts w:hint="default" w:ascii="Times New Roman" w:hAnsi="Times New Roman" w:eastAsia="icomoon" w:cs="Times New Roman"/>
                <w:i w:val="0"/>
                <w:iCs w:val="0"/>
                <w:caps w:val="0"/>
                <w:color w:val="1C1D1E"/>
                <w:spacing w:val="0"/>
                <w:sz w:val="24"/>
                <w:szCs w:val="24"/>
                <w:shd w:val="clear" w:fill="FFFFFF"/>
                <w:vertAlign w:val="superscript"/>
              </w:rPr>
              <w:t>†</w:t>
            </w:r>
          </w:p>
        </w:tc>
        <w:tc>
          <w:tcPr>
            <w:tcW w:w="2615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37.1±5.5</w:t>
            </w:r>
          </w:p>
        </w:tc>
        <w:tc>
          <w:tcPr>
            <w:tcW w:w="2200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33.3±5.6</w:t>
            </w:r>
          </w:p>
        </w:tc>
        <w:tc>
          <w:tcPr>
            <w:tcW w:w="1179" w:type="dxa"/>
            <w:tcBorders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0.06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adjustRightInd w:val="0"/>
        <w:snapToGrid w:val="0"/>
        <w:spacing w:line="276" w:lineRule="auto"/>
        <w:ind w:left="210" w:leftChars="100" w:firstLine="0" w:firstLineChars="0"/>
        <w:rPr>
          <w:rFonts w:ascii="Times New Roman" w:hAnsi="Times New Roman" w:cs="Times New Roman"/>
          <w:vertAlign w:val="superscript"/>
        </w:rPr>
      </w:pPr>
    </w:p>
    <w:p>
      <w:pPr>
        <w:adjustRightInd w:val="0"/>
        <w:snapToGrid w:val="0"/>
        <w:spacing w:line="276" w:lineRule="auto"/>
        <w:ind w:left="210" w:leftChars="100" w:firstLine="0" w:firstLineChars="0"/>
        <w:rPr>
          <w:rFonts w:hint="eastAsia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icomoon" w:cs="Times New Roman"/>
          <w:i w:val="0"/>
          <w:iCs w:val="0"/>
          <w:caps w:val="0"/>
          <w:color w:val="1C1D1E"/>
          <w:spacing w:val="0"/>
          <w:sz w:val="24"/>
          <w:szCs w:val="24"/>
          <w:shd w:val="clear" w:fill="FFFFFF"/>
          <w:vertAlign w:val="superscript"/>
        </w:rPr>
        <w:t>†</w:t>
      </w:r>
      <w:r>
        <w:rPr>
          <w:rFonts w:ascii="Times New Roman" w:hAnsi="Times New Roman" w:cs="Times New Roman"/>
        </w:rPr>
        <w:t xml:space="preserve"> two independent sample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/>
          <w:iCs/>
        </w:rPr>
        <w:t>t</w:t>
      </w:r>
      <w:r>
        <w:rPr>
          <w:rFonts w:hint="default" w:ascii="Times New Roman" w:hAnsi="Times New Roman" w:cs="Times New Roman"/>
          <w:sz w:val="21"/>
          <w:szCs w:val="21"/>
        </w:rPr>
        <w:t>-test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was used to compare continuous variables between the two groups;</w:t>
      </w:r>
      <w:r>
        <w:rPr>
          <w:rFonts w:hint="eastAsia" w:ascii="Times New Roman" w:hAnsi="Times New Roman" w:cs="Times New Roman"/>
          <w:vertAlign w:val="superscript"/>
        </w:rPr>
        <w:t xml:space="preserve"> </w:t>
      </w:r>
      <w:r>
        <w:rPr>
          <w:rFonts w:hint="default" w:ascii="Times New Roman" w:hAnsi="Times New Roman" w:eastAsia="icomoon" w:cs="Times New Roman"/>
          <w:i w:val="0"/>
          <w:iCs w:val="0"/>
          <w:caps w:val="0"/>
          <w:color w:val="1C1D1E"/>
          <w:spacing w:val="0"/>
          <w:sz w:val="24"/>
          <w:szCs w:val="24"/>
          <w:shd w:val="clear" w:fill="FFFFFF"/>
          <w:vertAlign w:val="superscript"/>
        </w:rPr>
        <w:t>‡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Wilcoxon</w:t>
      </w:r>
      <w:r>
        <w:rPr>
          <w:rFonts w:hint="eastAsia" w:ascii="Times New Roman" w:hAnsi="Times New Roman" w:cs="Times New Roman"/>
          <w:lang w:val="en-US" w:eastAsia="zh-CN"/>
        </w:rPr>
        <w:t xml:space="preserve"> (</w:t>
      </w:r>
      <w:r>
        <w:rPr>
          <w:rFonts w:ascii="Times New Roman" w:hAnsi="Times New Roman" w:cs="Times New Roman"/>
        </w:rPr>
        <w:t>M</w:t>
      </w:r>
      <w:r>
        <w:rPr>
          <w:rFonts w:hint="eastAsia" w:ascii="Times New Roman" w:hAnsi="Times New Roman" w:cs="Times New Roman"/>
        </w:rPr>
        <w:t>ann</w:t>
      </w:r>
      <w:r>
        <w:rPr>
          <w:rFonts w:ascii="Times New Roman" w:hAnsi="Times New Roman" w:cs="Times New Roman"/>
        </w:rPr>
        <w:t>-Whitney</w:t>
      </w:r>
      <w:r>
        <w:rPr>
          <w:rFonts w:hint="eastAsia" w:ascii="Times New Roman" w:hAnsi="Times New Roman" w:cs="Times New Roman"/>
          <w:lang w:val="en-US" w:eastAsia="zh-CN"/>
        </w:rPr>
        <w:t>)</w:t>
      </w:r>
      <w:r>
        <w:rPr>
          <w:rFonts w:ascii="Times New Roman" w:hAnsi="Times New Roman" w:cs="Times New Roman"/>
        </w:rPr>
        <w:t xml:space="preserve"> test was used to compare non-normal</w:t>
      </w:r>
      <w:r>
        <w:rPr>
          <w:rFonts w:hint="eastAsia" w:ascii="Times New Roman" w:hAnsi="Times New Roman" w:cs="Times New Roman"/>
        </w:rPr>
        <w:t>ly</w:t>
      </w:r>
      <w:r>
        <w:rPr>
          <w:rFonts w:ascii="Times New Roman" w:hAnsi="Times New Roman" w:cs="Times New Roman"/>
        </w:rPr>
        <w:t xml:space="preserve"> continuous variables between the two groups. Abbreviation:</w:t>
      </w:r>
      <w:r>
        <w:rPr>
          <w:rFonts w:ascii="Times New Roman" w:hAnsi="Times New Roman" w:cs="Times New Roman"/>
          <w:szCs w:val="21"/>
        </w:rPr>
        <w:t xml:space="preserve"> </w:t>
      </w:r>
      <w:bookmarkStart w:id="0" w:name="OLE_LINK1"/>
      <w:r>
        <w:rPr>
          <w:rFonts w:ascii="Times New Roman" w:hAnsi="Times New Roman" w:cs="Times New Roman"/>
          <w:szCs w:val="21"/>
        </w:rPr>
        <w:t>UCEI</w:t>
      </w:r>
      <w:bookmarkEnd w:id="0"/>
      <w:r>
        <w:rPr>
          <w:rFonts w:ascii="Times New Roman" w:hAnsi="Times New Roman" w:cs="Times New Roman"/>
          <w:szCs w:val="21"/>
        </w:rPr>
        <w:t xml:space="preserve">S: ulcerative colitis endoscopic index of severity; IQR: interquartile range; SD: standard deviation; </w:t>
      </w:r>
      <w:r>
        <w:rPr>
          <w:rFonts w:ascii="Times New Roman" w:hAnsi="Times New Roman" w:cs="Times New Roman"/>
          <w:color w:val="auto"/>
          <w:sz w:val="21"/>
          <w:szCs w:val="21"/>
        </w:rPr>
        <w:t>WBC: white blood cell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; </w:t>
      </w:r>
      <w:r>
        <w:rPr>
          <w:rFonts w:ascii="Times New Roman" w:hAnsi="Times New Roman" w:cs="Times New Roman"/>
          <w:color w:val="auto"/>
          <w:sz w:val="21"/>
          <w:szCs w:val="21"/>
        </w:rPr>
        <w:t>HB: Hemoglobin;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1"/>
          <w:szCs w:val="21"/>
        </w:rPr>
        <w:t>ESR: erythrocyte sedimentation rate;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1"/>
          <w:szCs w:val="21"/>
        </w:rPr>
        <w:t>CRP: C-reactive protein;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1"/>
          <w:szCs w:val="21"/>
        </w:rPr>
        <w:t>ALB: albumin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OWI0YzdhMWEyMzE5MTI0MWU1MTUxNzA4ZGY0MzEifQ=="/>
  </w:docVars>
  <w:rsids>
    <w:rsidRoot w:val="00000000"/>
    <w:rsid w:val="01B34296"/>
    <w:rsid w:val="024617F2"/>
    <w:rsid w:val="029F5A78"/>
    <w:rsid w:val="03215DBB"/>
    <w:rsid w:val="03D64DF8"/>
    <w:rsid w:val="05486595"/>
    <w:rsid w:val="059960DD"/>
    <w:rsid w:val="05BC6239"/>
    <w:rsid w:val="065344DE"/>
    <w:rsid w:val="08162345"/>
    <w:rsid w:val="08674270"/>
    <w:rsid w:val="08CA47FF"/>
    <w:rsid w:val="096E7F51"/>
    <w:rsid w:val="0A87732E"/>
    <w:rsid w:val="0AD81455"/>
    <w:rsid w:val="0AE40B42"/>
    <w:rsid w:val="0B837613"/>
    <w:rsid w:val="0E0F1632"/>
    <w:rsid w:val="0E4E710E"/>
    <w:rsid w:val="0F24110D"/>
    <w:rsid w:val="10D75D0B"/>
    <w:rsid w:val="113F4ACE"/>
    <w:rsid w:val="12112B23"/>
    <w:rsid w:val="125E554C"/>
    <w:rsid w:val="130D1EB8"/>
    <w:rsid w:val="133B4C77"/>
    <w:rsid w:val="168801D3"/>
    <w:rsid w:val="1890511D"/>
    <w:rsid w:val="1CAC44F0"/>
    <w:rsid w:val="1D572EA7"/>
    <w:rsid w:val="1E8A48A7"/>
    <w:rsid w:val="1F792DAF"/>
    <w:rsid w:val="22032E04"/>
    <w:rsid w:val="23B72E50"/>
    <w:rsid w:val="23BC326A"/>
    <w:rsid w:val="2580651A"/>
    <w:rsid w:val="261A2B2D"/>
    <w:rsid w:val="29211DC2"/>
    <w:rsid w:val="2BFD2672"/>
    <w:rsid w:val="2E1A39AF"/>
    <w:rsid w:val="2F486BE9"/>
    <w:rsid w:val="319F48E6"/>
    <w:rsid w:val="3206522E"/>
    <w:rsid w:val="326276D3"/>
    <w:rsid w:val="32A777DC"/>
    <w:rsid w:val="33341AC2"/>
    <w:rsid w:val="33CF6FEA"/>
    <w:rsid w:val="34475066"/>
    <w:rsid w:val="34685407"/>
    <w:rsid w:val="346C2114"/>
    <w:rsid w:val="348665AB"/>
    <w:rsid w:val="35F8151D"/>
    <w:rsid w:val="36940077"/>
    <w:rsid w:val="3912385E"/>
    <w:rsid w:val="39475874"/>
    <w:rsid w:val="399860D0"/>
    <w:rsid w:val="3B626996"/>
    <w:rsid w:val="3C2123AD"/>
    <w:rsid w:val="3C6B7AB0"/>
    <w:rsid w:val="3C6D55F2"/>
    <w:rsid w:val="3E4B78BC"/>
    <w:rsid w:val="3F8C2233"/>
    <w:rsid w:val="417D4941"/>
    <w:rsid w:val="448C36F4"/>
    <w:rsid w:val="4503190C"/>
    <w:rsid w:val="4AA743C5"/>
    <w:rsid w:val="4B35552D"/>
    <w:rsid w:val="4B944949"/>
    <w:rsid w:val="4B9E1324"/>
    <w:rsid w:val="4C2B6930"/>
    <w:rsid w:val="4D5679DC"/>
    <w:rsid w:val="4D704F42"/>
    <w:rsid w:val="4E742810"/>
    <w:rsid w:val="4F310701"/>
    <w:rsid w:val="4F685A6C"/>
    <w:rsid w:val="501E2A33"/>
    <w:rsid w:val="508B5BEF"/>
    <w:rsid w:val="50A5737C"/>
    <w:rsid w:val="50D70E34"/>
    <w:rsid w:val="52374280"/>
    <w:rsid w:val="52F061DD"/>
    <w:rsid w:val="53740BBC"/>
    <w:rsid w:val="53F817ED"/>
    <w:rsid w:val="567A0BDF"/>
    <w:rsid w:val="56AB0D99"/>
    <w:rsid w:val="57A852D8"/>
    <w:rsid w:val="588B70D4"/>
    <w:rsid w:val="58EE31BF"/>
    <w:rsid w:val="590F51FE"/>
    <w:rsid w:val="596A4F3B"/>
    <w:rsid w:val="59815DE1"/>
    <w:rsid w:val="59B60181"/>
    <w:rsid w:val="5A0E1D6B"/>
    <w:rsid w:val="5A8738CB"/>
    <w:rsid w:val="5B6753BA"/>
    <w:rsid w:val="5BDB6D17"/>
    <w:rsid w:val="5CF63C92"/>
    <w:rsid w:val="5DB46785"/>
    <w:rsid w:val="5F131BD1"/>
    <w:rsid w:val="609A7E43"/>
    <w:rsid w:val="61DD1CAE"/>
    <w:rsid w:val="62C746D2"/>
    <w:rsid w:val="64A77044"/>
    <w:rsid w:val="64CB2996"/>
    <w:rsid w:val="64E262CE"/>
    <w:rsid w:val="65306F39"/>
    <w:rsid w:val="656E190F"/>
    <w:rsid w:val="66F65AA3"/>
    <w:rsid w:val="69792899"/>
    <w:rsid w:val="69862743"/>
    <w:rsid w:val="6A9242F2"/>
    <w:rsid w:val="6AC4365C"/>
    <w:rsid w:val="6AF9611F"/>
    <w:rsid w:val="6B0D5727"/>
    <w:rsid w:val="6CDD0508"/>
    <w:rsid w:val="6D374CDD"/>
    <w:rsid w:val="6D73747A"/>
    <w:rsid w:val="700A48B5"/>
    <w:rsid w:val="713A681E"/>
    <w:rsid w:val="71BB412E"/>
    <w:rsid w:val="71D84CE0"/>
    <w:rsid w:val="74E05C5A"/>
    <w:rsid w:val="76B31878"/>
    <w:rsid w:val="77675984"/>
    <w:rsid w:val="77A45665"/>
    <w:rsid w:val="785E1CB7"/>
    <w:rsid w:val="79E9735F"/>
    <w:rsid w:val="7AC758F2"/>
    <w:rsid w:val="7AD81F56"/>
    <w:rsid w:val="7B9D6653"/>
    <w:rsid w:val="7EA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autoRedefine/>
    <w:qFormat/>
    <w:uiPriority w:val="0"/>
    <w:rPr>
      <w:rFonts w:hint="eastAsia" w:ascii="等线" w:hAnsi="等线" w:eastAsia="等线" w:cs="等线"/>
      <w:i/>
      <w:iCs/>
      <w:color w:val="000000"/>
      <w:sz w:val="22"/>
      <w:szCs w:val="22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2022-05-16T01:22:00Z</dcterms:created>
  <dc:creator>86136</dc:creator>
  <cp:lastModifiedBy>珂珂</cp:lastModifiedBy>
  <dcterms:modified xsi:type="dcterms:W3CDTF">2024-02-26T08:55:09Z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CEAA195A96E3419591355F1F311D8412</vt:lpwstr>
  </property>
</Properties>
</file>