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tif" ContentType="image/tiff"/>
  <Override PartName="/word/media/image9.tif" ContentType="image/tiff"/>
  <Override PartName="/word/media/image2.tif" ContentType="image/tiff"/>
  <Override PartName="/word/media/image3.tif" ContentType="image/tiff"/>
  <Override PartName="/word/media/image4.tif" ContentType="image/tiff"/>
  <Override PartName="/word/media/image5.tif" ContentType="image/tiff"/>
  <Override PartName="/word/media/image6.tif" ContentType="image/tiff"/>
  <Override PartName="/word/media/image7.tif" ContentType="image/tiff"/>
  <Override PartName="/word/media/image8.tif" ContentType="image/tiff"/>
  <Override PartName="/word/media/image10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Additional file 2: Additional Figures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2872105" cy="1929130"/>
            <wp:effectExtent l="0" t="0" r="0" b="0"/>
            <wp:docPr id="1" name="图片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Fig. S1</w:t>
      </w:r>
      <w:r>
        <w:rPr>
          <w:rFonts w:cs="Times New Roman" w:ascii="Times New Roman" w:hAnsi="Times New Roman"/>
        </w:rPr>
        <w:t xml:space="preserve"> The cytoskeleton arrangement in PDLSCs under normal conditions.</w:t>
      </w:r>
      <w:r>
        <w:rPr/>
        <w:t xml:space="preserve"> </w:t>
      </w:r>
      <w:r>
        <w:rPr>
          <w:rFonts w:cs="Times New Roman" w:ascii="Times New Roman" w:hAnsi="Times New Roman"/>
        </w:rPr>
        <w:t>Scale bars = 200 μm.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4558030" cy="3796030"/>
            <wp:effectExtent l="0" t="0" r="0" b="0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b/>
          <w:bCs/>
        </w:rPr>
        <w:t xml:space="preserve">Fig. 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S2 </w:t>
      </w:r>
      <w:r>
        <w:rPr>
          <w:rFonts w:cs="Times New Roman" w:ascii="Times New Roman" w:hAnsi="Times New Roman"/>
          <w:sz w:val="20"/>
          <w:szCs w:val="21"/>
        </w:rPr>
        <w:t xml:space="preserve">The correlation between YAP and </w:t>
      </w:r>
      <w:r>
        <w:rPr/>
        <w:t>PDLSCs</w:t>
      </w:r>
      <w:r>
        <w:rPr>
          <w:rFonts w:cs="Times New Roman" w:ascii="Times New Roman" w:hAnsi="Times New Roman"/>
          <w:color w:val="FF0000"/>
          <w:sz w:val="20"/>
          <w:szCs w:val="21"/>
        </w:rPr>
        <w:t xml:space="preserve"> </w:t>
      </w:r>
      <w:r>
        <w:rPr>
          <w:rFonts w:cs="Times New Roman" w:ascii="Times New Roman" w:hAnsi="Times New Roman"/>
          <w:sz w:val="20"/>
          <w:szCs w:val="21"/>
        </w:rPr>
        <w:t>proliferation under TS.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 A </w:t>
      </w:r>
      <w:r>
        <w:rPr>
          <w:rFonts w:cs="Times New Roman" w:ascii="Times New Roman" w:hAnsi="Times New Roman"/>
          <w:sz w:val="20"/>
          <w:szCs w:val="21"/>
        </w:rPr>
        <w:t>The mRNA</w:t>
      </w:r>
      <w:r>
        <w:rPr/>
        <w:t xml:space="preserve"> level </w:t>
      </w:r>
      <w:r>
        <w:rPr>
          <w:rFonts w:cs="Times New Roman" w:ascii="Times New Roman" w:hAnsi="Times New Roman"/>
          <w:sz w:val="20"/>
          <w:szCs w:val="21"/>
        </w:rPr>
        <w:t xml:space="preserve">of YAP target gene CTGF and CYR61 after TS application. </w:t>
      </w:r>
      <w:r>
        <w:rPr>
          <w:rFonts w:cs="Times New Roman" w:ascii="Times New Roman" w:hAnsi="Times New Roman"/>
          <w:b/>
          <w:bCs/>
          <w:sz w:val="20"/>
          <w:szCs w:val="21"/>
        </w:rPr>
        <w:t>B</w:t>
      </w:r>
      <w:r>
        <w:rPr>
          <w:rFonts w:cs="Times New Roman" w:ascii="Times New Roman" w:hAnsi="Times New Roman"/>
          <w:sz w:val="20"/>
          <w:szCs w:val="21"/>
        </w:rPr>
        <w:t xml:space="preserve"> Fluorescence images of PDLSCs transfected with FAM-labeled siRNA at different concentrations. Scale bars = 200 μm. The concentration of 100 nM was chosen for the subsequent experiments. </w:t>
      </w:r>
      <w:r>
        <w:rPr>
          <w:rFonts w:cs="Times New Roman" w:ascii="Times New Roman" w:hAnsi="Times New Roman"/>
          <w:b/>
          <w:bCs/>
          <w:sz w:val="20"/>
          <w:szCs w:val="21"/>
        </w:rPr>
        <w:t>C</w:t>
      </w:r>
      <w:r>
        <w:rPr>
          <w:rFonts w:cs="Times New Roman" w:ascii="Times New Roman" w:hAnsi="Times New Roman"/>
          <w:sz w:val="20"/>
          <w:szCs w:val="21"/>
        </w:rPr>
        <w:t xml:space="preserve"> The mRNA </w:t>
      </w:r>
      <w:r>
        <w:rPr/>
        <w:t>level o</w:t>
      </w:r>
      <w:r>
        <w:rPr>
          <w:rFonts w:cs="Times New Roman" w:ascii="Times New Roman" w:hAnsi="Times New Roman"/>
          <w:sz w:val="20"/>
          <w:szCs w:val="21"/>
        </w:rPr>
        <w:t xml:space="preserve">f YAP after transfected with control siRNA and three kinds of YAP siRNAs. 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D </w:t>
      </w:r>
      <w:r>
        <w:rPr>
          <w:rFonts w:cs="Times New Roman" w:ascii="Times New Roman" w:hAnsi="Times New Roman"/>
          <w:sz w:val="20"/>
          <w:szCs w:val="21"/>
        </w:rPr>
        <w:t xml:space="preserve">The protein </w:t>
      </w:r>
      <w:r>
        <w:rPr/>
        <w:t>expression</w:t>
      </w:r>
      <w:r>
        <w:rPr>
          <w:rFonts w:cs="Times New Roman" w:ascii="Times New Roman" w:hAnsi="Times New Roman"/>
          <w:sz w:val="20"/>
          <w:szCs w:val="21"/>
        </w:rPr>
        <w:t xml:space="preserve"> of YAP and quantitative analysis after transfected with control siRNA and three kinds of YAP siRNAs. The siYAP1 was chosen for the subsequent experiments.</w:t>
      </w:r>
    </w:p>
    <w:p>
      <w:pPr>
        <w:pStyle w:val="Normal"/>
        <w:rPr>
          <w:rFonts w:ascii="Times New Roman" w:hAnsi="Times New Roman" w:cs="Times New Roman"/>
          <w:sz w:val="18"/>
          <w:szCs w:val="20"/>
        </w:rPr>
      </w:pPr>
      <w:r>
        <w:rPr>
          <w:rFonts w:cs="Times New Roman" w:ascii="Times New Roman" w:hAnsi="Times New Roman"/>
          <w:sz w:val="18"/>
          <w:szCs w:val="20"/>
        </w:rPr>
      </w:r>
    </w:p>
    <w:p>
      <w:pPr>
        <w:pStyle w:val="Normal"/>
        <w:rPr>
          <w:rFonts w:ascii="Times New Roman" w:hAnsi="Times New Roman" w:cs="Times New Roman"/>
          <w:sz w:val="18"/>
          <w:szCs w:val="20"/>
        </w:rPr>
      </w:pPr>
      <w:r>
        <w:rPr>
          <w:rFonts w:cs="Times New Roman" w:ascii="Times New Roman" w:hAnsi="Times New Roman"/>
          <w:sz w:val="18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274310" cy="1511935"/>
            <wp:effectExtent l="0" t="0" r="0" b="0"/>
            <wp:docPr id="3" name="图片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18"/>
          <w:szCs w:val="20"/>
        </w:rPr>
      </w:pPr>
      <w:r>
        <w:rPr>
          <w:rFonts w:cs="Times New Roman" w:ascii="Times New Roman" w:hAnsi="Times New Roman"/>
          <w:b/>
          <w:bCs/>
        </w:rPr>
        <w:t>Fig. S3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TS promoted the osteogenic differentiation of PDLSCs.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bCs/>
          <w:sz w:val="20"/>
          <w:szCs w:val="21"/>
        </w:rPr>
        <w:t>A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The mRNA </w:t>
      </w:r>
      <w:r>
        <w:rPr/>
        <w:t>level</w:t>
      </w:r>
      <w:r>
        <w:rPr>
          <w:rFonts w:cs="Times New Roman" w:ascii="Times New Roman" w:hAnsi="Times New Roman"/>
          <w:sz w:val="20"/>
          <w:szCs w:val="20"/>
        </w:rPr>
        <w:t xml:space="preserve"> of osteogenesis-related genes after TS loading.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bCs/>
          <w:sz w:val="20"/>
          <w:szCs w:val="21"/>
        </w:rPr>
        <w:t>B</w:t>
      </w:r>
      <w:r>
        <w:rPr>
          <w:rFonts w:cs="Times New Roman" w:ascii="Times New Roman" w:hAnsi="Times New Roman"/>
          <w:sz w:val="20"/>
          <w:szCs w:val="20"/>
        </w:rPr>
        <w:t xml:space="preserve"> ALP staining of PDLSCs in each group after TS loading. Scale bars = 100 μm.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18"/>
          <w:szCs w:val="20"/>
        </w:rPr>
      </w:pPr>
      <w:r>
        <w:rPr>
          <w:rFonts w:cs="Times New Roman" w:ascii="Times New Roman" w:hAnsi="Times New Roman"/>
          <w:sz w:val="18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  <w:sz w:val="18"/>
          <w:szCs w:val="20"/>
        </w:rPr>
      </w:pPr>
      <w:r>
        <w:rPr/>
        <w:drawing>
          <wp:inline distT="0" distB="0" distL="0" distR="0">
            <wp:extent cx="2881630" cy="1924050"/>
            <wp:effectExtent l="0" t="0" r="0" b="0"/>
            <wp:docPr id="4" name="图片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Fig. S4 </w:t>
      </w:r>
      <w:r>
        <w:rPr>
          <w:rFonts w:cs="Times New Roman" w:ascii="Times New Roman" w:hAnsi="Times New Roman"/>
        </w:rPr>
        <w:t>The rat OTM model construction.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3054985" cy="1529715"/>
            <wp:effectExtent l="0" t="0" r="0" b="0"/>
            <wp:docPr id="5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985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Fig. S5</w:t>
      </w:r>
      <w:r>
        <w:rPr/>
        <w:t xml:space="preserve"> Quantitative</w:t>
      </w:r>
      <w:r>
        <w:rPr>
          <w:rFonts w:cs="Times New Roman" w:ascii="Times New Roman" w:hAnsi="Times New Roman"/>
        </w:rPr>
        <w:t xml:space="preserve"> analysis of immunofluorescence staining of </w:t>
      </w:r>
      <w:r>
        <w:rPr/>
        <w:t>the tension side PDL tissue</w:t>
      </w:r>
      <w:r>
        <w:rPr>
          <w:rFonts w:cs="Times New Roman" w:ascii="Times New Roman" w:hAnsi="Times New Roman"/>
        </w:rPr>
        <w:t xml:space="preserve"> in rats. </w:t>
      </w:r>
      <w:r>
        <w:rPr>
          <w:rFonts w:cs="Times New Roman" w:ascii="Times New Roman" w:hAnsi="Times New Roman"/>
          <w:b/>
          <w:bCs/>
        </w:rPr>
        <w:t>A</w:t>
      </w:r>
      <w:r>
        <w:rPr>
          <w:rFonts w:cs="Times New Roman" w:ascii="Times New Roman" w:hAnsi="Times New Roman"/>
        </w:rPr>
        <w:t xml:space="preserve"> </w:t>
      </w:r>
      <w:r>
        <w:rPr/>
        <w:t>Quantitative</w:t>
      </w:r>
      <w:r>
        <w:rPr>
          <w:rFonts w:cs="Times New Roman" w:ascii="Times New Roman" w:hAnsi="Times New Roman"/>
        </w:rPr>
        <w:t xml:space="preserve"> analysis of mean YAP fluorescence intensity of the nucleus. </w:t>
      </w:r>
      <w:r>
        <w:rPr>
          <w:rFonts w:cs="Times New Roman" w:ascii="Times New Roman" w:hAnsi="Times New Roman"/>
          <w:b/>
          <w:bCs/>
        </w:rPr>
        <w:t>B</w:t>
      </w:r>
      <w:r>
        <w:rPr>
          <w:rFonts w:cs="Times New Roman" w:ascii="Times New Roman" w:hAnsi="Times New Roman"/>
        </w:rPr>
        <w:t xml:space="preserve"> </w:t>
      </w:r>
      <w:r>
        <w:rPr/>
        <w:t>Quantitative</w:t>
      </w:r>
      <w:r>
        <w:rPr>
          <w:rFonts w:cs="Times New Roman" w:ascii="Times New Roman" w:hAnsi="Times New Roman"/>
        </w:rPr>
        <w:t xml:space="preserve"> analysis of the number of PCNA-positive cells.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1452880" cy="1428750"/>
            <wp:effectExtent l="0" t="0" r="0" b="0"/>
            <wp:docPr id="6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Fig. S6</w:t>
      </w:r>
      <w:r>
        <w:rPr>
          <w:rFonts w:cs="Times New Roman" w:ascii="Times New Roman" w:hAnsi="Times New Roman"/>
        </w:rPr>
        <w:t xml:space="preserve"> The mRNA</w:t>
      </w:r>
      <w:r>
        <w:rPr>
          <w:rFonts w:cs="Times New Roman" w:ascii="Times New Roman" w:hAnsi="Times New Roman"/>
          <w:color w:val="FF0000"/>
        </w:rPr>
        <w:t xml:space="preserve"> </w:t>
      </w:r>
      <w:r>
        <w:rPr/>
        <w:t>level</w:t>
      </w:r>
      <w:r>
        <w:rPr>
          <w:rFonts w:cs="Times New Roman" w:ascii="Times New Roman" w:hAnsi="Times New Roman"/>
          <w:color w:val="FF0000"/>
        </w:rPr>
        <w:t xml:space="preserve"> </w:t>
      </w:r>
      <w:r>
        <w:rPr>
          <w:rFonts w:cs="Times New Roman" w:ascii="Times New Roman" w:hAnsi="Times New Roman"/>
        </w:rPr>
        <w:t>of SUN1 and SUN2 in PDLSCs after TS application.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274310" cy="1963420"/>
            <wp:effectExtent l="0" t="0" r="0" b="0"/>
            <wp:docPr id="7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b/>
          <w:bCs/>
        </w:rPr>
        <w:t>Fig. S7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 </w:t>
      </w:r>
      <w:r>
        <w:rPr>
          <w:rFonts w:cs="Times New Roman" w:ascii="Times New Roman" w:hAnsi="Times New Roman"/>
        </w:rPr>
        <w:t>The</w:t>
      </w:r>
      <w:r>
        <w:rPr>
          <w:rFonts w:cs="Times New Roman" w:ascii="Times New Roman" w:hAnsi="Times New Roman"/>
          <w:sz w:val="20"/>
          <w:szCs w:val="21"/>
        </w:rPr>
        <w:t xml:space="preserve"> adenovirus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0"/>
          <w:szCs w:val="21"/>
        </w:rPr>
        <w:t>transfection efficiency maps directly obtained from the red fluorescence channel</w:t>
      </w:r>
      <w:r>
        <w:rPr>
          <w:rFonts w:cs="Times New Roman" w:ascii="Times New Roman" w:hAnsi="Times New Roman"/>
          <w:b/>
          <w:bCs/>
          <w:sz w:val="20"/>
          <w:szCs w:val="21"/>
        </w:rPr>
        <w:t>. A</w:t>
      </w:r>
      <w:r>
        <w:rPr>
          <w:rFonts w:cs="Times New Roman" w:ascii="Times New Roman" w:hAnsi="Times New Roman"/>
          <w:sz w:val="20"/>
          <w:szCs w:val="21"/>
        </w:rPr>
        <w:t xml:space="preserve"> The ADV-mCherry</w:t>
      </w:r>
      <w:r>
        <w:rPr/>
        <w:t xml:space="preserve"> </w:t>
      </w:r>
      <w:r>
        <w:rPr>
          <w:rFonts w:cs="Times New Roman" w:ascii="Times New Roman" w:hAnsi="Times New Roman"/>
          <w:sz w:val="20"/>
          <w:szCs w:val="21"/>
        </w:rPr>
        <w:t>transfection efficiency maps at different MOI. Scale bars = 400 μm.</w:t>
      </w:r>
      <w:r>
        <w:rPr/>
        <w:t xml:space="preserve"> </w:t>
      </w:r>
      <w:r>
        <w:rPr>
          <w:rFonts w:cs="Times New Roman" w:ascii="Times New Roman" w:hAnsi="Times New Roman"/>
          <w:b/>
          <w:bCs/>
          <w:sz w:val="20"/>
          <w:szCs w:val="21"/>
        </w:rPr>
        <w:t>B</w:t>
      </w:r>
      <w:r>
        <w:rPr>
          <w:rFonts w:cs="Times New Roman" w:ascii="Times New Roman" w:hAnsi="Times New Roman"/>
          <w:sz w:val="20"/>
          <w:szCs w:val="21"/>
        </w:rPr>
        <w:t xml:space="preserve"> The ADV-mCherry-DNKASH</w:t>
      </w:r>
      <w:r>
        <w:rPr/>
        <w:t xml:space="preserve"> </w:t>
      </w:r>
      <w:r>
        <w:rPr>
          <w:rFonts w:cs="Times New Roman" w:ascii="Times New Roman" w:hAnsi="Times New Roman"/>
          <w:sz w:val="20"/>
          <w:szCs w:val="21"/>
        </w:rPr>
        <w:t>transfection efficiency maps at different MOI. Scale bars = 400 μm. The MOI of 200 was chosen for the subsequent experiments.</w:t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sz w:val="20"/>
          <w:szCs w:val="21"/>
        </w:rPr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sz w:val="20"/>
          <w:szCs w:val="21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3681730" cy="3967480"/>
            <wp:effectExtent l="0" t="0" r="0" b="0"/>
            <wp:docPr id="8" name="图片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73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b/>
          <w:bCs/>
        </w:rPr>
        <w:t>Fig. S8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 </w:t>
      </w:r>
      <w:r>
        <w:rPr>
          <w:rFonts w:cs="Times New Roman" w:ascii="Times New Roman" w:hAnsi="Times New Roman"/>
          <w:sz w:val="20"/>
          <w:szCs w:val="21"/>
        </w:rPr>
        <w:t xml:space="preserve">Local injection of adenovirus in rats. </w:t>
      </w:r>
      <w:r>
        <w:rPr>
          <w:rFonts w:cs="Times New Roman" w:ascii="Times New Roman" w:hAnsi="Times New Roman"/>
          <w:b/>
          <w:bCs/>
          <w:sz w:val="20"/>
          <w:szCs w:val="21"/>
        </w:rPr>
        <w:t>A</w:t>
      </w:r>
      <w:r>
        <w:rPr>
          <w:rFonts w:cs="Times New Roman" w:ascii="Times New Roman" w:hAnsi="Times New Roman"/>
          <w:sz w:val="20"/>
          <w:szCs w:val="21"/>
        </w:rPr>
        <w:t xml:space="preserve"> Representative HE staining of the heart, liver, spleen, lung and kidney after 17 days of local injection. The rat injected with PBS was set as a normal control. Scale bars = 20 μm.</w:t>
      </w:r>
      <w:r>
        <w:rPr/>
        <w:t xml:space="preserve"> </w:t>
      </w:r>
      <w:r>
        <w:rPr>
          <w:rFonts w:cs="Times New Roman" w:ascii="Times New Roman" w:hAnsi="Times New Roman"/>
          <w:b/>
          <w:bCs/>
          <w:sz w:val="20"/>
          <w:szCs w:val="21"/>
        </w:rPr>
        <w:t>B</w:t>
      </w:r>
      <w:r>
        <w:rPr>
          <w:rFonts w:cs="Times New Roman" w:ascii="Times New Roman" w:hAnsi="Times New Roman"/>
          <w:sz w:val="20"/>
          <w:szCs w:val="21"/>
        </w:rPr>
        <w:t xml:space="preserve"> </w:t>
      </w:r>
      <w:r>
        <w:rPr/>
        <w:t>Quantitative</w:t>
      </w:r>
      <w:r>
        <w:rPr>
          <w:rFonts w:cs="Times New Roman" w:ascii="Times New Roman" w:hAnsi="Times New Roman"/>
          <w:sz w:val="20"/>
          <w:szCs w:val="21"/>
        </w:rPr>
        <w:t xml:space="preserve"> analysis of mean YAP fluorescence intensity of the nucleus. </w:t>
      </w:r>
      <w:r>
        <w:rPr>
          <w:rFonts w:cs="Times New Roman" w:ascii="Times New Roman" w:hAnsi="Times New Roman"/>
          <w:b/>
          <w:bCs/>
          <w:sz w:val="20"/>
          <w:szCs w:val="21"/>
        </w:rPr>
        <w:t>C</w:t>
      </w:r>
      <w:r>
        <w:rPr>
          <w:rFonts w:cs="Times New Roman" w:ascii="Times New Roman" w:hAnsi="Times New Roman"/>
          <w:sz w:val="20"/>
          <w:szCs w:val="21"/>
        </w:rPr>
        <w:t xml:space="preserve"> </w:t>
      </w:r>
      <w:r>
        <w:rPr/>
        <w:t>Quantitative</w:t>
      </w:r>
      <w:r>
        <w:rPr>
          <w:rFonts w:cs="Times New Roman" w:ascii="Times New Roman" w:hAnsi="Times New Roman"/>
          <w:sz w:val="20"/>
          <w:szCs w:val="21"/>
        </w:rPr>
        <w:t xml:space="preserve"> analysis of the number of PCNA-positive cells.</w:t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sz w:val="20"/>
          <w:szCs w:val="21"/>
        </w:rPr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sz w:val="20"/>
          <w:szCs w:val="21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274310" cy="2317750"/>
            <wp:effectExtent l="0" t="0" r="0" b="0"/>
            <wp:docPr id="9" name="图片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2"/>
          <w:szCs w:val="24"/>
        </w:rPr>
      </w:pPr>
      <w:r>
        <w:rPr>
          <w:rFonts w:cs="Times New Roman" w:ascii="Times New Roman" w:hAnsi="Times New Roman"/>
          <w:b/>
          <w:bCs/>
        </w:rPr>
        <w:t>Fig. S9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 </w:t>
      </w:r>
      <w:r>
        <w:rPr>
          <w:rFonts w:cs="Times New Roman" w:ascii="Times New Roman" w:hAnsi="Times New Roman"/>
          <w:sz w:val="20"/>
          <w:szCs w:val="21"/>
        </w:rPr>
        <w:t xml:space="preserve">The fluorescence co-localization </w:t>
      </w:r>
      <w:bookmarkStart w:id="0" w:name="_Hlk158212627"/>
      <w:r>
        <w:rPr>
          <w:rFonts w:cs="Times New Roman" w:ascii="Times New Roman" w:hAnsi="Times New Roman"/>
          <w:sz w:val="20"/>
          <w:szCs w:val="21"/>
        </w:rPr>
        <w:t>staining</w:t>
      </w:r>
      <w:bookmarkEnd w:id="0"/>
      <w:r>
        <w:rPr>
          <w:rFonts w:cs="Times New Roman" w:ascii="Times New Roman" w:hAnsi="Times New Roman"/>
          <w:sz w:val="20"/>
          <w:szCs w:val="21"/>
        </w:rPr>
        <w:t xml:space="preserve"> of mitochondria and cytoskeletons in PDLSCs. </w:t>
      </w:r>
      <w:r>
        <w:rPr>
          <w:rFonts w:cs="Times New Roman" w:ascii="Times New Roman" w:hAnsi="Times New Roman"/>
          <w:b/>
          <w:bCs/>
          <w:sz w:val="20"/>
          <w:szCs w:val="21"/>
        </w:rPr>
        <w:t>A</w:t>
      </w:r>
      <w:r>
        <w:rPr>
          <w:rFonts w:cs="Times New Roman" w:ascii="Times New Roman" w:hAnsi="Times New Roman"/>
          <w:sz w:val="20"/>
          <w:szCs w:val="21"/>
        </w:rPr>
        <w:t xml:space="preserve"> The fluorescence co-localization</w:t>
      </w:r>
      <w:r>
        <w:rPr/>
        <w:t xml:space="preserve"> </w:t>
      </w:r>
      <w:r>
        <w:rPr>
          <w:rFonts w:cs="Times New Roman" w:ascii="Times New Roman" w:hAnsi="Times New Roman"/>
          <w:sz w:val="20"/>
          <w:szCs w:val="21"/>
        </w:rPr>
        <w:t xml:space="preserve">staining of mitochondria and F-actin. Scale bars = 200 μm. </w:t>
      </w:r>
      <w:r>
        <w:rPr>
          <w:rFonts w:cs="Times New Roman" w:ascii="Times New Roman" w:hAnsi="Times New Roman"/>
          <w:b/>
          <w:bCs/>
          <w:sz w:val="20"/>
          <w:szCs w:val="21"/>
        </w:rPr>
        <w:t>B</w:t>
      </w:r>
      <w:r>
        <w:rPr>
          <w:rFonts w:cs="Times New Roman" w:ascii="Times New Roman" w:hAnsi="Times New Roman"/>
          <w:sz w:val="20"/>
          <w:szCs w:val="21"/>
        </w:rPr>
        <w:t xml:space="preserve"> The fluorescence co-localization staining of mitochondria and microtubules. Scale bars = 200 μm.</w:t>
      </w:r>
    </w:p>
    <w:p>
      <w:pPr>
        <w:pStyle w:val="Normal"/>
        <w:rPr>
          <w:rFonts w:ascii="Times New Roman" w:hAnsi="Times New Roman" w:cs="Times New Roman"/>
          <w:sz w:val="22"/>
          <w:szCs w:val="24"/>
        </w:rPr>
      </w:pPr>
      <w:r>
        <w:rPr>
          <w:rFonts w:cs="Times New Roman" w:ascii="Times New Roman" w:hAnsi="Times New Roman"/>
          <w:sz w:val="22"/>
          <w:szCs w:val="24"/>
        </w:rPr>
      </w:r>
    </w:p>
    <w:p>
      <w:pPr>
        <w:pStyle w:val="Normal"/>
        <w:rPr>
          <w:rFonts w:ascii="Times New Roman" w:hAnsi="Times New Roman" w:cs="Times New Roman"/>
          <w:sz w:val="22"/>
          <w:szCs w:val="24"/>
        </w:rPr>
      </w:pPr>
      <w:r>
        <w:rPr>
          <w:rFonts w:cs="Times New Roman" w:ascii="Times New Roman" w:hAnsi="Times New Roman"/>
          <w:sz w:val="22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3786505" cy="3752850"/>
            <wp:effectExtent l="0" t="0" r="0" b="0"/>
            <wp:docPr id="10" name="图片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0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b/>
          <w:bCs/>
        </w:rPr>
        <w:t>Fig. S10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 </w:t>
      </w:r>
      <w:r>
        <w:rPr>
          <w:rFonts w:cs="Times New Roman" w:ascii="Times New Roman" w:hAnsi="Times New Roman"/>
          <w:sz w:val="20"/>
          <w:szCs w:val="21"/>
        </w:rPr>
        <w:t xml:space="preserve">The decrease of ATP synthesis inhibited TS-induced YAP nuclear translocation and cell proliferation. </w:t>
      </w:r>
      <w:r>
        <w:rPr>
          <w:rFonts w:cs="Times New Roman" w:ascii="Times New Roman" w:hAnsi="Times New Roman"/>
          <w:b/>
          <w:bCs/>
          <w:sz w:val="20"/>
          <w:szCs w:val="21"/>
        </w:rPr>
        <w:t>A</w:t>
      </w:r>
      <w:r>
        <w:rPr>
          <w:rFonts w:cs="Times New Roman" w:ascii="Times New Roman" w:hAnsi="Times New Roman"/>
          <w:sz w:val="20"/>
          <w:szCs w:val="21"/>
        </w:rPr>
        <w:t xml:space="preserve"> </w:t>
      </w:r>
      <w:r>
        <w:rPr/>
        <w:t xml:space="preserve">The immunofluorescence staining of YAP </w:t>
      </w:r>
      <w:r>
        <w:rPr>
          <w:rFonts w:cs="Times New Roman" w:ascii="Times New Roman" w:hAnsi="Times New Roman"/>
          <w:sz w:val="20"/>
          <w:szCs w:val="21"/>
        </w:rPr>
        <w:t xml:space="preserve">and quantitative analysis of nuclear/cytoplasmic YAP fluorescence ratio </w:t>
      </w:r>
      <w:r>
        <w:rPr/>
        <w:t>after</w:t>
      </w:r>
      <w:r>
        <w:rPr>
          <w:rFonts w:cs="Times New Roman" w:ascii="Times New Roman" w:hAnsi="Times New Roman"/>
          <w:sz w:val="20"/>
          <w:szCs w:val="21"/>
        </w:rPr>
        <w:t xml:space="preserve"> adding ATP synthase inhibitor (n = 48 roi per condition). Scale bars = 100 μm. </w:t>
      </w:r>
      <w:r>
        <w:rPr>
          <w:rFonts w:cs="Times New Roman" w:ascii="Times New Roman" w:hAnsi="Times New Roman"/>
          <w:b/>
          <w:bCs/>
          <w:sz w:val="20"/>
          <w:szCs w:val="21"/>
        </w:rPr>
        <w:t>B</w:t>
      </w:r>
      <w:r>
        <w:rPr>
          <w:rFonts w:cs="Times New Roman" w:ascii="Times New Roman" w:hAnsi="Times New Roman"/>
          <w:sz w:val="20"/>
          <w:szCs w:val="21"/>
        </w:rPr>
        <w:t xml:space="preserve"> </w:t>
      </w:r>
      <w:r>
        <w:rPr/>
        <w:t>The mRNA level of proliferation-related genes after</w:t>
      </w:r>
      <w:r>
        <w:rPr>
          <w:rFonts w:cs="Times New Roman" w:ascii="Times New Roman" w:hAnsi="Times New Roman"/>
          <w:sz w:val="20"/>
          <w:szCs w:val="21"/>
        </w:rPr>
        <w:t xml:space="preserve"> adding ATP synthase inhibitor. </w:t>
      </w:r>
      <w:r>
        <w:rPr>
          <w:rFonts w:cs="Times New Roman" w:ascii="Times New Roman" w:hAnsi="Times New Roman"/>
          <w:b/>
          <w:bCs/>
          <w:sz w:val="20"/>
          <w:szCs w:val="21"/>
        </w:rPr>
        <w:t xml:space="preserve">C </w:t>
      </w:r>
      <w:r>
        <w:rPr>
          <w:rFonts w:cs="Times New Roman" w:ascii="Times New Roman" w:hAnsi="Times New Roman"/>
          <w:sz w:val="20"/>
          <w:szCs w:val="21"/>
        </w:rPr>
        <w:t>The mRNA</w:t>
      </w:r>
      <w:r>
        <w:rPr/>
        <w:t xml:space="preserve"> level </w:t>
      </w:r>
      <w:r>
        <w:rPr>
          <w:rFonts w:cs="Times New Roman" w:ascii="Times New Roman" w:hAnsi="Times New Roman"/>
          <w:sz w:val="20"/>
          <w:szCs w:val="21"/>
        </w:rPr>
        <w:t>of Nesprin1</w:t>
      </w:r>
      <w:r>
        <w:rPr/>
        <w:t xml:space="preserve"> after</w:t>
      </w:r>
      <w:r>
        <w:rPr>
          <w:rFonts w:cs="Times New Roman" w:ascii="Times New Roman" w:hAnsi="Times New Roman"/>
          <w:sz w:val="20"/>
          <w:szCs w:val="21"/>
        </w:rPr>
        <w:t xml:space="preserve"> adding ATP synthase inhibitor.</w:t>
      </w:r>
    </w:p>
    <w:p>
      <w:pPr>
        <w:pStyle w:val="Normal"/>
        <w:rPr/>
      </w:pPr>
      <w:r>
        <w:rPr/>
      </w:r>
    </w:p>
    <w:sectPr>
      <w:footerReference w:type="default" r:id="rId12"/>
      <w:type w:val="nextPage"/>
      <w:pgSz w:w="11906" w:h="16838"/>
      <w:pgMar w:left="1800" w:right="1800" w:header="0" w:top="1440" w:footer="992" w:bottom="1440" w:gutter="0"/>
      <w:pgNumType w:fmt="decimal"/>
      <w:formProt w:val="false"/>
      <w:textDirection w:val="lrTb"/>
      <w:docGrid w:type="lines" w:linePitch="312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等线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92101020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2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0"/>
    <w:uiPriority w:val="9"/>
    <w:qFormat/>
    <w:rsid w:val="00a85fba"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页眉 字符"/>
    <w:basedOn w:val="DefaultParagraphFont"/>
    <w:link w:val="a3"/>
    <w:uiPriority w:val="99"/>
    <w:qFormat/>
    <w:rsid w:val="0049663a"/>
    <w:rPr>
      <w:sz w:val="18"/>
      <w:szCs w:val="18"/>
    </w:rPr>
  </w:style>
  <w:style w:type="character" w:styleId="Style14" w:customStyle="1">
    <w:name w:val="页脚 字符"/>
    <w:basedOn w:val="DefaultParagraphFont"/>
    <w:link w:val="a5"/>
    <w:uiPriority w:val="99"/>
    <w:qFormat/>
    <w:rsid w:val="0049663a"/>
    <w:rPr>
      <w:sz w:val="18"/>
      <w:szCs w:val="18"/>
    </w:rPr>
  </w:style>
  <w:style w:type="character" w:styleId="1" w:customStyle="1">
    <w:name w:val="标题 1 字符"/>
    <w:basedOn w:val="DefaultParagraphFont"/>
    <w:link w:val="1"/>
    <w:uiPriority w:val="9"/>
    <w:qFormat/>
    <w:rsid w:val="00a85fba"/>
    <w:rPr>
      <w:b/>
      <w:bCs/>
      <w:kern w:val="2"/>
      <w:sz w:val="44"/>
      <w:szCs w:val="4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4"/>
    <w:uiPriority w:val="99"/>
    <w:unhideWhenUsed/>
    <w:rsid w:val="0049663a"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link w:val="a6"/>
    <w:uiPriority w:val="99"/>
    <w:unhideWhenUsed/>
    <w:rsid w:val="0049663a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SMHeading" w:customStyle="1">
    <w:name w:val="SM Heading"/>
    <w:basedOn w:val="Heading1"/>
    <w:qFormat/>
    <w:rsid w:val="00a85fba"/>
    <w:pPr>
      <w:keepLines w:val="false"/>
      <w:widowControl/>
      <w:spacing w:lineRule="auto" w:line="240" w:before="240" w:after="60"/>
      <w:jc w:val="left"/>
    </w:pPr>
    <w:rPr>
      <w:rFonts w:ascii="Times New Roman" w:hAnsi="Times New Roman" w:cs="Times New Roman"/>
      <w:kern w:val="2"/>
      <w:sz w:val="24"/>
      <w:szCs w:val="24"/>
      <w:lang w:eastAsia="en-US"/>
    </w:rPr>
  </w:style>
  <w:style w:type="paragraph" w:styleId="SMcaption" w:customStyle="1">
    <w:name w:val="SM caption"/>
    <w:basedOn w:val="Normal"/>
    <w:qFormat/>
    <w:rsid w:val="00a85fba"/>
    <w:pPr>
      <w:widowControl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85f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image" Target="media/image2.tif"/><Relationship Id="rId4" Type="http://schemas.openxmlformats.org/officeDocument/2006/relationships/image" Target="media/image3.tif"/><Relationship Id="rId5" Type="http://schemas.openxmlformats.org/officeDocument/2006/relationships/image" Target="media/image4.tif"/><Relationship Id="rId6" Type="http://schemas.openxmlformats.org/officeDocument/2006/relationships/image" Target="media/image5.tif"/><Relationship Id="rId7" Type="http://schemas.openxmlformats.org/officeDocument/2006/relationships/image" Target="media/image6.tif"/><Relationship Id="rId8" Type="http://schemas.openxmlformats.org/officeDocument/2006/relationships/image" Target="media/image7.tif"/><Relationship Id="rId9" Type="http://schemas.openxmlformats.org/officeDocument/2006/relationships/image" Target="media/image8.tif"/><Relationship Id="rId10" Type="http://schemas.openxmlformats.org/officeDocument/2006/relationships/image" Target="media/image9.tif"/><Relationship Id="rId11" Type="http://schemas.openxmlformats.org/officeDocument/2006/relationships/image" Target="media/image10.tif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DBF72-94E3-4822-ACC4-D4DFC776F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Application>LibreOffice/6.3.3.2$Windows_X86_64 LibreOffice_project/a64200df03143b798afd1ec74a12ab50359878ed</Application>
  <Pages>5</Pages>
  <Words>432</Words>
  <Characters>2316</Characters>
  <CharactersWithSpaces>2736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2023-11-27T08:15:00Z</dcterms:created>
  <dc:creator>雪欢 孟</dc:creator>
  <dc:description/>
  <dc:language>en-IN</dc:language>
  <cp:lastModifiedBy/>
  <dcterms:modified xsi:type="dcterms:W3CDTF">2024-08-23T14:13:22Z</dcterms:modified>
  <cp:revision>928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e5775c6857f57e570aab5f9f8496357ea14583bf5d13038657d59416cc44e3a5</vt:lpwstr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