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6Colorful-Accent3"/>
        <w:tblW w:w="5000" w:type="pct"/>
        <w:tblLook w:val="04A0" w:firstRow="1" w:lastRow="0" w:firstColumn="1" w:lastColumn="0" w:noHBand="0" w:noVBand="1"/>
      </w:tblPr>
      <w:tblGrid>
        <w:gridCol w:w="1072"/>
        <w:gridCol w:w="717"/>
        <w:gridCol w:w="1090"/>
        <w:gridCol w:w="1711"/>
        <w:gridCol w:w="1080"/>
        <w:gridCol w:w="2271"/>
        <w:gridCol w:w="1419"/>
      </w:tblGrid>
      <w:tr w:rsidR="00FB75F3" w:rsidRPr="005718DE" w14:paraId="3E344533" w14:textId="77777777" w:rsidTr="00146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5C442B0C" w14:textId="77777777" w:rsidR="00FB75F3" w:rsidRPr="005718DE" w:rsidRDefault="00FB75F3" w:rsidP="00146AF9">
            <w:pPr>
              <w:spacing w:before="240" w:after="240"/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DB3098">
              <w:rPr>
                <w:color w:val="auto"/>
              </w:rPr>
              <w:t>Supplementary Table</w:t>
            </w:r>
            <w:r w:rsidRPr="00DB3098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</w:t>
            </w:r>
            <w:r w:rsidRPr="005718DE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Clinical trials with MSC/Cell therapy up to 2022</w:t>
            </w:r>
          </w:p>
        </w:tc>
      </w:tr>
      <w:tr w:rsidR="00FB75F3" w:rsidRPr="005718DE" w14:paraId="5ABB9A0C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764F8732" w14:textId="77777777" w:rsidR="00FB75F3" w:rsidRPr="005718DE" w:rsidRDefault="00FB75F3" w:rsidP="00146AF9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Patients</w:t>
            </w:r>
          </w:p>
        </w:tc>
        <w:tc>
          <w:tcPr>
            <w:tcW w:w="383" w:type="pct"/>
            <w:hideMark/>
          </w:tcPr>
          <w:p w14:paraId="640288EA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Cell type</w:t>
            </w:r>
          </w:p>
          <w:p w14:paraId="504B6DAC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hideMark/>
          </w:tcPr>
          <w:p w14:paraId="78BB3234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Doses</w:t>
            </w:r>
          </w:p>
        </w:tc>
        <w:tc>
          <w:tcPr>
            <w:tcW w:w="914" w:type="pct"/>
            <w:hideMark/>
          </w:tcPr>
          <w:p w14:paraId="4081E31C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MHC Context; Route of Administration</w:t>
            </w:r>
          </w:p>
        </w:tc>
        <w:tc>
          <w:tcPr>
            <w:tcW w:w="577" w:type="pct"/>
            <w:hideMark/>
          </w:tcPr>
          <w:p w14:paraId="51F28A81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Phase of study</w:t>
            </w:r>
          </w:p>
        </w:tc>
        <w:tc>
          <w:tcPr>
            <w:tcW w:w="1213" w:type="pct"/>
            <w:hideMark/>
          </w:tcPr>
          <w:p w14:paraId="60B84ED4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758" w:type="pct"/>
            <w:hideMark/>
          </w:tcPr>
          <w:p w14:paraId="19B4FE4C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Clinical Trial</w:t>
            </w:r>
          </w:p>
          <w:p w14:paraId="4F8C76EF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Identifier</w:t>
            </w:r>
          </w:p>
        </w:tc>
      </w:tr>
      <w:tr w:rsidR="00FB75F3" w:rsidRPr="005718DE" w14:paraId="3A2F4387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6A11956C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 RA</w:t>
            </w:r>
          </w:p>
        </w:tc>
        <w:tc>
          <w:tcPr>
            <w:tcW w:w="383" w:type="pct"/>
            <w:hideMark/>
          </w:tcPr>
          <w:p w14:paraId="3F9E52F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AD-MSC</w:t>
            </w:r>
          </w:p>
        </w:tc>
        <w:tc>
          <w:tcPr>
            <w:tcW w:w="582" w:type="pct"/>
            <w:hideMark/>
          </w:tcPr>
          <w:p w14:paraId="37E265F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1, 2 or 4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×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</w:p>
          <w:p w14:paraId="036E7519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doses, weekly</w:t>
            </w:r>
          </w:p>
        </w:tc>
        <w:tc>
          <w:tcPr>
            <w:tcW w:w="914" w:type="pct"/>
            <w:hideMark/>
          </w:tcPr>
          <w:p w14:paraId="3F8EF4AF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6A4DA4AE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Phase </w:t>
            </w:r>
            <w:proofErr w:type="spellStart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Ib</w:t>
            </w:r>
            <w:proofErr w:type="spellEnd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/</w:t>
            </w:r>
            <w:proofErr w:type="spellStart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IIa</w:t>
            </w:r>
            <w:proofErr w:type="spellEnd"/>
          </w:p>
        </w:tc>
        <w:tc>
          <w:tcPr>
            <w:tcW w:w="1213" w:type="pct"/>
            <w:hideMark/>
          </w:tcPr>
          <w:p w14:paraId="3FB38F8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safe and well-tolerated</w:t>
            </w:r>
          </w:p>
          <w:p w14:paraId="6695686F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DAS28-ESR↓, CRP↓,</w:t>
            </w:r>
          </w:p>
          <w:p w14:paraId="0CD44DFB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ACR20 response after 1 month (20–45%) and 3 months (15–25%)</w:t>
            </w:r>
          </w:p>
        </w:tc>
        <w:tc>
          <w:tcPr>
            <w:tcW w:w="758" w:type="pct"/>
            <w:hideMark/>
          </w:tcPr>
          <w:p w14:paraId="47C05FFD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NCT01663116</w:t>
            </w:r>
          </w:p>
        </w:tc>
      </w:tr>
      <w:tr w:rsidR="00FB75F3" w:rsidRPr="005718DE" w14:paraId="597C9161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423E6AFC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</w:t>
            </w:r>
          </w:p>
        </w:tc>
        <w:tc>
          <w:tcPr>
            <w:tcW w:w="383" w:type="pct"/>
            <w:hideMark/>
          </w:tcPr>
          <w:p w14:paraId="6F9B1053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BM-MSC</w:t>
            </w:r>
          </w:p>
        </w:tc>
        <w:tc>
          <w:tcPr>
            <w:tcW w:w="582" w:type="pct"/>
            <w:hideMark/>
          </w:tcPr>
          <w:p w14:paraId="2ACE24A2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7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per joint</w:t>
            </w:r>
          </w:p>
          <w:p w14:paraId="416024A8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14" w:type="pct"/>
            <w:hideMark/>
          </w:tcPr>
          <w:p w14:paraId="206B17A7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Autologous; IA</w:t>
            </w:r>
          </w:p>
        </w:tc>
        <w:tc>
          <w:tcPr>
            <w:tcW w:w="577" w:type="pct"/>
            <w:hideMark/>
          </w:tcPr>
          <w:p w14:paraId="4777143F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1/2</w:t>
            </w:r>
          </w:p>
          <w:p w14:paraId="3E507FAA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313E813D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safe and well-tolerated</w:t>
            </w:r>
          </w:p>
          <w:p w14:paraId="45F0CAE4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DAS28↓ (NS), VAS↓, WOMAC↓, ESR↓ (NS), CRP↓ (NS), Pain FWD↑, WD↑, Time to jelling↑, Standing time↑</w:t>
            </w:r>
          </w:p>
        </w:tc>
        <w:tc>
          <w:tcPr>
            <w:tcW w:w="758" w:type="pct"/>
            <w:hideMark/>
          </w:tcPr>
          <w:p w14:paraId="41A45C7A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NCT01873625</w:t>
            </w:r>
          </w:p>
        </w:tc>
      </w:tr>
      <w:tr w:rsidR="00FB75F3" w:rsidRPr="005718DE" w14:paraId="76EEEFEA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1AE22702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 RA</w:t>
            </w:r>
          </w:p>
        </w:tc>
        <w:tc>
          <w:tcPr>
            <w:tcW w:w="383" w:type="pct"/>
            <w:hideMark/>
          </w:tcPr>
          <w:p w14:paraId="70FF395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BM-MSC</w:t>
            </w:r>
          </w:p>
        </w:tc>
        <w:tc>
          <w:tcPr>
            <w:tcW w:w="582" w:type="pct"/>
            <w:hideMark/>
          </w:tcPr>
          <w:p w14:paraId="0A488320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to 2×10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cells/Kg</w:t>
            </w:r>
          </w:p>
          <w:p w14:paraId="1ADB0A1D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dose</w:t>
            </w:r>
          </w:p>
        </w:tc>
        <w:tc>
          <w:tcPr>
            <w:tcW w:w="914" w:type="pct"/>
            <w:hideMark/>
          </w:tcPr>
          <w:p w14:paraId="601FC9CF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Autologous; IV</w:t>
            </w:r>
          </w:p>
        </w:tc>
        <w:tc>
          <w:tcPr>
            <w:tcW w:w="577" w:type="pct"/>
            <w:hideMark/>
          </w:tcPr>
          <w:p w14:paraId="3E8DEAC8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</w:t>
            </w:r>
          </w:p>
          <w:p w14:paraId="6574D9AA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4ECF34E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safe and well-tolerated</w:t>
            </w:r>
          </w:p>
          <w:p w14:paraId="7E2CB20A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DAS28-ESR↓, VAS↓, ESR↓, CRP↓(NS), RF↓, anti-CCP↓ (NS)</w:t>
            </w:r>
          </w:p>
        </w:tc>
        <w:tc>
          <w:tcPr>
            <w:tcW w:w="758" w:type="pct"/>
            <w:hideMark/>
          </w:tcPr>
          <w:p w14:paraId="13B7381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NCT03333681</w:t>
            </w:r>
          </w:p>
        </w:tc>
      </w:tr>
      <w:tr w:rsidR="00FB75F3" w:rsidRPr="005718DE" w14:paraId="4B6A633B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4776DAFE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 RA</w:t>
            </w:r>
          </w:p>
        </w:tc>
        <w:tc>
          <w:tcPr>
            <w:tcW w:w="383" w:type="pct"/>
            <w:hideMark/>
          </w:tcPr>
          <w:p w14:paraId="35BC2D32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0F1EB8B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2.5, 5 or 10 × 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7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/patient;</w:t>
            </w:r>
          </w:p>
          <w:p w14:paraId="28A157B7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dose</w:t>
            </w:r>
          </w:p>
        </w:tc>
        <w:tc>
          <w:tcPr>
            <w:tcW w:w="914" w:type="pct"/>
            <w:hideMark/>
          </w:tcPr>
          <w:p w14:paraId="50AEDE66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5F96BD81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</w:t>
            </w:r>
          </w:p>
          <w:p w14:paraId="34F0DE86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17957A4C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safe and well-tolerated</w:t>
            </w:r>
          </w:p>
          <w:p w14:paraId="5C817140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DAS28↓, VAS↓, HAQ↓, CRP↓, IL-1β↓, IL-6↓, IL-8↓, TNF-α↓</w:t>
            </w:r>
          </w:p>
        </w:tc>
        <w:tc>
          <w:tcPr>
            <w:tcW w:w="758" w:type="pct"/>
            <w:hideMark/>
          </w:tcPr>
          <w:p w14:paraId="6CE29491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NCT02221258</w:t>
            </w:r>
          </w:p>
        </w:tc>
      </w:tr>
      <w:tr w:rsidR="00FB75F3" w:rsidRPr="005718DE" w14:paraId="076407C1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4B6D9F48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 RA</w:t>
            </w:r>
          </w:p>
        </w:tc>
        <w:tc>
          <w:tcPr>
            <w:tcW w:w="383" w:type="pct"/>
            <w:hideMark/>
          </w:tcPr>
          <w:p w14:paraId="4784669F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3D61B6F5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 × 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7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/patient;</w:t>
            </w:r>
          </w:p>
          <w:p w14:paraId="68B49CA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dose</w:t>
            </w:r>
          </w:p>
        </w:tc>
        <w:tc>
          <w:tcPr>
            <w:tcW w:w="914" w:type="pct"/>
            <w:hideMark/>
          </w:tcPr>
          <w:p w14:paraId="73E9E590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6F18C909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1/2</w:t>
            </w:r>
          </w:p>
          <w:p w14:paraId="24E544B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0A89463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safe and well-tolerated</w:t>
            </w:r>
          </w:p>
          <w:p w14:paraId="4F56A45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DAS28↓, HAQ↓, CRP↓, ESR↓, RF↓, anti-CCP↑, TNF-α↓, IL-6↓</w:t>
            </w:r>
          </w:p>
        </w:tc>
        <w:tc>
          <w:tcPr>
            <w:tcW w:w="758" w:type="pct"/>
            <w:hideMark/>
          </w:tcPr>
          <w:p w14:paraId="49EC401A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NCT01547091</w:t>
            </w:r>
          </w:p>
        </w:tc>
      </w:tr>
      <w:tr w:rsidR="00FB75F3" w:rsidRPr="005718DE" w14:paraId="2D6D950B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238A3694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 RA</w:t>
            </w:r>
          </w:p>
        </w:tc>
        <w:tc>
          <w:tcPr>
            <w:tcW w:w="383" w:type="pct"/>
            <w:hideMark/>
          </w:tcPr>
          <w:p w14:paraId="085C9FD7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646CA6F0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914" w:type="pct"/>
            <w:hideMark/>
          </w:tcPr>
          <w:p w14:paraId="374D28FE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262A7004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1/2</w:t>
            </w:r>
          </w:p>
          <w:p w14:paraId="451817D4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4856F9B4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4BB6587D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NCT01985464</w:t>
            </w:r>
          </w:p>
        </w:tc>
      </w:tr>
      <w:tr w:rsidR="00FB75F3" w:rsidRPr="005718DE" w14:paraId="3B8569D5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5FFB9478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</w:t>
            </w:r>
          </w:p>
        </w:tc>
        <w:tc>
          <w:tcPr>
            <w:tcW w:w="383" w:type="pct"/>
            <w:hideMark/>
          </w:tcPr>
          <w:p w14:paraId="517BB8C1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BM-MSC</w:t>
            </w:r>
          </w:p>
        </w:tc>
        <w:tc>
          <w:tcPr>
            <w:tcW w:w="582" w:type="pct"/>
            <w:hideMark/>
          </w:tcPr>
          <w:p w14:paraId="126B92F1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914" w:type="pct"/>
            <w:hideMark/>
          </w:tcPr>
          <w:p w14:paraId="43F0DE5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Autologous, IV, and IA</w:t>
            </w:r>
          </w:p>
        </w:tc>
        <w:tc>
          <w:tcPr>
            <w:tcW w:w="577" w:type="pct"/>
            <w:hideMark/>
          </w:tcPr>
          <w:p w14:paraId="0A8DE78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</w:t>
            </w:r>
          </w:p>
          <w:p w14:paraId="00F7E390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40E1C3A9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301BF4A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NCT03067870</w:t>
            </w:r>
          </w:p>
        </w:tc>
      </w:tr>
      <w:tr w:rsidR="00FB75F3" w:rsidRPr="005718DE" w14:paraId="2C6ADEE8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0839EEF1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</w:t>
            </w:r>
          </w:p>
        </w:tc>
        <w:tc>
          <w:tcPr>
            <w:tcW w:w="383" w:type="pct"/>
            <w:hideMark/>
          </w:tcPr>
          <w:p w14:paraId="31904FDF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0854D9F5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</w:p>
          <w:p w14:paraId="3A3A4B78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dose</w:t>
            </w:r>
          </w:p>
        </w:tc>
        <w:tc>
          <w:tcPr>
            <w:tcW w:w="914" w:type="pct"/>
            <w:hideMark/>
          </w:tcPr>
          <w:p w14:paraId="696E0EA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3E3561F4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213" w:type="pct"/>
            <w:hideMark/>
          </w:tcPr>
          <w:p w14:paraId="20FBB173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72D33A27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NCT03798028</w:t>
            </w:r>
          </w:p>
        </w:tc>
      </w:tr>
      <w:tr w:rsidR="00FB75F3" w:rsidRPr="005718DE" w14:paraId="7779CB77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1AF6441F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 During onset</w:t>
            </w:r>
          </w:p>
        </w:tc>
        <w:tc>
          <w:tcPr>
            <w:tcW w:w="383" w:type="pct"/>
            <w:hideMark/>
          </w:tcPr>
          <w:p w14:paraId="74A02AEE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MPCs</w:t>
            </w:r>
          </w:p>
        </w:tc>
        <w:tc>
          <w:tcPr>
            <w:tcW w:w="582" w:type="pct"/>
            <w:hideMark/>
          </w:tcPr>
          <w:p w14:paraId="3F9BEC3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2, 4, or 6 × 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;</w:t>
            </w:r>
          </w:p>
          <w:p w14:paraId="5BC1C84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dose</w:t>
            </w:r>
          </w:p>
        </w:tc>
        <w:tc>
          <w:tcPr>
            <w:tcW w:w="914" w:type="pct"/>
            <w:hideMark/>
          </w:tcPr>
          <w:p w14:paraId="342D44E1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47B83398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</w:t>
            </w:r>
          </w:p>
          <w:p w14:paraId="00A02F7B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1C4A2C5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649306D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NCT03186417</w:t>
            </w:r>
          </w:p>
        </w:tc>
      </w:tr>
      <w:tr w:rsidR="00FB75F3" w:rsidRPr="005718DE" w14:paraId="2C9B1DAB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167F91AA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lastRenderedPageBreak/>
              <w:t>RA</w:t>
            </w:r>
          </w:p>
        </w:tc>
        <w:tc>
          <w:tcPr>
            <w:tcW w:w="383" w:type="pct"/>
            <w:hideMark/>
          </w:tcPr>
          <w:p w14:paraId="3703DCEF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2A3F7CD1" w14:textId="77777777" w:rsidR="00FB75F3" w:rsidRPr="005718DE" w:rsidRDefault="00FB75F3" w:rsidP="00146AF9">
            <w:pPr>
              <w:bidi/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14" w:type="pct"/>
            <w:hideMark/>
          </w:tcPr>
          <w:p w14:paraId="60A4160C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</w:tcPr>
          <w:p w14:paraId="11EEA613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0B65E6F8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5F5A772F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NCT02643823</w:t>
            </w:r>
          </w:p>
        </w:tc>
      </w:tr>
      <w:tr w:rsidR="00FB75F3" w:rsidRPr="005718DE" w14:paraId="087A11A2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55CDE98F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</w:t>
            </w:r>
          </w:p>
        </w:tc>
        <w:tc>
          <w:tcPr>
            <w:tcW w:w="383" w:type="pct"/>
            <w:hideMark/>
          </w:tcPr>
          <w:p w14:paraId="5785F4E1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49104516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 × 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7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/patient;</w:t>
            </w:r>
          </w:p>
          <w:p w14:paraId="103745A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3 doses</w:t>
            </w:r>
          </w:p>
        </w:tc>
        <w:tc>
          <w:tcPr>
            <w:tcW w:w="914" w:type="pct"/>
            <w:hideMark/>
          </w:tcPr>
          <w:p w14:paraId="3378817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310AC17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1/2</w:t>
            </w:r>
          </w:p>
          <w:p w14:paraId="04ACBDE9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71FE58A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459BE3A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NCT03618784</w:t>
            </w:r>
          </w:p>
        </w:tc>
      </w:tr>
      <w:tr w:rsidR="00FB75F3" w:rsidRPr="005718DE" w14:paraId="24254C13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4E0326A7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Active RA</w:t>
            </w:r>
          </w:p>
        </w:tc>
        <w:tc>
          <w:tcPr>
            <w:tcW w:w="383" w:type="pct"/>
            <w:hideMark/>
          </w:tcPr>
          <w:p w14:paraId="69EEB45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AD-MSC</w:t>
            </w:r>
          </w:p>
        </w:tc>
        <w:tc>
          <w:tcPr>
            <w:tcW w:w="582" w:type="pct"/>
            <w:hideMark/>
          </w:tcPr>
          <w:p w14:paraId="0589B8D1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14" w:type="pct"/>
            <w:hideMark/>
          </w:tcPr>
          <w:p w14:paraId="0F83CE6B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Autologous;IV</w:t>
            </w:r>
            <w:proofErr w:type="spellEnd"/>
            <w:proofErr w:type="gramEnd"/>
          </w:p>
        </w:tc>
        <w:tc>
          <w:tcPr>
            <w:tcW w:w="577" w:type="pct"/>
            <w:hideMark/>
          </w:tcPr>
          <w:p w14:paraId="4E92A3F4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1/2</w:t>
            </w:r>
          </w:p>
          <w:p w14:paraId="6AA8B39C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64FF5E0F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safe and efficacious for improvement in joint function</w:t>
            </w:r>
          </w:p>
        </w:tc>
        <w:tc>
          <w:tcPr>
            <w:tcW w:w="758" w:type="pct"/>
            <w:hideMark/>
          </w:tcPr>
          <w:p w14:paraId="33C83EFD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NCT03691909</w:t>
            </w:r>
          </w:p>
        </w:tc>
      </w:tr>
      <w:tr w:rsidR="00FB75F3" w:rsidRPr="005718DE" w14:paraId="0AFB1A2B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45E4386A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 RA</w:t>
            </w:r>
          </w:p>
        </w:tc>
        <w:tc>
          <w:tcPr>
            <w:tcW w:w="383" w:type="pct"/>
            <w:hideMark/>
          </w:tcPr>
          <w:p w14:paraId="5F55073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5C0362A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0.75 or 1.5 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 xml:space="preserve">6  </w:t>
            </w:r>
            <w:proofErr w:type="gramStart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 xml:space="preserve">  ;</w:t>
            </w:r>
            <w:proofErr w:type="gramEnd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 xml:space="preserve">                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dose</w:t>
            </w:r>
          </w:p>
        </w:tc>
        <w:tc>
          <w:tcPr>
            <w:tcW w:w="914" w:type="pct"/>
            <w:hideMark/>
          </w:tcPr>
          <w:p w14:paraId="08EBD8E4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5AEC55DA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</w:t>
            </w:r>
          </w:p>
          <w:p w14:paraId="37A680C9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09A76AC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76B7F9E7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NCT03828344</w:t>
            </w:r>
          </w:p>
        </w:tc>
      </w:tr>
      <w:tr w:rsidR="00FB75F3" w:rsidRPr="005718DE" w14:paraId="3CE30A9B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5E2791DA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Refractory RA</w:t>
            </w:r>
          </w:p>
        </w:tc>
        <w:tc>
          <w:tcPr>
            <w:tcW w:w="383" w:type="pct"/>
            <w:hideMark/>
          </w:tcPr>
          <w:p w14:paraId="2F1334CF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AT-MSC</w:t>
            </w:r>
          </w:p>
        </w:tc>
        <w:tc>
          <w:tcPr>
            <w:tcW w:w="582" w:type="pct"/>
            <w:hideMark/>
          </w:tcPr>
          <w:p w14:paraId="0EDDB02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2.0 or 2.86 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;</w:t>
            </w:r>
          </w:p>
          <w:p w14:paraId="69BBC8E4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 dose or 3 doses, every 3 days</w:t>
            </w:r>
          </w:p>
        </w:tc>
        <w:tc>
          <w:tcPr>
            <w:tcW w:w="914" w:type="pct"/>
            <w:hideMark/>
          </w:tcPr>
          <w:p w14:paraId="6416D547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Autologous;IV</w:t>
            </w:r>
            <w:proofErr w:type="spellEnd"/>
            <w:proofErr w:type="gramEnd"/>
          </w:p>
        </w:tc>
        <w:tc>
          <w:tcPr>
            <w:tcW w:w="577" w:type="pct"/>
            <w:hideMark/>
          </w:tcPr>
          <w:p w14:paraId="5B00E7B2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1/2a</w:t>
            </w:r>
          </w:p>
          <w:p w14:paraId="4CC58EE0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520700D7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71B80D4C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NCT04170426</w:t>
            </w:r>
          </w:p>
        </w:tc>
      </w:tr>
      <w:tr w:rsidR="00FB75F3" w:rsidRPr="005718DE" w14:paraId="6C643211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6D1AA8A8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</w:t>
            </w:r>
          </w:p>
        </w:tc>
        <w:tc>
          <w:tcPr>
            <w:tcW w:w="383" w:type="pct"/>
            <w:hideMark/>
          </w:tcPr>
          <w:p w14:paraId="32C538C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AT-MSC</w:t>
            </w:r>
          </w:p>
        </w:tc>
        <w:tc>
          <w:tcPr>
            <w:tcW w:w="582" w:type="pct"/>
            <w:hideMark/>
          </w:tcPr>
          <w:p w14:paraId="531F2A8A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14" w:type="pct"/>
            <w:hideMark/>
          </w:tcPr>
          <w:p w14:paraId="6DAFD595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Autologous; IV</w:t>
            </w:r>
          </w:p>
        </w:tc>
        <w:tc>
          <w:tcPr>
            <w:tcW w:w="577" w:type="pct"/>
            <w:hideMark/>
          </w:tcPr>
          <w:p w14:paraId="0DA1B316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Pilot</w:t>
            </w:r>
          </w:p>
        </w:tc>
        <w:tc>
          <w:tcPr>
            <w:tcW w:w="1213" w:type="pct"/>
            <w:hideMark/>
          </w:tcPr>
          <w:p w14:paraId="0F601382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VAS↓, KWOMAC↓, CRP↓, RF↓, anti-CCP↓, standing time↑, WD↑, off steroids</w:t>
            </w:r>
          </w:p>
        </w:tc>
        <w:tc>
          <w:tcPr>
            <w:tcW w:w="758" w:type="pct"/>
            <w:hideMark/>
          </w:tcPr>
          <w:p w14:paraId="73D924C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NCT01413061</w:t>
            </w:r>
          </w:p>
        </w:tc>
      </w:tr>
      <w:tr w:rsidR="00FB75F3" w:rsidRPr="005718DE" w14:paraId="29E4829F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5AE19F4D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</w:t>
            </w:r>
          </w:p>
        </w:tc>
        <w:tc>
          <w:tcPr>
            <w:tcW w:w="383" w:type="pct"/>
            <w:hideMark/>
          </w:tcPr>
          <w:p w14:paraId="1CA920D2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proofErr w:type="spellStart"/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tDC</w:t>
            </w:r>
            <w:proofErr w:type="spellEnd"/>
          </w:p>
        </w:tc>
        <w:tc>
          <w:tcPr>
            <w:tcW w:w="582" w:type="pct"/>
            <w:hideMark/>
          </w:tcPr>
          <w:p w14:paraId="1F5CD595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3×10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5×10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8×10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and 10×10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cells in 2.0 mL sodium chloride 0.9% solution)</w:t>
            </w:r>
          </w:p>
        </w:tc>
        <w:tc>
          <w:tcPr>
            <w:tcW w:w="914" w:type="pct"/>
            <w:hideMark/>
          </w:tcPr>
          <w:p w14:paraId="477A7EEF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Autologous; IA</w:t>
            </w:r>
          </w:p>
        </w:tc>
        <w:tc>
          <w:tcPr>
            <w:tcW w:w="577" w:type="pct"/>
            <w:hideMark/>
          </w:tcPr>
          <w:p w14:paraId="41646D71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</w:t>
            </w:r>
          </w:p>
          <w:p w14:paraId="44C760FE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hideMark/>
          </w:tcPr>
          <w:p w14:paraId="2FE0BB0E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5B74C633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NCT03337165</w:t>
            </w:r>
          </w:p>
        </w:tc>
      </w:tr>
      <w:tr w:rsidR="00FB75F3" w:rsidRPr="005718DE" w14:paraId="5B37ACDD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pct"/>
            <w:hideMark/>
          </w:tcPr>
          <w:p w14:paraId="3E73DD69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RA</w:t>
            </w:r>
          </w:p>
        </w:tc>
        <w:tc>
          <w:tcPr>
            <w:tcW w:w="383" w:type="pct"/>
            <w:hideMark/>
          </w:tcPr>
          <w:p w14:paraId="7E01E234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UC-MSC</w:t>
            </w:r>
          </w:p>
        </w:tc>
        <w:tc>
          <w:tcPr>
            <w:tcW w:w="582" w:type="pct"/>
            <w:hideMark/>
          </w:tcPr>
          <w:p w14:paraId="294FD5A9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100×10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14" w:type="pct"/>
            <w:hideMark/>
          </w:tcPr>
          <w:p w14:paraId="76C4761B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Allogeneic;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</w:t>
            </w: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IV</w:t>
            </w:r>
          </w:p>
        </w:tc>
        <w:tc>
          <w:tcPr>
            <w:tcW w:w="577" w:type="pct"/>
            <w:hideMark/>
          </w:tcPr>
          <w:p w14:paraId="69F3CF1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Phase 1</w:t>
            </w:r>
          </w:p>
        </w:tc>
        <w:tc>
          <w:tcPr>
            <w:tcW w:w="1213" w:type="pct"/>
            <w:hideMark/>
          </w:tcPr>
          <w:p w14:paraId="495D5530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unreported</w:t>
            </w:r>
          </w:p>
        </w:tc>
        <w:tc>
          <w:tcPr>
            <w:tcW w:w="758" w:type="pct"/>
            <w:hideMark/>
          </w:tcPr>
          <w:p w14:paraId="1C9A017C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NCT05003934</w:t>
            </w:r>
          </w:p>
        </w:tc>
      </w:tr>
      <w:tr w:rsidR="00FB75F3" w:rsidRPr="005718DE" w14:paraId="103CDB18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hideMark/>
          </w:tcPr>
          <w:p w14:paraId="01EF8AAF" w14:textId="77777777" w:rsidR="00FB75F3" w:rsidRPr="005718DE" w:rsidRDefault="00FB75F3" w:rsidP="00146AF9">
            <w:pPr>
              <w:spacing w:before="240" w:after="240"/>
              <w:jc w:val="both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5718DE">
              <w:rPr>
                <w:rFonts w:asciiTheme="majorBidi" w:eastAsia="Arial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AT, adipose tissue; BM, bone marrow; UC, umbilical cord; MPCs, mesenchymal progenitor cells; IV, Intravenous; N/A; Not applicable; IA, intra-articular; </w:t>
            </w:r>
            <w:proofErr w:type="spellStart"/>
            <w:r w:rsidRPr="005718DE">
              <w:rPr>
                <w:rFonts w:asciiTheme="majorBidi" w:eastAsia="Arial" w:hAnsiTheme="majorBidi" w:cstheme="majorBidi"/>
                <w:b w:val="0"/>
                <w:bCs w:val="0"/>
                <w:color w:val="000000"/>
                <w:sz w:val="18"/>
                <w:szCs w:val="18"/>
              </w:rPr>
              <w:t>tD</w:t>
            </w:r>
            <w:proofErr w:type="spellEnd"/>
            <w:r w:rsidRPr="005718DE">
              <w:rPr>
                <w:rFonts w:asciiTheme="majorBidi" w:eastAsia="Arial" w:hAnsiTheme="majorBidi" w:cstheme="majorBidi"/>
                <w:b w:val="0"/>
                <w:bCs w:val="0"/>
                <w:color w:val="000000"/>
                <w:sz w:val="18"/>
                <w:szCs w:val="18"/>
              </w:rPr>
              <w:t>, Tolerogenic dendritic cell; Western Ontario and McMaster Universities Arthritis Index (WOMAC); Korean Western Ontario and McMaster Universities Arthritis Index (KWOMAC); visual analog scale (VAS); the American College of Rheumatology criteria (ACR); Health Assessment Questionnaire (HAQ); disease activity score 28 (DAS28); pain-free walking distance (Pain FWD); walking distance (WD); erythrocyte sedimentation rate (ESR); C-reactive protein (CRP); rheumatoid factor (RF); anti-cyclic citrullinated antibody (anti-CCP); non-significant (NS); increasing level (</w:t>
            </w:r>
            <w:r w:rsidRPr="005718DE">
              <w:rPr>
                <w:rFonts w:asciiTheme="majorBidi" w:eastAsia="Courier New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↑); </w:t>
            </w:r>
            <w:r w:rsidRPr="005718DE">
              <w:rPr>
                <w:rFonts w:asciiTheme="majorBidi" w:eastAsia="Arial" w:hAnsiTheme="majorBidi" w:cstheme="majorBidi"/>
                <w:b w:val="0"/>
                <w:bCs w:val="0"/>
                <w:color w:val="000000"/>
                <w:sz w:val="18"/>
                <w:szCs w:val="18"/>
              </w:rPr>
              <w:t>decreasing level</w:t>
            </w:r>
            <w:r w:rsidRPr="005718DE">
              <w:rPr>
                <w:rFonts w:asciiTheme="majorBidi" w:eastAsia="Courier New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(</w:t>
            </w:r>
            <w:r w:rsidRPr="005718DE">
              <w:rPr>
                <w:rFonts w:asciiTheme="majorBidi" w:eastAsia="Arial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↓). </w:t>
            </w:r>
          </w:p>
          <w:p w14:paraId="5DA7FA5E" w14:textId="77777777" w:rsidR="00FB75F3" w:rsidRPr="005718DE" w:rsidRDefault="00FB75F3" w:rsidP="00146AF9">
            <w:pPr>
              <w:spacing w:before="240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14:paraId="568E207D" w14:textId="274DF394" w:rsidR="00E24569" w:rsidRDefault="00E24569"/>
    <w:p w14:paraId="748644A3" w14:textId="5E04132E" w:rsidR="00FB75F3" w:rsidRDefault="00FB75F3"/>
    <w:p w14:paraId="5D60B030" w14:textId="61541187" w:rsidR="00FB75F3" w:rsidRDefault="00FB75F3"/>
    <w:p w14:paraId="71315E0D" w14:textId="0DF21C26" w:rsidR="00FB75F3" w:rsidRDefault="00FB75F3"/>
    <w:p w14:paraId="1C2EA85C" w14:textId="44FDA0FF" w:rsidR="00FB75F3" w:rsidRDefault="00FB75F3"/>
    <w:p w14:paraId="51162CBB" w14:textId="5ABED075" w:rsidR="00FB75F3" w:rsidRDefault="00FB75F3"/>
    <w:tbl>
      <w:tblPr>
        <w:tblStyle w:val="ListTable6Colorful-Accent3"/>
        <w:tblW w:w="5000" w:type="pct"/>
        <w:tblLook w:val="04A0" w:firstRow="1" w:lastRow="0" w:firstColumn="1" w:lastColumn="0" w:noHBand="0" w:noVBand="1"/>
      </w:tblPr>
      <w:tblGrid>
        <w:gridCol w:w="1404"/>
        <w:gridCol w:w="2653"/>
        <w:gridCol w:w="809"/>
        <w:gridCol w:w="2031"/>
        <w:gridCol w:w="1209"/>
        <w:gridCol w:w="1254"/>
      </w:tblGrid>
      <w:tr w:rsidR="00FB75F3" w:rsidRPr="005718DE" w14:paraId="053DFEFF" w14:textId="77777777" w:rsidTr="00146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hideMark/>
          </w:tcPr>
          <w:p w14:paraId="1DA2AFC6" w14:textId="77777777" w:rsidR="00FB75F3" w:rsidRPr="005718DE" w:rsidRDefault="00FB75F3" w:rsidP="00146AF9">
            <w:pPr>
              <w:spacing w:before="240" w:after="24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B3098">
              <w:rPr>
                <w:color w:val="auto"/>
              </w:rPr>
              <w:lastRenderedPageBreak/>
              <w:t>Supplementary Table</w:t>
            </w:r>
            <w:r w:rsidRPr="005718DE">
              <w:rPr>
                <w:rFonts w:asciiTheme="majorBidi" w:hAnsiTheme="majorBidi" w:cstheme="majorBidi"/>
                <w:color w:val="000000"/>
              </w:rPr>
              <w:t xml:space="preserve"> 2. Clinical trials in gene therapy for Rheumatoid Arthritis</w:t>
            </w:r>
          </w:p>
        </w:tc>
      </w:tr>
      <w:tr w:rsidR="00FB75F3" w:rsidRPr="005718DE" w14:paraId="042262C4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hideMark/>
          </w:tcPr>
          <w:p w14:paraId="366C3BBA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Transgene</w:t>
            </w:r>
          </w:p>
        </w:tc>
        <w:tc>
          <w:tcPr>
            <w:tcW w:w="1417" w:type="pct"/>
            <w:hideMark/>
          </w:tcPr>
          <w:p w14:paraId="713C262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Delivery method</w:t>
            </w:r>
          </w:p>
        </w:tc>
        <w:tc>
          <w:tcPr>
            <w:tcW w:w="432" w:type="pct"/>
            <w:hideMark/>
          </w:tcPr>
          <w:p w14:paraId="2B90D9B3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Study phase</w:t>
            </w:r>
          </w:p>
        </w:tc>
        <w:tc>
          <w:tcPr>
            <w:tcW w:w="1085" w:type="pct"/>
            <w:hideMark/>
          </w:tcPr>
          <w:p w14:paraId="6EFC6398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Sponsor/Principal Investigator</w:t>
            </w:r>
          </w:p>
        </w:tc>
        <w:tc>
          <w:tcPr>
            <w:tcW w:w="646" w:type="pct"/>
            <w:hideMark/>
          </w:tcPr>
          <w:p w14:paraId="6385A791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Subjects number</w:t>
            </w:r>
          </w:p>
        </w:tc>
        <w:tc>
          <w:tcPr>
            <w:tcW w:w="670" w:type="pct"/>
            <w:hideMark/>
          </w:tcPr>
          <w:p w14:paraId="197A4E81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</w:tr>
      <w:tr w:rsidR="00FB75F3" w:rsidRPr="005718DE" w14:paraId="5D17225C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hideMark/>
          </w:tcPr>
          <w:p w14:paraId="363399A6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IL-1Ra</w:t>
            </w:r>
          </w:p>
        </w:tc>
        <w:tc>
          <w:tcPr>
            <w:tcW w:w="1417" w:type="pct"/>
            <w:hideMark/>
          </w:tcPr>
          <w:p w14:paraId="749A41BB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Retrovirus</w:t>
            </w:r>
          </w:p>
          <w:p w14:paraId="5CD8874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Ex-vivo</w:t>
            </w:r>
          </w:p>
        </w:tc>
        <w:tc>
          <w:tcPr>
            <w:tcW w:w="432" w:type="pct"/>
            <w:hideMark/>
          </w:tcPr>
          <w:p w14:paraId="79C9F791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I</w:t>
            </w:r>
          </w:p>
        </w:tc>
        <w:tc>
          <w:tcPr>
            <w:tcW w:w="1085" w:type="pct"/>
            <w:hideMark/>
          </w:tcPr>
          <w:p w14:paraId="542B7AE6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University of Pittsburgh (Evans and Robbins)</w:t>
            </w:r>
          </w:p>
        </w:tc>
        <w:tc>
          <w:tcPr>
            <w:tcW w:w="646" w:type="pct"/>
            <w:hideMark/>
          </w:tcPr>
          <w:p w14:paraId="2316A1E6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9</w:t>
            </w:r>
          </w:p>
        </w:tc>
        <w:tc>
          <w:tcPr>
            <w:tcW w:w="670" w:type="pct"/>
            <w:hideMark/>
          </w:tcPr>
          <w:p w14:paraId="364DADF3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(27)</w:t>
            </w:r>
          </w:p>
        </w:tc>
      </w:tr>
      <w:tr w:rsidR="00FB75F3" w:rsidRPr="005718DE" w14:paraId="7F61CB6A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hideMark/>
          </w:tcPr>
          <w:p w14:paraId="5B8E1084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IL-1Ra</w:t>
            </w:r>
          </w:p>
        </w:tc>
        <w:tc>
          <w:tcPr>
            <w:tcW w:w="1417" w:type="pct"/>
            <w:hideMark/>
          </w:tcPr>
          <w:p w14:paraId="741C83C6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Retrovirus</w:t>
            </w:r>
          </w:p>
          <w:p w14:paraId="04F82B62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Ex-vivo</w:t>
            </w:r>
          </w:p>
        </w:tc>
        <w:tc>
          <w:tcPr>
            <w:tcW w:w="432" w:type="pct"/>
            <w:hideMark/>
          </w:tcPr>
          <w:p w14:paraId="3FA50A2B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I</w:t>
            </w:r>
          </w:p>
        </w:tc>
        <w:tc>
          <w:tcPr>
            <w:tcW w:w="1085" w:type="pct"/>
            <w:hideMark/>
          </w:tcPr>
          <w:p w14:paraId="3983FCF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University of Dusseldorf</w:t>
            </w:r>
          </w:p>
          <w:p w14:paraId="178C9EC5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(</w:t>
            </w:r>
            <w:proofErr w:type="spellStart"/>
            <w:r w:rsidRPr="005718DE">
              <w:rPr>
                <w:rFonts w:asciiTheme="majorBidi" w:hAnsiTheme="majorBidi" w:cstheme="majorBidi"/>
                <w:color w:val="000000"/>
              </w:rPr>
              <w:t>Wehling</w:t>
            </w:r>
            <w:proofErr w:type="spellEnd"/>
            <w:r w:rsidRPr="005718DE">
              <w:rPr>
                <w:rFonts w:asciiTheme="majorBidi" w:hAnsiTheme="majorBidi" w:cstheme="majorBidi"/>
                <w:color w:val="000000"/>
              </w:rPr>
              <w:t>)</w:t>
            </w:r>
          </w:p>
        </w:tc>
        <w:tc>
          <w:tcPr>
            <w:tcW w:w="646" w:type="pct"/>
            <w:hideMark/>
          </w:tcPr>
          <w:p w14:paraId="08B3BBE5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670" w:type="pct"/>
            <w:hideMark/>
          </w:tcPr>
          <w:p w14:paraId="723BE8E0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(28)</w:t>
            </w:r>
          </w:p>
        </w:tc>
      </w:tr>
      <w:tr w:rsidR="00FB75F3" w:rsidRPr="005718DE" w14:paraId="42883CEB" w14:textId="77777777" w:rsidTr="00146A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hideMark/>
          </w:tcPr>
          <w:p w14:paraId="65C58D07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Etanercept</w:t>
            </w:r>
          </w:p>
        </w:tc>
        <w:tc>
          <w:tcPr>
            <w:tcW w:w="1417" w:type="pct"/>
            <w:hideMark/>
          </w:tcPr>
          <w:p w14:paraId="66C0388E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AAV</w:t>
            </w:r>
          </w:p>
          <w:p w14:paraId="774698D1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In-vivo</w:t>
            </w:r>
          </w:p>
        </w:tc>
        <w:tc>
          <w:tcPr>
            <w:tcW w:w="432" w:type="pct"/>
            <w:hideMark/>
          </w:tcPr>
          <w:p w14:paraId="6A618614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I/II</w:t>
            </w:r>
          </w:p>
        </w:tc>
        <w:tc>
          <w:tcPr>
            <w:tcW w:w="1085" w:type="pct"/>
            <w:hideMark/>
          </w:tcPr>
          <w:p w14:paraId="3A61ACB8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(</w:t>
            </w:r>
            <w:proofErr w:type="spellStart"/>
            <w:r w:rsidRPr="005718DE">
              <w:rPr>
                <w:rFonts w:asciiTheme="majorBidi" w:hAnsiTheme="majorBidi" w:cstheme="majorBidi"/>
                <w:color w:val="000000"/>
              </w:rPr>
              <w:t>Mease</w:t>
            </w:r>
            <w:proofErr w:type="spellEnd"/>
            <w:r w:rsidRPr="005718DE">
              <w:rPr>
                <w:rFonts w:asciiTheme="majorBidi" w:hAnsiTheme="majorBidi" w:cstheme="majorBidi"/>
                <w:color w:val="000000"/>
              </w:rPr>
              <w:t>)</w:t>
            </w:r>
          </w:p>
        </w:tc>
        <w:tc>
          <w:tcPr>
            <w:tcW w:w="646" w:type="pct"/>
            <w:hideMark/>
          </w:tcPr>
          <w:p w14:paraId="502BE78F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127</w:t>
            </w:r>
          </w:p>
        </w:tc>
        <w:tc>
          <w:tcPr>
            <w:tcW w:w="670" w:type="pct"/>
            <w:hideMark/>
          </w:tcPr>
          <w:p w14:paraId="3F5F3530" w14:textId="77777777" w:rsidR="00FB75F3" w:rsidRPr="005718DE" w:rsidRDefault="00FB75F3" w:rsidP="00146AF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(29)</w:t>
            </w:r>
          </w:p>
        </w:tc>
      </w:tr>
      <w:tr w:rsidR="00FB75F3" w:rsidRPr="005718DE" w14:paraId="6169A085" w14:textId="77777777" w:rsidTr="00146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pct"/>
            <w:hideMark/>
          </w:tcPr>
          <w:p w14:paraId="7F95CBF9" w14:textId="77777777" w:rsidR="00FB75F3" w:rsidRPr="005718DE" w:rsidRDefault="00FB75F3" w:rsidP="00146AF9">
            <w:pPr>
              <w:spacing w:after="24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ART-I02</w:t>
            </w:r>
          </w:p>
        </w:tc>
        <w:tc>
          <w:tcPr>
            <w:tcW w:w="1417" w:type="pct"/>
            <w:hideMark/>
          </w:tcPr>
          <w:p w14:paraId="30BF100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recombinant adeno-associated virus (AAV)</w:t>
            </w:r>
          </w:p>
        </w:tc>
        <w:tc>
          <w:tcPr>
            <w:tcW w:w="432" w:type="pct"/>
            <w:hideMark/>
          </w:tcPr>
          <w:p w14:paraId="2CD6F76C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I</w:t>
            </w:r>
          </w:p>
        </w:tc>
        <w:tc>
          <w:tcPr>
            <w:tcW w:w="1085" w:type="pct"/>
            <w:hideMark/>
          </w:tcPr>
          <w:p w14:paraId="4DDEAF05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5718DE">
              <w:rPr>
                <w:rFonts w:asciiTheme="majorBidi" w:hAnsiTheme="majorBidi" w:cstheme="majorBidi"/>
                <w:color w:val="000000"/>
              </w:rPr>
              <w:t>Arthrogen</w:t>
            </w:r>
            <w:proofErr w:type="spellEnd"/>
          </w:p>
          <w:p w14:paraId="72ED22E9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Netherland</w:t>
            </w:r>
          </w:p>
        </w:tc>
        <w:tc>
          <w:tcPr>
            <w:tcW w:w="646" w:type="pct"/>
            <w:hideMark/>
          </w:tcPr>
          <w:p w14:paraId="0E614B85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12</w:t>
            </w:r>
          </w:p>
        </w:tc>
        <w:tc>
          <w:tcPr>
            <w:tcW w:w="670" w:type="pct"/>
            <w:hideMark/>
          </w:tcPr>
          <w:p w14:paraId="459ADEFE" w14:textId="77777777" w:rsidR="00FB75F3" w:rsidRPr="005718DE" w:rsidRDefault="00FB75F3" w:rsidP="00146AF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5718DE">
              <w:rPr>
                <w:rFonts w:asciiTheme="majorBidi" w:hAnsiTheme="majorBidi" w:cstheme="majorBidi"/>
                <w:color w:val="000000"/>
              </w:rPr>
              <w:t>(30)</w:t>
            </w:r>
          </w:p>
        </w:tc>
      </w:tr>
    </w:tbl>
    <w:p w14:paraId="2C3FFDE3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</w:rPr>
      </w:pPr>
    </w:p>
    <w:p w14:paraId="6EC9E135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tbl>
      <w:tblPr>
        <w:tblStyle w:val="ListTable6Colorful-Accent3"/>
        <w:tblW w:w="5000" w:type="pct"/>
        <w:jc w:val="center"/>
        <w:tblLook w:val="04A0" w:firstRow="1" w:lastRow="0" w:firstColumn="1" w:lastColumn="0" w:noHBand="0" w:noVBand="1"/>
      </w:tblPr>
      <w:tblGrid>
        <w:gridCol w:w="3912"/>
        <w:gridCol w:w="1144"/>
        <w:gridCol w:w="1011"/>
        <w:gridCol w:w="940"/>
        <w:gridCol w:w="1636"/>
        <w:gridCol w:w="717"/>
      </w:tblGrid>
      <w:tr w:rsidR="00FB75F3" w:rsidRPr="005718DE" w14:paraId="7D4FA3C9" w14:textId="77777777" w:rsidTr="00146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hideMark/>
          </w:tcPr>
          <w:p w14:paraId="3BBA8366" w14:textId="77777777" w:rsidR="00FB75F3" w:rsidRPr="005718DE" w:rsidRDefault="00FB75F3" w:rsidP="00146AF9">
            <w:pPr>
              <w:spacing w:before="240" w:after="24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DB3098">
              <w:rPr>
                <w:color w:val="auto"/>
              </w:rPr>
              <w:t>Supplementary Table</w:t>
            </w:r>
            <w:r w:rsidRPr="005718DE">
              <w:rPr>
                <w:rFonts w:asciiTheme="majorBidi" w:hAnsiTheme="majorBidi" w:cstheme="majorBidi"/>
                <w:color w:val="000000"/>
              </w:rPr>
              <w:t xml:space="preserve"> 3. Clinical Study in Tissue Engineering for RA</w:t>
            </w:r>
          </w:p>
        </w:tc>
      </w:tr>
      <w:tr w:rsidR="00FB75F3" w:rsidRPr="005718DE" w14:paraId="7C5C63FA" w14:textId="77777777" w:rsidTr="00FB7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hideMark/>
          </w:tcPr>
          <w:p w14:paraId="734B5E03" w14:textId="77777777" w:rsidR="00FB75F3" w:rsidRPr="005718DE" w:rsidRDefault="00FB75F3" w:rsidP="00146AF9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Study Title</w:t>
            </w:r>
          </w:p>
        </w:tc>
        <w:tc>
          <w:tcPr>
            <w:tcW w:w="611" w:type="pct"/>
            <w:hideMark/>
          </w:tcPr>
          <w:p w14:paraId="2D628D01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Study location</w:t>
            </w:r>
          </w:p>
        </w:tc>
        <w:tc>
          <w:tcPr>
            <w:tcW w:w="540" w:type="pct"/>
            <w:hideMark/>
          </w:tcPr>
          <w:p w14:paraId="38C83934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Study Phase</w:t>
            </w:r>
          </w:p>
          <w:p w14:paraId="7447518F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hideMark/>
          </w:tcPr>
          <w:p w14:paraId="6F10DAB3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No. of patients</w:t>
            </w:r>
          </w:p>
        </w:tc>
        <w:tc>
          <w:tcPr>
            <w:tcW w:w="874" w:type="pct"/>
            <w:hideMark/>
          </w:tcPr>
          <w:p w14:paraId="74A2F9B0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Outcomes</w:t>
            </w:r>
          </w:p>
        </w:tc>
        <w:tc>
          <w:tcPr>
            <w:tcW w:w="384" w:type="pct"/>
            <w:hideMark/>
          </w:tcPr>
          <w:p w14:paraId="2B51CE19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Refs.</w:t>
            </w:r>
          </w:p>
        </w:tc>
      </w:tr>
      <w:tr w:rsidR="00FB75F3" w:rsidRPr="005718DE" w14:paraId="51FDA086" w14:textId="77777777" w:rsidTr="00FB75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hideMark/>
          </w:tcPr>
          <w:p w14:paraId="7F747849" w14:textId="77777777" w:rsidR="00FB75F3" w:rsidRPr="005718DE" w:rsidRDefault="00C91E62" w:rsidP="00146AF9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hyperlink r:id="rId4" w:history="1">
              <w:r w:rsidR="00FB75F3" w:rsidRPr="005718DE">
                <w:rPr>
                  <w:rFonts w:asciiTheme="majorBidi" w:hAnsiTheme="majorBidi" w:cstheme="majorBidi"/>
                  <w:color w:val="000000"/>
                  <w:sz w:val="18"/>
                  <w:szCs w:val="18"/>
                </w:rPr>
                <w:t>Safety of Cultured Allogeneic Adult Umbilical Cord Derived Mesenchymal Stem Cell Intravenous Infusion for RA</w:t>
              </w:r>
            </w:hyperlink>
          </w:p>
          <w:p w14:paraId="32377C23" w14:textId="77777777" w:rsidR="00FB75F3" w:rsidRPr="005718DE" w:rsidRDefault="00FB75F3" w:rsidP="00146AF9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1" w:type="pct"/>
            <w:hideMark/>
          </w:tcPr>
          <w:p w14:paraId="15A208AF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Mexico and Argentina</w:t>
            </w:r>
          </w:p>
        </w:tc>
        <w:tc>
          <w:tcPr>
            <w:tcW w:w="540" w:type="pct"/>
            <w:hideMark/>
          </w:tcPr>
          <w:p w14:paraId="0433DD5F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02" w:type="pct"/>
            <w:hideMark/>
          </w:tcPr>
          <w:p w14:paraId="54C0370A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74" w:type="pct"/>
            <w:hideMark/>
          </w:tcPr>
          <w:p w14:paraId="6D0C56F1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4" w:type="pct"/>
            <w:hideMark/>
          </w:tcPr>
          <w:p w14:paraId="0D70535D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14:paraId="293ADB59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(30)</w:t>
            </w:r>
          </w:p>
        </w:tc>
      </w:tr>
      <w:tr w:rsidR="00FB75F3" w:rsidRPr="005718DE" w14:paraId="17B42A78" w14:textId="77777777" w:rsidTr="00FB7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hideMark/>
          </w:tcPr>
          <w:p w14:paraId="0A04218E" w14:textId="77777777" w:rsidR="00FB75F3" w:rsidRPr="005718DE" w:rsidRDefault="00C91E62" w:rsidP="00146AF9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hyperlink r:id="rId5" w:history="1">
              <w:r w:rsidR="00FB75F3" w:rsidRPr="005718DE">
                <w:rPr>
                  <w:rFonts w:asciiTheme="majorBidi" w:hAnsiTheme="majorBidi" w:cstheme="majorBidi"/>
                  <w:color w:val="000000"/>
                  <w:sz w:val="18"/>
                  <w:szCs w:val="18"/>
                </w:rPr>
                <w:t>Transplantation of Bone Marrow-Derived Mesenchymal Stem Cells in Affected Knee Osteoarthritis by Rheumatoid Arthritis</w:t>
              </w:r>
            </w:hyperlink>
          </w:p>
        </w:tc>
        <w:tc>
          <w:tcPr>
            <w:tcW w:w="611" w:type="pct"/>
            <w:hideMark/>
          </w:tcPr>
          <w:p w14:paraId="5B87F523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540" w:type="pct"/>
            <w:hideMark/>
          </w:tcPr>
          <w:p w14:paraId="09D43488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II</w:t>
            </w:r>
          </w:p>
        </w:tc>
        <w:tc>
          <w:tcPr>
            <w:tcW w:w="502" w:type="pct"/>
            <w:hideMark/>
          </w:tcPr>
          <w:p w14:paraId="2CEFFFB4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74" w:type="pct"/>
            <w:hideMark/>
          </w:tcPr>
          <w:p w14:paraId="0E315C02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4" w:type="pct"/>
            <w:hideMark/>
          </w:tcPr>
          <w:p w14:paraId="16A3745F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(31)</w:t>
            </w:r>
          </w:p>
        </w:tc>
      </w:tr>
      <w:tr w:rsidR="00FB75F3" w:rsidRPr="005718DE" w14:paraId="39023450" w14:textId="77777777" w:rsidTr="00FB75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hideMark/>
          </w:tcPr>
          <w:p w14:paraId="75CDFBC8" w14:textId="77777777" w:rsidR="00FB75F3" w:rsidRPr="005718DE" w:rsidRDefault="00C91E62" w:rsidP="00146AF9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hyperlink r:id="rId6" w:history="1">
              <w:r w:rsidR="00FB75F3" w:rsidRPr="005718DE">
                <w:rPr>
                  <w:rFonts w:asciiTheme="majorBidi" w:hAnsiTheme="majorBidi" w:cstheme="majorBidi"/>
                  <w:color w:val="000000"/>
                  <w:sz w:val="18"/>
                  <w:szCs w:val="18"/>
                </w:rPr>
                <w:t>Rheumatoid Arthritis: Tolerance Induction by Mixed Chimerism</w:t>
              </w:r>
            </w:hyperlink>
          </w:p>
          <w:p w14:paraId="7A411EB7" w14:textId="77777777" w:rsidR="00FB75F3" w:rsidRPr="005718DE" w:rsidRDefault="00FB75F3" w:rsidP="00146AF9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1" w:type="pct"/>
            <w:hideMark/>
          </w:tcPr>
          <w:p w14:paraId="2F444473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540" w:type="pct"/>
            <w:hideMark/>
          </w:tcPr>
          <w:p w14:paraId="6902ADE4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02" w:type="pct"/>
            <w:hideMark/>
          </w:tcPr>
          <w:p w14:paraId="26D5F3EC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874" w:type="pct"/>
            <w:hideMark/>
          </w:tcPr>
          <w:p w14:paraId="78FB7461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No participant enrolled for three years due to termination of this study</w:t>
            </w:r>
          </w:p>
        </w:tc>
        <w:tc>
          <w:tcPr>
            <w:tcW w:w="384" w:type="pct"/>
            <w:hideMark/>
          </w:tcPr>
          <w:p w14:paraId="61ACB0A9" w14:textId="77777777" w:rsidR="00FB75F3" w:rsidRPr="005718DE" w:rsidRDefault="00FB75F3" w:rsidP="00146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(32)</w:t>
            </w:r>
          </w:p>
        </w:tc>
      </w:tr>
      <w:tr w:rsidR="00FB75F3" w:rsidRPr="005718DE" w14:paraId="51F69118" w14:textId="77777777" w:rsidTr="00FB7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hideMark/>
          </w:tcPr>
          <w:p w14:paraId="249DB0A3" w14:textId="77777777" w:rsidR="00FB75F3" w:rsidRPr="005718DE" w:rsidRDefault="00C91E62" w:rsidP="00146AF9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hyperlink r:id="rId7" w:history="1">
              <w:r w:rsidR="00FB75F3" w:rsidRPr="005718DE">
                <w:rPr>
                  <w:rFonts w:asciiTheme="majorBidi" w:hAnsiTheme="majorBidi" w:cstheme="majorBidi"/>
                  <w:color w:val="000000"/>
                  <w:sz w:val="18"/>
                  <w:szCs w:val="18"/>
                </w:rPr>
                <w:t>Stem Cell Support in Patients with Rheumatoid Arthritis</w:t>
              </w:r>
            </w:hyperlink>
          </w:p>
          <w:p w14:paraId="508E334F" w14:textId="77777777" w:rsidR="00FB75F3" w:rsidRPr="005718DE" w:rsidRDefault="00FB75F3" w:rsidP="00146AF9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611" w:type="pct"/>
            <w:hideMark/>
          </w:tcPr>
          <w:p w14:paraId="7A532C39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540" w:type="pct"/>
            <w:hideMark/>
          </w:tcPr>
          <w:p w14:paraId="63D46E55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02" w:type="pct"/>
            <w:hideMark/>
          </w:tcPr>
          <w:p w14:paraId="679994CF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4" w:type="pct"/>
            <w:hideMark/>
          </w:tcPr>
          <w:p w14:paraId="09EEB28D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4" w:type="pct"/>
            <w:hideMark/>
          </w:tcPr>
          <w:p w14:paraId="25448D89" w14:textId="77777777" w:rsidR="00FB75F3" w:rsidRPr="005718DE" w:rsidRDefault="00FB75F3" w:rsidP="00146A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718DE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(33)</w:t>
            </w:r>
          </w:p>
        </w:tc>
      </w:tr>
    </w:tbl>
    <w:p w14:paraId="53768C90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05FB3FF7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12D19D6E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0E914F5E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779E8AC8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183F1F5B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48A2B3E9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24DCC0EC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43E1D7F4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4A268AA6" w14:textId="77777777" w:rsidR="00FB75F3" w:rsidRPr="005718DE" w:rsidRDefault="00FB75F3" w:rsidP="00FB75F3">
      <w:pPr>
        <w:spacing w:after="160" w:line="259" w:lineRule="auto"/>
        <w:jc w:val="both"/>
        <w:rPr>
          <w:rFonts w:asciiTheme="majorBidi" w:hAnsiTheme="majorBidi" w:cstheme="majorBidi"/>
          <w:b/>
          <w:bCs/>
        </w:rPr>
      </w:pPr>
    </w:p>
    <w:p w14:paraId="31C8E7DA" w14:textId="77777777" w:rsidR="00FB75F3" w:rsidRDefault="00FB75F3"/>
    <w:sectPr w:rsidR="00FB7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6D"/>
    <w:rsid w:val="00816C6D"/>
    <w:rsid w:val="00C91E62"/>
    <w:rsid w:val="00E24569"/>
    <w:rsid w:val="00FB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4347A"/>
  <w15:chartTrackingRefBased/>
  <w15:docId w15:val="{9F5652AD-7CD3-4E6A-826E-086B9E4F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5F3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-Accent3">
    <w:name w:val="List Table 6 Colorful Accent 3"/>
    <w:basedOn w:val="TableNormal"/>
    <w:uiPriority w:val="51"/>
    <w:rsid w:val="00FB75F3"/>
    <w:pPr>
      <w:spacing w:after="0" w:line="240" w:lineRule="auto"/>
    </w:pPr>
    <w:rPr>
      <w:rFonts w:eastAsia="Times New Roman" w:cs="Times New Roman"/>
      <w:color w:val="7B7B7B" w:themeColor="accent3" w:themeShade="BF"/>
      <w:sz w:val="20"/>
      <w:szCs w:val="20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inicaltrials.gov/ct2/show/NCT00278551?term=transplantation&amp;cond=Rheumatoid+Arthritis&amp;draw=2&amp;rank=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inicaltrials.gov/ct2/show/NCT00282412?term=transplantation&amp;cond=Rheumatoid+Arthritis&amp;draw=2&amp;rank=5" TargetMode="External"/><Relationship Id="rId5" Type="http://schemas.openxmlformats.org/officeDocument/2006/relationships/hyperlink" Target="https://clinicaltrials.gov/ct2/show/NCT01873625?term=transplantation&amp;cond=Rheumatoid+Arthritis&amp;draw=2&amp;rank=1" TargetMode="External"/><Relationship Id="rId4" Type="http://schemas.openxmlformats.org/officeDocument/2006/relationships/hyperlink" Target="https://clinicaltrials.gov/ct2/show/NCT05003934?term=regenerative+medicine&amp;cond=Rheumatoid+Arthritis&amp;draw=2&amp;rank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672</Words>
  <Characters>3948</Characters>
  <Application>Microsoft Office Word</Application>
  <DocSecurity>0</DocSecurity>
  <Lines>438</Lines>
  <Paragraphs>271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TJ</dc:creator>
  <cp:keywords/>
  <dc:description/>
  <cp:lastModifiedBy>leila</cp:lastModifiedBy>
  <cp:revision>2</cp:revision>
  <dcterms:created xsi:type="dcterms:W3CDTF">2024-06-04T06:13:00Z</dcterms:created>
  <dcterms:modified xsi:type="dcterms:W3CDTF">2024-06-04T06:13:00Z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1162adb6433a547c23f03de33de0e53ac689401e7c417a52749d1624f71c1356</vt:lpwstr>
  </property>
</Properties>
</file>