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336A" w14:textId="77777777" w:rsidR="00B23A17" w:rsidRDefault="00B23A17" w:rsidP="00B23A17">
      <w:pPr>
        <w:spacing w:line="360" w:lineRule="auto"/>
        <w:rPr>
          <w:rFonts w:ascii="Arial Unicode MS" w:hAnsi="Arial Unicode MS" w:cs="Arial Unicode MS"/>
        </w:rPr>
      </w:pPr>
      <w:bookmarkStart w:id="0" w:name="[IMAGE-Fig2_Print.jpeg]"/>
      <w:r>
        <w:rPr>
          <w:noProof/>
        </w:rPr>
        <w:drawing>
          <wp:inline distT="0" distB="0" distL="0" distR="0" wp14:anchorId="20A2F774" wp14:editId="26FBDEEE">
            <wp:extent cx="5274310" cy="3858260"/>
            <wp:effectExtent l="0" t="0" r="1397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F7C5A5A" w14:textId="77777777" w:rsidR="00B23A17" w:rsidRDefault="00B23A17" w:rsidP="00B23A17">
      <w:pPr>
        <w:rPr>
          <w:rFonts w:ascii="Arial Unicode MS" w:hAnsi="Arial Unicode MS" w:cs="Arial Unicode MS"/>
        </w:rPr>
      </w:pPr>
      <w:r>
        <w:rPr>
          <w:rFonts w:ascii="Arial Unicode MS" w:cs="Arial Unicode MS" w:hint="eastAsia"/>
        </w:rPr>
        <w:t>Fig. S1</w:t>
      </w:r>
      <w:r>
        <w:rPr>
          <w:rFonts w:ascii="Arial Unicode MS" w:cs="Arial Unicode MS"/>
        </w:rPr>
        <w:t xml:space="preserve"> </w:t>
      </w:r>
      <w:r>
        <w:rPr>
          <w:rFonts w:ascii="Arial Unicode MS" w:cs="Arial Unicode MS" w:hint="eastAsia"/>
        </w:rPr>
        <w:t xml:space="preserve">Expression and characterization of surface markers on human umbilical cord mesenchymal stromal cells (hUC-MSCs). At passage 3, hUC-MSCs were analyzed </w:t>
      </w:r>
      <w:r>
        <w:rPr>
          <w:rFonts w:ascii="Arial Unicode MS" w:cs="Arial Unicode MS"/>
        </w:rPr>
        <w:t>via</w:t>
      </w:r>
      <w:r>
        <w:rPr>
          <w:rFonts w:ascii="Arial Unicode MS" w:cs="Arial Unicode MS" w:hint="eastAsia"/>
        </w:rPr>
        <w:t xml:space="preserve"> flow cytometry, and their osteogenic and adipogenic differentiation capabilities were assessed </w:t>
      </w:r>
      <w:r>
        <w:rPr>
          <w:rFonts w:ascii="Arial Unicode MS" w:cs="Arial Unicode MS"/>
        </w:rPr>
        <w:t>via</w:t>
      </w:r>
      <w:r>
        <w:rPr>
          <w:rFonts w:ascii="Arial Unicode MS" w:cs="Arial Unicode MS" w:hint="eastAsia"/>
        </w:rPr>
        <w:t xml:space="preserve"> Alizarin red and Oil Red O </w:t>
      </w:r>
      <w:r>
        <w:rPr>
          <w:rFonts w:ascii="Arial Unicode MS" w:cs="Arial Unicode MS"/>
        </w:rPr>
        <w:t xml:space="preserve">staining. </w:t>
      </w:r>
      <w:r>
        <w:rPr>
          <w:rFonts w:ascii="Arial Unicode MS" w:cs="Arial Unicode MS" w:hint="eastAsia"/>
        </w:rPr>
        <w:t xml:space="preserve">Flow cytometry was used to analyze surface markers (A. CD73, B. CD90, C. CD105, D. CD11b, E. CD19, F. CD34, G. CD45, H. HLA-DR), I. MSCs with a fibroblast-like appearance. J. Osteogenic differentiation </w:t>
      </w:r>
      <w:r>
        <w:rPr>
          <w:rFonts w:ascii="Arial Unicode MS" w:cs="Arial Unicode MS"/>
        </w:rPr>
        <w:t xml:space="preserve">was </w:t>
      </w:r>
      <w:r>
        <w:rPr>
          <w:rFonts w:ascii="Arial Unicode MS" w:cs="Arial Unicode MS" w:hint="eastAsia"/>
        </w:rPr>
        <w:t xml:space="preserve">identified by Alizarin red staining, and K. Adipogenic differentiation </w:t>
      </w:r>
      <w:r>
        <w:rPr>
          <w:rFonts w:ascii="Arial Unicode MS" w:cs="Arial Unicode MS"/>
        </w:rPr>
        <w:t xml:space="preserve">was </w:t>
      </w:r>
      <w:r>
        <w:rPr>
          <w:rFonts w:ascii="Arial Unicode MS" w:cs="Arial Unicode MS" w:hint="eastAsia"/>
        </w:rPr>
        <w:t>detected by Oil Red O staining.</w:t>
      </w:r>
    </w:p>
    <w:p w14:paraId="2DE68E8B" w14:textId="3FD97C28" w:rsidR="009E7F31" w:rsidRDefault="009E7F31" w:rsidP="009E7F31">
      <w:pPr>
        <w:pStyle w:val="NormalWeb"/>
      </w:pPr>
      <w:r>
        <w:rPr>
          <w:noProof/>
        </w:rPr>
        <w:drawing>
          <wp:inline distT="0" distB="0" distL="0" distR="0" wp14:anchorId="3663CE1A" wp14:editId="30B8E297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30CC" w14:textId="1F67270B" w:rsidR="00B23A17" w:rsidRDefault="009E7F31">
      <w:r>
        <w:lastRenderedPageBreak/>
        <w:t>Fig. S2</w:t>
      </w:r>
    </w:p>
    <w:p w14:paraId="15993CDF" w14:textId="77777777" w:rsidR="00B23A17" w:rsidRDefault="00B23A17" w:rsidP="00B23A17">
      <w:pPr>
        <w:widowControl w:val="0"/>
        <w:spacing w:beforeAutospacing="1" w:afterAutospacing="1" w:line="360" w:lineRule="auto"/>
        <w:rPr>
          <w:rFonts w:eastAsiaTheme="minorEastAsia" w:cs="Arial Unicode MS"/>
          <w:lang w:eastAsia="zh-CN"/>
        </w:rPr>
      </w:pPr>
      <w:bookmarkStart w:id="1" w:name="[IMAGE-Fig7_Print.jpeg]"/>
      <w:r>
        <w:rPr>
          <w:rFonts w:ascii="Arial Unicode MS" w:eastAsiaTheme="minorEastAsia" w:cs="Arial Unicode MS" w:hint="eastAsia"/>
          <w:noProof/>
          <w:lang w:eastAsia="zh-CN"/>
        </w:rPr>
        <w:drawing>
          <wp:inline distT="0" distB="0" distL="114300" distR="114300" wp14:anchorId="31E7416E" wp14:editId="0FC5F56D">
            <wp:extent cx="4672330" cy="3718560"/>
            <wp:effectExtent l="0" t="0" r="6350" b="0"/>
            <wp:docPr id="10" name="图片 10" descr="supplemental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l fig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32C104F0" w14:textId="77777777" w:rsidR="00B23A17" w:rsidRDefault="00B23A17" w:rsidP="00B23A17">
      <w:pPr>
        <w:widowControl w:val="0"/>
        <w:spacing w:beforeAutospacing="1" w:afterAutospacing="1" w:line="360" w:lineRule="auto"/>
        <w:rPr>
          <w:rFonts w:eastAsiaTheme="minorEastAsia" w:cs="Arial Unicode MS"/>
          <w:lang w:eastAsia="zh-CN"/>
        </w:rPr>
      </w:pPr>
      <w:r>
        <w:rPr>
          <w:rFonts w:ascii="Arial Unicode MS" w:eastAsiaTheme="minorEastAsia" w:cs="Arial Unicode MS" w:hint="eastAsia"/>
          <w:lang w:eastAsia="zh-CN"/>
        </w:rPr>
        <w:t>Fig. S</w:t>
      </w:r>
      <w:r>
        <w:rPr>
          <w:rFonts w:ascii="Arial Unicode MS" w:cs="Arial Unicode MS" w:hint="eastAsia"/>
          <w:lang w:eastAsia="zh-CN"/>
        </w:rPr>
        <w:t>3 Pearson’s rank correlation analysis was conducted on the top 10 enriched bacterial genera and therapeutic outcomes (AST and ALT). The heatmap illustrates a close association between microbial taxa and clinical indicators (AST and ALT). Colors represent the Pearson rank correlation coefficients, with red indicating a positive correlation and blue indicating a negative correlation. Additionally, *P &lt; 0.05 and **P &lt; 0.01 indicate statistically significant differences between bacterial taxa and therapeutic outcomes.</w:t>
      </w:r>
    </w:p>
    <w:p w14:paraId="3DAF9FFB" w14:textId="77777777" w:rsidR="00B23A17" w:rsidRDefault="00B23A17"/>
    <w:sectPr w:rsidR="00B23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17"/>
    <w:rsid w:val="005B3CD9"/>
    <w:rsid w:val="009E7F31"/>
    <w:rsid w:val="00B2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4754"/>
  <w15:chartTrackingRefBased/>
  <w15:docId w15:val="{65AEC181-9665-4B1E-9CAF-8551FB80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A17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7F31"/>
    <w:pPr>
      <w:spacing w:before="100" w:beforeAutospacing="1" w:after="100" w:afterAutospacing="1"/>
    </w:pPr>
    <w:rPr>
      <w:rFonts w:eastAsia="Times New Roman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jpe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Ramakrishnan Senthamarai (Integra)</dc:creator>
  <cp:keywords/>
  <dc:description/>
  <cp:lastModifiedBy>Ramakrishnan Senthamarai (Integra)</cp:lastModifiedBy>
  <cp:revision>2</cp:revision>
  <dcterms:created xsi:type="dcterms:W3CDTF">2024-10-26T07:20:00Z</dcterms:created>
  <dcterms:modified xsi:type="dcterms:W3CDTF">2024-10-26T08:16:00Z</dcterms:modified>
</cp:coreProperties>
</file>