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129665" w14:textId="77777777" w:rsidR="001D6BA3" w:rsidRDefault="001D6BA3" w:rsidP="001D6BA3">
      <w:pPr>
        <w:pStyle w:val="MDPI21heading1"/>
        <w:rPr>
          <w:rFonts w:eastAsia="SimSun"/>
          <w:lang w:eastAsia="zh-CN"/>
        </w:rPr>
      </w:pPr>
      <w:r>
        <w:rPr>
          <w:rFonts w:hint="eastAsia"/>
        </w:rPr>
        <w:t>Supplementary</w:t>
      </w:r>
      <w:r>
        <w:rPr>
          <w:rFonts w:eastAsia="SimSun" w:hint="eastAsia"/>
          <w:lang w:eastAsia="zh-CN"/>
        </w:rPr>
        <w:t xml:space="preserve"> </w:t>
      </w:r>
    </w:p>
    <w:p w14:paraId="43208685" w14:textId="77777777" w:rsidR="001D6BA3" w:rsidRDefault="001D6BA3" w:rsidP="001D6BA3">
      <w:pPr>
        <w:pStyle w:val="MDPI21heading1"/>
        <w:rPr>
          <w:rFonts w:eastAsia="SimSun"/>
          <w:lang w:eastAsia="zh-CN"/>
        </w:rPr>
      </w:pPr>
      <w:r>
        <w:rPr>
          <w:rFonts w:eastAsia="SimSun" w:hint="eastAsia"/>
          <w:noProof/>
          <w:lang w:eastAsia="zh-CN"/>
        </w:rPr>
        <w:drawing>
          <wp:inline distT="0" distB="0" distL="114300" distR="114300" wp14:anchorId="118B2A4C" wp14:editId="22E2550B">
            <wp:extent cx="5268595" cy="3439160"/>
            <wp:effectExtent l="0" t="0" r="8255" b="8890"/>
            <wp:docPr id="11" name="图片 11" descr="Supplementary Fig. 1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Supplementary Fig. 1-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3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57076" w14:textId="77777777" w:rsidR="001D6BA3" w:rsidRDefault="001D6BA3" w:rsidP="001D6BA3">
      <w:pPr>
        <w:pStyle w:val="MDPI21heading1"/>
        <w:ind w:firstLineChars="0" w:firstLine="0"/>
        <w:rPr>
          <w:i/>
          <w:iCs/>
        </w:rPr>
      </w:pPr>
      <w:r>
        <w:rPr>
          <w:rFonts w:hint="eastAsia"/>
          <w:b/>
          <w:bCs w:val="0"/>
          <w:i/>
          <w:iCs/>
        </w:rPr>
        <w:t>Supplementary Fig</w:t>
      </w:r>
      <w:r>
        <w:rPr>
          <w:rFonts w:eastAsia="SimSun" w:hint="eastAsia"/>
          <w:b/>
          <w:bCs w:val="0"/>
          <w:i/>
          <w:iCs/>
          <w:lang w:eastAsia="zh-CN"/>
        </w:rPr>
        <w:t>ure</w:t>
      </w:r>
      <w:r>
        <w:rPr>
          <w:rFonts w:hint="eastAsia"/>
          <w:b/>
          <w:bCs w:val="0"/>
          <w:i/>
          <w:iCs/>
        </w:rPr>
        <w:t>1.</w:t>
      </w:r>
      <w:r>
        <w:rPr>
          <w:rFonts w:eastAsia="SimSun" w:hint="eastAsia"/>
          <w:i/>
          <w:iCs/>
        </w:rPr>
        <w:t xml:space="preserve"> </w:t>
      </w:r>
      <w:r>
        <w:rPr>
          <w:rFonts w:hint="eastAsia"/>
          <w:i/>
          <w:iCs/>
        </w:rPr>
        <w:t>Cultivation and assessment of differentiation potential of mesenchymal stem cells. (</w:t>
      </w:r>
      <w:r>
        <w:rPr>
          <w:rFonts w:hint="eastAsia"/>
          <w:b/>
          <w:bCs w:val="0"/>
          <w:i/>
          <w:iCs/>
        </w:rPr>
        <w:t>a</w:t>
      </w:r>
      <w:r>
        <w:rPr>
          <w:rFonts w:hint="eastAsia"/>
          <w:i/>
          <w:iCs/>
        </w:rPr>
        <w:t>) BMSCs originating from acute myeloid leukemia patients, cultured for 10 days, illustration of cell morphology by phase-contrast images. (</w:t>
      </w:r>
      <w:r>
        <w:rPr>
          <w:rFonts w:hint="eastAsia"/>
          <w:b/>
          <w:bCs w:val="0"/>
          <w:i/>
          <w:iCs/>
        </w:rPr>
        <w:t>b</w:t>
      </w:r>
      <w:r>
        <w:rPr>
          <w:rFonts w:hint="eastAsia"/>
          <w:i/>
          <w:iCs/>
        </w:rPr>
        <w:t>) The third generation BMSCs differentiated into osteoblasts, adipocytes, and chondroblasts for 15, 18, and 21 days. Differentiated cells were then stained with the classical dyes: Alizarin Red S for osteoblasts, Oil Red O for adipocytes, and Alcian Blue for chondroblasts. The images were acquired using a phase-contrast microscope magnification ×100. Scale bar: 100 µm.</w:t>
      </w:r>
    </w:p>
    <w:p w14:paraId="04483809" w14:textId="77777777" w:rsidR="001D6BA3" w:rsidRDefault="001D6BA3" w:rsidP="001D6BA3">
      <w:pPr>
        <w:pStyle w:val="MDPI21heading1"/>
        <w:ind w:firstLineChars="0" w:firstLine="0"/>
        <w:rPr>
          <w:rFonts w:eastAsia="SimSun"/>
          <w:lang w:eastAsia="zh-CN"/>
        </w:rPr>
      </w:pPr>
      <w:r>
        <w:rPr>
          <w:rFonts w:eastAsia="SimSun"/>
          <w:noProof/>
          <w:lang w:eastAsia="zh-CN"/>
        </w:rPr>
        <w:drawing>
          <wp:inline distT="0" distB="0" distL="114300" distR="114300" wp14:anchorId="5FE539A5" wp14:editId="77E1670C">
            <wp:extent cx="5268595" cy="1427480"/>
            <wp:effectExtent l="0" t="0" r="8255" b="1270"/>
            <wp:docPr id="3" name="图片 3" descr="补充图2--免疫荧光+WB灰度值数据-20241106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补充图2--免疫荧光+WB灰度值数据-20241106_画板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42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A6A97" w14:textId="77777777" w:rsidR="001D6BA3" w:rsidRDefault="001D6BA3" w:rsidP="001D6BA3">
      <w:pPr>
        <w:pStyle w:val="MDPI21heading1"/>
        <w:ind w:firstLineChars="0" w:firstLine="0"/>
        <w:rPr>
          <w:i/>
          <w:iCs/>
        </w:rPr>
      </w:pPr>
      <w:r>
        <w:rPr>
          <w:rFonts w:hint="eastAsia"/>
          <w:b/>
          <w:bCs w:val="0"/>
          <w:i/>
          <w:iCs/>
        </w:rPr>
        <w:t>Supplementary Fig</w:t>
      </w:r>
      <w:r>
        <w:rPr>
          <w:rFonts w:eastAsia="SimSun" w:hint="eastAsia"/>
          <w:b/>
          <w:bCs w:val="0"/>
          <w:i/>
          <w:iCs/>
          <w:lang w:eastAsia="zh-CN"/>
        </w:rPr>
        <w:t>ure</w:t>
      </w:r>
      <w:r>
        <w:rPr>
          <w:rFonts w:eastAsia="SimSun" w:hint="eastAsia"/>
          <w:b/>
          <w:bCs w:val="0"/>
          <w:i/>
          <w:iCs/>
        </w:rPr>
        <w:t>2</w:t>
      </w:r>
      <w:r>
        <w:rPr>
          <w:rFonts w:hint="eastAsia"/>
          <w:b/>
          <w:bCs w:val="0"/>
          <w:i/>
          <w:iCs/>
        </w:rPr>
        <w:t>.</w:t>
      </w:r>
      <w:r>
        <w:rPr>
          <w:rFonts w:eastAsia="SimSun" w:hint="eastAsia"/>
          <w:i/>
          <w:iCs/>
        </w:rPr>
        <w:t xml:space="preserve"> </w:t>
      </w:r>
      <w:r>
        <w:rPr>
          <w:rFonts w:hint="eastAsia"/>
          <w:i/>
          <w:iCs/>
        </w:rPr>
        <w:t>Overexpression of CX43 in BMSCs. (</w:t>
      </w:r>
      <w:r>
        <w:rPr>
          <w:rFonts w:hint="eastAsia"/>
          <w:b/>
          <w:bCs w:val="0"/>
          <w:i/>
          <w:iCs/>
        </w:rPr>
        <w:t>a</w:t>
      </w:r>
      <w:r>
        <w:rPr>
          <w:rFonts w:hint="eastAsia"/>
          <w:i/>
          <w:iCs/>
        </w:rPr>
        <w:t>) Detection of CX43 immunofluorescence expression in BMSC cells transfected with CX43 overexpressing lentivirus, or not. (</w:t>
      </w:r>
      <w:r>
        <w:rPr>
          <w:rFonts w:hint="eastAsia"/>
          <w:b/>
          <w:bCs w:val="0"/>
          <w:i/>
          <w:iCs/>
        </w:rPr>
        <w:t>b</w:t>
      </w:r>
      <w:r>
        <w:rPr>
          <w:rFonts w:hint="eastAsia"/>
          <w:i/>
          <w:iCs/>
        </w:rPr>
        <w:t xml:space="preserve">) Detection of CX43 protein expression in BMSC cells transfected with CX43 overexpressing lentivirus, or not. Values are presented as mean ± SD (n=3). Significant differences (**P&lt;0.01) compared with the Control group and the EV group. </w:t>
      </w:r>
    </w:p>
    <w:p w14:paraId="7BF7FAF8" w14:textId="77777777" w:rsidR="001D6BA3" w:rsidRDefault="001D6BA3" w:rsidP="001D6BA3">
      <w:pPr>
        <w:pStyle w:val="MDPI21heading1"/>
        <w:rPr>
          <w:rFonts w:eastAsia="SimSun"/>
          <w:lang w:eastAsia="zh-CN"/>
        </w:rPr>
      </w:pPr>
      <w:r>
        <w:rPr>
          <w:rFonts w:eastAsia="SimSun"/>
          <w:noProof/>
          <w:lang w:eastAsia="zh-CN"/>
        </w:rPr>
        <w:lastRenderedPageBreak/>
        <w:drawing>
          <wp:inline distT="0" distB="0" distL="114300" distR="114300" wp14:anchorId="1D3B3E15" wp14:editId="04C975E3">
            <wp:extent cx="5268595" cy="1838960"/>
            <wp:effectExtent l="0" t="0" r="8255" b="8890"/>
            <wp:docPr id="4" name="图片 4" descr="补充图3-VCR-cck8检测细胞活力-20241106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补充图3-VCR-cck8检测细胞活力-20241106_画板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83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3ED4F" w14:textId="77777777" w:rsidR="001D6BA3" w:rsidRDefault="001D6BA3" w:rsidP="001D6BA3">
      <w:pPr>
        <w:adjustRightInd w:val="0"/>
        <w:snapToGrid w:val="0"/>
        <w:spacing w:before="240" w:after="60" w:line="228" w:lineRule="auto"/>
        <w:rPr>
          <w:rFonts w:eastAsia="Times New Roman"/>
          <w:bCs/>
          <w:i/>
          <w:iCs/>
          <w:snapToGrid w:val="0"/>
          <w:szCs w:val="22"/>
          <w:lang w:bidi="en-US"/>
        </w:rPr>
      </w:pPr>
      <w:r>
        <w:rPr>
          <w:rFonts w:hint="eastAsia"/>
          <w:b/>
          <w:bCs/>
          <w:i/>
          <w:iCs/>
          <w:lang w:eastAsia="de-DE"/>
        </w:rPr>
        <w:t>Supplementary Fig</w:t>
      </w:r>
      <w:r>
        <w:rPr>
          <w:rFonts w:hint="eastAsia"/>
          <w:b/>
          <w:bCs/>
          <w:i/>
          <w:iCs/>
        </w:rPr>
        <w:t>ure3</w:t>
      </w:r>
      <w:r>
        <w:rPr>
          <w:rFonts w:hint="eastAsia"/>
          <w:b/>
          <w:bCs/>
          <w:i/>
          <w:iCs/>
          <w:lang w:eastAsia="de-DE"/>
        </w:rPr>
        <w:t>.</w:t>
      </w:r>
      <w:r>
        <w:rPr>
          <w:rFonts w:eastAsia="Times New Roman" w:hint="eastAsia"/>
          <w:b/>
          <w:bCs/>
          <w:i/>
          <w:iCs/>
          <w:snapToGrid w:val="0"/>
          <w:szCs w:val="22"/>
          <w:lang w:bidi="en-US"/>
        </w:rPr>
        <w:t xml:space="preserve"> </w:t>
      </w:r>
      <w:r>
        <w:rPr>
          <w:rFonts w:eastAsia="Times New Roman" w:hint="eastAsia"/>
          <w:bCs/>
          <w:i/>
          <w:iCs/>
          <w:snapToGrid w:val="0"/>
          <w:szCs w:val="22"/>
          <w:lang w:bidi="en-US"/>
        </w:rPr>
        <w:t xml:space="preserve">Determination of the Optimal Concentration of </w:t>
      </w:r>
      <w:proofErr w:type="spellStart"/>
      <w:r>
        <w:rPr>
          <w:rFonts w:eastAsia="Times New Roman" w:hint="eastAsia"/>
          <w:bCs/>
          <w:i/>
          <w:iCs/>
          <w:snapToGrid w:val="0"/>
          <w:szCs w:val="22"/>
          <w:lang w:bidi="en-US"/>
        </w:rPr>
        <w:t>Changchunxin</w:t>
      </w:r>
      <w:proofErr w:type="spellEnd"/>
      <w:r>
        <w:rPr>
          <w:rFonts w:eastAsia="Times New Roman" w:hint="eastAsia"/>
          <w:bCs/>
          <w:i/>
          <w:iCs/>
          <w:snapToGrid w:val="0"/>
          <w:szCs w:val="22"/>
          <w:lang w:bidi="en-US"/>
        </w:rPr>
        <w:t xml:space="preserve"> Alkaloid using CCK-8 Assay. (</w:t>
      </w:r>
      <w:r>
        <w:rPr>
          <w:rFonts w:eastAsia="Times New Roman" w:hint="eastAsia"/>
          <w:b/>
          <w:i/>
          <w:iCs/>
          <w:snapToGrid w:val="0"/>
          <w:szCs w:val="22"/>
          <w:lang w:bidi="en-US"/>
        </w:rPr>
        <w:t>a</w:t>
      </w:r>
      <w:r>
        <w:rPr>
          <w:rFonts w:eastAsia="Times New Roman" w:hint="eastAsia"/>
          <w:bCs/>
          <w:i/>
          <w:iCs/>
          <w:snapToGrid w:val="0"/>
          <w:szCs w:val="22"/>
          <w:lang w:bidi="en-US"/>
        </w:rPr>
        <w:t>) Representative images of BMSC cells treated with various concentrations of vincristine for 48 hours. (</w:t>
      </w:r>
      <w:r>
        <w:rPr>
          <w:rFonts w:eastAsia="Times New Roman" w:hint="eastAsia"/>
          <w:b/>
          <w:i/>
          <w:iCs/>
          <w:snapToGrid w:val="0"/>
          <w:szCs w:val="22"/>
          <w:lang w:bidi="en-US"/>
        </w:rPr>
        <w:t>b</w:t>
      </w:r>
      <w:r>
        <w:rPr>
          <w:rFonts w:eastAsia="Times New Roman" w:hint="eastAsia"/>
          <w:bCs/>
          <w:i/>
          <w:iCs/>
          <w:snapToGrid w:val="0"/>
          <w:szCs w:val="22"/>
          <w:lang w:bidi="en-US"/>
        </w:rPr>
        <w:t xml:space="preserve">) A CCK8 assay was </w:t>
      </w:r>
      <w:proofErr w:type="gramStart"/>
      <w:r>
        <w:rPr>
          <w:rFonts w:eastAsia="Times New Roman" w:hint="eastAsia"/>
          <w:bCs/>
          <w:i/>
          <w:iCs/>
          <w:snapToGrid w:val="0"/>
          <w:szCs w:val="22"/>
          <w:lang w:bidi="en-US"/>
        </w:rPr>
        <w:t>conducted</w:t>
      </w:r>
      <w:proofErr w:type="gramEnd"/>
      <w:r>
        <w:rPr>
          <w:rFonts w:eastAsia="Times New Roman" w:hint="eastAsia"/>
          <w:bCs/>
          <w:i/>
          <w:iCs/>
          <w:snapToGrid w:val="0"/>
          <w:szCs w:val="22"/>
          <w:lang w:bidi="en-US"/>
        </w:rPr>
        <w:t xml:space="preserve"> and cell viability was ascertained through absorbance measurement at 450 nm. </w:t>
      </w:r>
    </w:p>
    <w:p w14:paraId="5B93DB38" w14:textId="77777777" w:rsidR="001D6BA3" w:rsidRDefault="001D6BA3" w:rsidP="001D6BA3">
      <w:pPr>
        <w:pStyle w:val="MDPI21heading1"/>
        <w:ind w:firstLineChars="0" w:firstLine="0"/>
        <w:rPr>
          <w:rFonts w:eastAsia="SimSun"/>
          <w:lang w:eastAsia="zh-CN"/>
        </w:rPr>
      </w:pPr>
      <w:r>
        <w:rPr>
          <w:rFonts w:eastAsia="SimSun" w:hint="eastAsia"/>
          <w:noProof/>
          <w:lang w:eastAsia="zh-CN"/>
        </w:rPr>
        <w:drawing>
          <wp:inline distT="0" distB="0" distL="114300" distR="114300" wp14:anchorId="3FBC392A" wp14:editId="32E9E6D6">
            <wp:extent cx="5268595" cy="2728595"/>
            <wp:effectExtent l="0" t="0" r="8255" b="14605"/>
            <wp:docPr id="14" name="图片 14" descr="Supplementary Fig.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Supplementary Fig.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2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37DC3" w14:textId="524DE65C" w:rsidR="002A4106" w:rsidRDefault="001D6BA3" w:rsidP="001D6BA3">
      <w:r>
        <w:rPr>
          <w:rFonts w:hint="eastAsia"/>
          <w:b/>
          <w:bCs/>
          <w:i/>
          <w:iCs/>
          <w:lang w:eastAsia="de-DE"/>
        </w:rPr>
        <w:t>Supplementary Fig</w:t>
      </w:r>
      <w:r>
        <w:rPr>
          <w:rFonts w:hint="eastAsia"/>
          <w:b/>
          <w:bCs/>
          <w:i/>
          <w:iCs/>
        </w:rPr>
        <w:t>ure4</w:t>
      </w:r>
      <w:r>
        <w:rPr>
          <w:rFonts w:hint="eastAsia"/>
          <w:b/>
          <w:bCs/>
          <w:i/>
          <w:iCs/>
          <w:lang w:eastAsia="de-DE"/>
        </w:rPr>
        <w:t>.</w:t>
      </w:r>
      <w:r>
        <w:rPr>
          <w:rFonts w:eastAsia="Times New Roman" w:hint="eastAsia"/>
          <w:b/>
          <w:bCs/>
          <w:i/>
          <w:iCs/>
          <w:snapToGrid w:val="0"/>
          <w:szCs w:val="22"/>
          <w:lang w:bidi="en-US"/>
        </w:rPr>
        <w:t xml:space="preserve"> </w:t>
      </w:r>
      <w:r>
        <w:rPr>
          <w:rFonts w:eastAsia="Times New Roman" w:hint="eastAsia"/>
          <w:bCs/>
          <w:i/>
          <w:iCs/>
          <w:snapToGrid w:val="0"/>
          <w:szCs w:val="22"/>
          <w:lang w:bidi="en-US"/>
        </w:rPr>
        <w:t>I</w:t>
      </w:r>
      <w:r>
        <w:rPr>
          <w:rFonts w:eastAsia="Times New Roman" w:hint="eastAsia"/>
          <w:bCs/>
          <w:i/>
          <w:snapToGrid w:val="0"/>
          <w:szCs w:val="22"/>
          <w:lang w:bidi="en-US"/>
        </w:rPr>
        <w:t xml:space="preserve">nfluence of coculture system and </w:t>
      </w:r>
      <w:proofErr w:type="spellStart"/>
      <w:r>
        <w:rPr>
          <w:rFonts w:eastAsia="Times New Roman" w:hint="eastAsia"/>
          <w:bCs/>
          <w:i/>
          <w:snapToGrid w:val="0"/>
          <w:szCs w:val="22"/>
          <w:lang w:bidi="en-US"/>
        </w:rPr>
        <w:t>transwell</w:t>
      </w:r>
      <w:proofErr w:type="spellEnd"/>
      <w:r>
        <w:rPr>
          <w:rFonts w:eastAsia="Times New Roman" w:hint="eastAsia"/>
          <w:bCs/>
          <w:i/>
          <w:snapToGrid w:val="0"/>
          <w:szCs w:val="22"/>
          <w:lang w:bidi="en-US"/>
        </w:rPr>
        <w:t xml:space="preserve"> culture system on mitochondrial transfer mechanisms.</w:t>
      </w:r>
      <w:r>
        <w:rPr>
          <w:rFonts w:eastAsia="Times New Roman" w:hint="eastAsia"/>
          <w:bCs/>
          <w:iCs/>
          <w:snapToGrid w:val="0"/>
          <w:szCs w:val="22"/>
          <w:lang w:bidi="en-US"/>
        </w:rPr>
        <w:t xml:space="preserve"> </w:t>
      </w:r>
      <w:r>
        <w:rPr>
          <w:rFonts w:eastAsia="Times New Roman" w:hint="eastAsia"/>
          <w:bCs/>
          <w:i/>
          <w:snapToGrid w:val="0"/>
          <w:szCs w:val="22"/>
          <w:lang w:bidi="en-US"/>
        </w:rPr>
        <w:t>(</w:t>
      </w:r>
      <w:r>
        <w:rPr>
          <w:rFonts w:eastAsia="Times New Roman" w:hint="eastAsia"/>
          <w:b/>
          <w:i/>
          <w:snapToGrid w:val="0"/>
          <w:szCs w:val="22"/>
          <w:lang w:bidi="en-US"/>
        </w:rPr>
        <w:t>a</w:t>
      </w:r>
      <w:r>
        <w:rPr>
          <w:rFonts w:eastAsia="Times New Roman" w:hint="eastAsia"/>
          <w:bCs/>
          <w:i/>
          <w:snapToGrid w:val="0"/>
          <w:szCs w:val="22"/>
          <w:lang w:bidi="en-US"/>
        </w:rPr>
        <w:t>) Typical confocal microscopy images of KG-1a cells and BMSCs incubated for 48 hours in a co-culture system with 10% serum. (</w:t>
      </w:r>
      <w:r>
        <w:rPr>
          <w:rFonts w:eastAsia="Times New Roman" w:hint="eastAsia"/>
          <w:b/>
          <w:i/>
          <w:snapToGrid w:val="0"/>
          <w:szCs w:val="22"/>
          <w:lang w:bidi="en-US"/>
        </w:rPr>
        <w:t>b</w:t>
      </w:r>
      <w:r>
        <w:rPr>
          <w:rFonts w:eastAsia="Times New Roman" w:hint="eastAsia"/>
          <w:bCs/>
          <w:i/>
          <w:snapToGrid w:val="0"/>
          <w:szCs w:val="22"/>
          <w:lang w:bidi="en-US"/>
        </w:rPr>
        <w:t xml:space="preserve">) The Average fluorescence intensity of KG-1a cells after cocultured with BMSCs in a 10% serum co-culture </w:t>
      </w:r>
      <w:proofErr w:type="spellStart"/>
      <w:r>
        <w:rPr>
          <w:rFonts w:eastAsia="Times New Roman" w:hint="eastAsia"/>
          <w:bCs/>
          <w:i/>
          <w:snapToGrid w:val="0"/>
          <w:szCs w:val="22"/>
          <w:lang w:bidi="en-US"/>
        </w:rPr>
        <w:t>systemfor</w:t>
      </w:r>
      <w:proofErr w:type="spellEnd"/>
      <w:r>
        <w:rPr>
          <w:rFonts w:eastAsia="Times New Roman" w:hint="eastAsia"/>
          <w:bCs/>
          <w:i/>
          <w:snapToGrid w:val="0"/>
          <w:szCs w:val="22"/>
          <w:lang w:bidi="en-US"/>
        </w:rPr>
        <w:t xml:space="preserve"> 48 hours. (</w:t>
      </w:r>
      <w:r>
        <w:rPr>
          <w:rFonts w:eastAsia="Times New Roman" w:hint="eastAsia"/>
          <w:b/>
          <w:i/>
          <w:snapToGrid w:val="0"/>
          <w:szCs w:val="22"/>
          <w:lang w:bidi="en-US"/>
        </w:rPr>
        <w:t>c</w:t>
      </w:r>
      <w:r>
        <w:rPr>
          <w:rFonts w:eastAsia="Times New Roman" w:hint="eastAsia"/>
          <w:bCs/>
          <w:i/>
          <w:snapToGrid w:val="0"/>
          <w:szCs w:val="22"/>
          <w:lang w:bidi="en-US"/>
        </w:rPr>
        <w:t xml:space="preserve">) Typical confocal microscopy images of KG-1a cells and BMSCs incubated for 48 hours in a serum-free </w:t>
      </w:r>
      <w:proofErr w:type="spellStart"/>
      <w:r>
        <w:rPr>
          <w:rFonts w:eastAsia="Times New Roman" w:hint="eastAsia"/>
          <w:bCs/>
          <w:i/>
          <w:snapToGrid w:val="0"/>
          <w:szCs w:val="22"/>
          <w:lang w:bidi="en-US"/>
        </w:rPr>
        <w:t>transwell</w:t>
      </w:r>
      <w:proofErr w:type="spellEnd"/>
      <w:r>
        <w:rPr>
          <w:rFonts w:eastAsia="Times New Roman" w:hint="eastAsia"/>
          <w:bCs/>
          <w:i/>
          <w:snapToGrid w:val="0"/>
          <w:szCs w:val="22"/>
          <w:lang w:bidi="en-US"/>
        </w:rPr>
        <w:t xml:space="preserve"> co-culture system. BMSCs were previously labeled with </w:t>
      </w:r>
      <w:proofErr w:type="spellStart"/>
      <w:r>
        <w:rPr>
          <w:rFonts w:eastAsia="Times New Roman" w:hint="eastAsia"/>
          <w:bCs/>
          <w:i/>
          <w:snapToGrid w:val="0"/>
          <w:szCs w:val="22"/>
          <w:lang w:bidi="en-US"/>
        </w:rPr>
        <w:t>Mitotracker</w:t>
      </w:r>
      <w:proofErr w:type="spellEnd"/>
      <w:r>
        <w:rPr>
          <w:rFonts w:eastAsia="Times New Roman" w:hint="eastAsia"/>
          <w:bCs/>
          <w:i/>
          <w:snapToGrid w:val="0"/>
          <w:szCs w:val="22"/>
          <w:lang w:bidi="en-US"/>
        </w:rPr>
        <w:t xml:space="preserve"> Red(red), and KG-1a cells were not labeled, F-actin were labeled with Phalloidin 488(Green</w:t>
      </w:r>
      <w:proofErr w:type="gramStart"/>
      <w:r>
        <w:rPr>
          <w:rFonts w:eastAsia="Times New Roman" w:hint="eastAsia"/>
          <w:bCs/>
          <w:i/>
          <w:snapToGrid w:val="0"/>
          <w:szCs w:val="22"/>
          <w:lang w:bidi="en-US"/>
        </w:rPr>
        <w:t>),nuclei</w:t>
      </w:r>
      <w:proofErr w:type="gramEnd"/>
      <w:r>
        <w:rPr>
          <w:rFonts w:eastAsia="Times New Roman" w:hint="eastAsia"/>
          <w:bCs/>
          <w:i/>
          <w:snapToGrid w:val="0"/>
          <w:szCs w:val="22"/>
          <w:lang w:bidi="en-US"/>
        </w:rPr>
        <w:t xml:space="preserve"> were labeled with DAPI 350 (blue) (n=3). Scale bar, 50 </w:t>
      </w:r>
      <w:proofErr w:type="spellStart"/>
      <w:r>
        <w:rPr>
          <w:rFonts w:eastAsia="Times New Roman" w:hint="eastAsia"/>
          <w:bCs/>
          <w:i/>
          <w:snapToGrid w:val="0"/>
          <w:szCs w:val="22"/>
          <w:lang w:bidi="en-US"/>
        </w:rPr>
        <w:t>μm</w:t>
      </w:r>
      <w:proofErr w:type="spellEnd"/>
      <w:r>
        <w:rPr>
          <w:rFonts w:eastAsia="Times New Roman" w:hint="eastAsia"/>
          <w:bCs/>
          <w:i/>
          <w:snapToGrid w:val="0"/>
          <w:szCs w:val="22"/>
          <w:lang w:bidi="en-US"/>
        </w:rPr>
        <w:t>.</w:t>
      </w:r>
    </w:p>
    <w:sectPr w:rsidR="002A41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BA3"/>
    <w:rsid w:val="001D6BA3"/>
    <w:rsid w:val="002A4106"/>
    <w:rsid w:val="00EA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FC747"/>
  <w15:chartTrackingRefBased/>
  <w15:docId w15:val="{D61D0ABA-617B-490E-A03F-06DDEAB3D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BA3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6B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6B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6B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6B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6B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6B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6B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6B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6B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B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6B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6B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6B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6B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6B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6B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6B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6B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6B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6B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6B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6B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6B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6B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6B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6B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6B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6B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6BA3"/>
    <w:rPr>
      <w:b/>
      <w:bCs/>
      <w:smallCaps/>
      <w:color w:val="2F5496" w:themeColor="accent1" w:themeShade="BF"/>
      <w:spacing w:val="5"/>
    </w:rPr>
  </w:style>
  <w:style w:type="paragraph" w:customStyle="1" w:styleId="MDPI21heading1">
    <w:name w:val="MDPI_2.1_heading1"/>
    <w:autoRedefine/>
    <w:qFormat/>
    <w:rsid w:val="001D6BA3"/>
    <w:pPr>
      <w:adjustRightInd w:val="0"/>
      <w:snapToGrid w:val="0"/>
      <w:spacing w:before="240" w:after="60" w:line="228" w:lineRule="auto"/>
      <w:ind w:firstLineChars="200" w:firstLine="400"/>
      <w:jc w:val="both"/>
      <w:outlineLvl w:val="0"/>
    </w:pPr>
    <w:rPr>
      <w:rFonts w:ascii="Palatino Linotype" w:eastAsia="Times New Roman" w:hAnsi="Palatino Linotype" w:cs="Times New Roman"/>
      <w:bCs/>
      <w:snapToGrid w:val="0"/>
      <w:color w:val="000000" w:themeColor="text1"/>
      <w:kern w:val="0"/>
      <w:sz w:val="20"/>
      <w:lang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customXml" Target="../customXml/item3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tiff"/><Relationship Id="rId4" Type="http://schemas.openxmlformats.org/officeDocument/2006/relationships/styles" Target="style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03C1BA9A728F4E8239B9261214DD1E" ma:contentTypeVersion="13" ma:contentTypeDescription="Create a new document." ma:contentTypeScope="" ma:versionID="168c85b8c759cce09c6c9c4171bcc590">
  <xsd:schema xmlns:xsd="http://www.w3.org/2001/XMLSchema" xmlns:xs="http://www.w3.org/2001/XMLSchema" xmlns:p="http://schemas.microsoft.com/office/2006/metadata/properties" xmlns:ns3="27ce3be3-c0c9-4ef2-90b3-a8b7883705f7" xmlns:ns4="76097e3d-9158-4fab-8066-099bb398c046" targetNamespace="http://schemas.microsoft.com/office/2006/metadata/properties" ma:root="true" ma:fieldsID="4129fb5bdf9922861e34a6f6068c6726" ns3:_="" ns4:_="">
    <xsd:import namespace="27ce3be3-c0c9-4ef2-90b3-a8b7883705f7"/>
    <xsd:import namespace="76097e3d-9158-4fab-8066-099bb398c04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e3be3-c0c9-4ef2-90b3-a8b788370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097e3d-9158-4fab-8066-099bb398c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ce3be3-c0c9-4ef2-90b3-a8b7883705f7" xsi:nil="true"/>
  </documentManagement>
</p:properties>
</file>

<file path=customXml/itemProps1.xml><?xml version="1.0" encoding="utf-8"?>
<ds:datastoreItem xmlns:ds="http://schemas.openxmlformats.org/officeDocument/2006/customXml" ds:itemID="{872E1EBA-ADF5-4450-8463-E0E99E77D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ce3be3-c0c9-4ef2-90b3-a8b7883705f7"/>
    <ds:schemaRef ds:uri="76097e3d-9158-4fab-8066-099bb398c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CC6F3F-98B3-4117-A06D-5751087758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EA55DD-0717-4C83-8017-1DE882C7F50E}">
  <ds:schemaRefs>
    <ds:schemaRef ds:uri="http://schemas.microsoft.com/office/2006/documentManagement/types"/>
    <ds:schemaRef ds:uri="http://purl.org/dc/terms/"/>
    <ds:schemaRef ds:uri="27ce3be3-c0c9-4ef2-90b3-a8b7883705f7"/>
    <ds:schemaRef ds:uri="http://www.w3.org/XML/1998/namespace"/>
    <ds:schemaRef ds:uri="76097e3d-9158-4fab-8066-099bb398c046"/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1784</Characters>
  <Application>Microsoft Office Word</Application>
  <DocSecurity>0</DocSecurity>
  <Lines>14</Lines>
  <Paragraphs>4</Paragraphs>
  <ScaleCrop>false</ScaleCrop>
  <Company>Springer Nature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Anoop B</dc:creator>
  <cp:keywords/>
  <dc:description/>
  <cp:lastModifiedBy>Anoop B</cp:lastModifiedBy>
  <cp:revision>2</cp:revision>
  <dcterms:created xsi:type="dcterms:W3CDTF">2024-11-26T17:50:00Z</dcterms:created>
  <dcterms:modified xsi:type="dcterms:W3CDTF">2024-11-26T17:50:00Z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0x0101008C03C1BA9A728F4E8239B9261214DD1E</vt:lpwstr>
  </property>
</Properties>
</file>