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3" w14:textId="0BD78F9A" w:rsidR="007F3335" w:rsidRPr="0026705F" w:rsidRDefault="00BA3DF1" w:rsidP="00D41F1B">
      <w:pPr>
        <w:spacing w:line="480" w:lineRule="auto"/>
        <w:jc w:val="center"/>
        <w:rPr>
          <w:b/>
          <w:sz w:val="22"/>
          <w:szCs w:val="22"/>
          <w:lang w:val="en-US"/>
        </w:rPr>
      </w:pPr>
      <w:r w:rsidRPr="0026705F">
        <w:rPr>
          <w:b/>
          <w:sz w:val="22"/>
          <w:szCs w:val="22"/>
          <w:lang w:val="en-US"/>
        </w:rPr>
        <w:t>Supplementary Information</w:t>
      </w:r>
    </w:p>
    <w:p w14:paraId="30650D92" w14:textId="77777777" w:rsidR="00D41F1B" w:rsidRPr="0026705F" w:rsidRDefault="00D41F1B" w:rsidP="00D41F1B">
      <w:pPr>
        <w:spacing w:line="480" w:lineRule="auto"/>
        <w:jc w:val="center"/>
        <w:rPr>
          <w:b/>
          <w:sz w:val="22"/>
          <w:szCs w:val="22"/>
          <w:lang w:val="en-US"/>
        </w:rPr>
      </w:pPr>
    </w:p>
    <w:p w14:paraId="00000005" w14:textId="4FE44A5F" w:rsidR="007F3335" w:rsidRPr="0026705F" w:rsidRDefault="00BA3DF1" w:rsidP="00846DA4">
      <w:pPr>
        <w:spacing w:line="480" w:lineRule="auto"/>
        <w:jc w:val="both"/>
        <w:rPr>
          <w:b/>
          <w:highlight w:val="green"/>
          <w:lang w:val="en-US"/>
        </w:rPr>
      </w:pPr>
      <w:r w:rsidRPr="0026705F">
        <w:rPr>
          <w:b/>
          <w:sz w:val="22"/>
          <w:szCs w:val="22"/>
          <w:lang w:val="en-US"/>
        </w:rPr>
        <w:t xml:space="preserve">Identifying differentiation markers between dermal fibroblasts and adipose-derived </w:t>
      </w:r>
      <w:r w:rsidR="004A029D" w:rsidRPr="0026705F">
        <w:rPr>
          <w:b/>
          <w:sz w:val="22"/>
          <w:szCs w:val="22"/>
          <w:lang w:val="en-US"/>
        </w:rPr>
        <w:t xml:space="preserve">mesenchymal </w:t>
      </w:r>
      <w:r w:rsidRPr="0026705F">
        <w:rPr>
          <w:b/>
          <w:sz w:val="22"/>
          <w:szCs w:val="22"/>
          <w:lang w:val="en-US"/>
        </w:rPr>
        <w:t>stromal cells (</w:t>
      </w:r>
      <w:r w:rsidR="004A029D" w:rsidRPr="0026705F">
        <w:rPr>
          <w:b/>
          <w:sz w:val="22"/>
          <w:szCs w:val="22"/>
          <w:lang w:val="en-US"/>
        </w:rPr>
        <w:t>AD-M</w:t>
      </w:r>
      <w:r w:rsidRPr="0026705F">
        <w:rPr>
          <w:b/>
          <w:sz w:val="22"/>
          <w:szCs w:val="22"/>
          <w:lang w:val="en-US"/>
        </w:rPr>
        <w:t>SCs) in human visceral and subcutaneous tissues using single-cell transcriptomic</w:t>
      </w:r>
      <w:r w:rsidR="00A16D4B" w:rsidRPr="0026705F">
        <w:rPr>
          <w:b/>
          <w:sz w:val="22"/>
          <w:szCs w:val="22"/>
          <w:lang w:val="en-US"/>
        </w:rPr>
        <w:t>s</w:t>
      </w:r>
    </w:p>
    <w:p w14:paraId="0C35B9CF" w14:textId="77777777" w:rsidR="00D41F1B" w:rsidRPr="0026705F" w:rsidRDefault="00D41F1B" w:rsidP="00846DA4">
      <w:pPr>
        <w:spacing w:line="480" w:lineRule="auto"/>
        <w:jc w:val="both"/>
        <w:rPr>
          <w:b/>
          <w:highlight w:val="green"/>
          <w:lang w:val="en-US"/>
        </w:rPr>
      </w:pPr>
    </w:p>
    <w:p w14:paraId="00000006" w14:textId="1831A2DC" w:rsidR="007F3335" w:rsidRPr="0026705F" w:rsidRDefault="00BA3DF1" w:rsidP="00846DA4">
      <w:pPr>
        <w:spacing w:line="480" w:lineRule="auto"/>
        <w:jc w:val="both"/>
        <w:rPr>
          <w:color w:val="000000"/>
          <w:sz w:val="22"/>
          <w:szCs w:val="22"/>
          <w:vertAlign w:val="superscript"/>
          <w:lang w:val="en-US"/>
        </w:rPr>
      </w:pPr>
      <w:r w:rsidRPr="0026705F">
        <w:rPr>
          <w:color w:val="000000"/>
          <w:sz w:val="22"/>
          <w:szCs w:val="22"/>
          <w:lang w:val="en-US"/>
        </w:rPr>
        <w:t>Magdalena Koczkowska,</w:t>
      </w:r>
      <w:r w:rsidRPr="0026705F">
        <w:rPr>
          <w:color w:val="000000"/>
          <w:sz w:val="22"/>
          <w:szCs w:val="22"/>
          <w:vertAlign w:val="superscript"/>
          <w:lang w:val="en-US"/>
        </w:rPr>
        <w:t>1,#</w:t>
      </w:r>
      <w:r w:rsidRPr="0026705F">
        <w:rPr>
          <w:color w:val="000000"/>
          <w:sz w:val="22"/>
          <w:szCs w:val="22"/>
          <w:lang w:val="en-US"/>
        </w:rPr>
        <w:t xml:space="preserve"> Anna Kostecka,</w:t>
      </w:r>
      <w:r w:rsidRPr="0026705F">
        <w:rPr>
          <w:color w:val="000000"/>
          <w:sz w:val="22"/>
          <w:szCs w:val="22"/>
          <w:vertAlign w:val="superscript"/>
          <w:lang w:val="en-US"/>
        </w:rPr>
        <w:t>1,2,#</w:t>
      </w:r>
      <w:r w:rsidRPr="0026705F">
        <w:rPr>
          <w:color w:val="000000"/>
          <w:sz w:val="22"/>
          <w:szCs w:val="22"/>
          <w:lang w:val="en-US"/>
        </w:rPr>
        <w:t xml:space="preserve"> </w:t>
      </w:r>
      <w:proofErr w:type="spellStart"/>
      <w:r w:rsidRPr="0026705F">
        <w:rPr>
          <w:color w:val="000000"/>
          <w:sz w:val="22"/>
          <w:szCs w:val="22"/>
          <w:lang w:val="en-US"/>
        </w:rPr>
        <w:t>Małgorzata</w:t>
      </w:r>
      <w:proofErr w:type="spellEnd"/>
      <w:r w:rsidRPr="0026705F">
        <w:rPr>
          <w:color w:val="000000"/>
          <w:sz w:val="22"/>
          <w:szCs w:val="22"/>
          <w:lang w:val="en-US"/>
        </w:rPr>
        <w:t xml:space="preserve"> Zawrzykraj,</w:t>
      </w:r>
      <w:r w:rsidRPr="0026705F">
        <w:rPr>
          <w:color w:val="000000"/>
          <w:sz w:val="22"/>
          <w:szCs w:val="22"/>
          <w:vertAlign w:val="superscript"/>
          <w:lang w:val="en-US"/>
        </w:rPr>
        <w:t>3,#</w:t>
      </w:r>
      <w:r w:rsidRPr="0026705F">
        <w:rPr>
          <w:color w:val="000000"/>
          <w:sz w:val="22"/>
          <w:szCs w:val="22"/>
          <w:lang w:val="en-US"/>
        </w:rPr>
        <w:t xml:space="preserve"> Kamil Myszczyński,</w:t>
      </w:r>
      <w:r w:rsidRPr="0026705F">
        <w:rPr>
          <w:color w:val="000000"/>
          <w:sz w:val="22"/>
          <w:szCs w:val="22"/>
          <w:vertAlign w:val="superscript"/>
          <w:lang w:val="en-US"/>
        </w:rPr>
        <w:t>4</w:t>
      </w:r>
      <w:r w:rsidRPr="0026705F">
        <w:rPr>
          <w:color w:val="000000"/>
          <w:sz w:val="22"/>
          <w:szCs w:val="22"/>
          <w:lang w:val="en-US"/>
        </w:rPr>
        <w:t xml:space="preserve"> Aneta Skoniecka,</w:t>
      </w:r>
      <w:r w:rsidR="00F87CDC" w:rsidRPr="0026705F">
        <w:rPr>
          <w:color w:val="000000"/>
          <w:sz w:val="22"/>
          <w:szCs w:val="22"/>
          <w:vertAlign w:val="superscript"/>
          <w:lang w:val="en-US"/>
        </w:rPr>
        <w:t>5</w:t>
      </w:r>
      <w:r w:rsidRPr="0026705F">
        <w:rPr>
          <w:color w:val="000000"/>
          <w:sz w:val="22"/>
          <w:szCs w:val="22"/>
          <w:lang w:val="en-US"/>
        </w:rPr>
        <w:t xml:space="preserve"> Milena Deptuła,</w:t>
      </w:r>
      <w:r w:rsidR="00F87CDC" w:rsidRPr="0026705F">
        <w:rPr>
          <w:color w:val="000000"/>
          <w:sz w:val="22"/>
          <w:szCs w:val="22"/>
          <w:vertAlign w:val="superscript"/>
          <w:lang w:val="en-US"/>
        </w:rPr>
        <w:t>5</w:t>
      </w:r>
      <w:r w:rsidRPr="0026705F">
        <w:rPr>
          <w:color w:val="000000"/>
          <w:sz w:val="22"/>
          <w:szCs w:val="22"/>
          <w:lang w:val="en-US"/>
        </w:rPr>
        <w:t xml:space="preserve"> Agata Tymińska,</w:t>
      </w:r>
      <w:r w:rsidR="00F87CDC" w:rsidRPr="0026705F">
        <w:rPr>
          <w:color w:val="000000"/>
          <w:sz w:val="22"/>
          <w:szCs w:val="22"/>
          <w:vertAlign w:val="superscript"/>
          <w:lang w:val="en-US"/>
        </w:rPr>
        <w:t>5</w:t>
      </w:r>
      <w:r w:rsidRPr="0026705F">
        <w:rPr>
          <w:color w:val="000000"/>
          <w:sz w:val="22"/>
          <w:szCs w:val="22"/>
          <w:lang w:val="en-US"/>
        </w:rPr>
        <w:t xml:space="preserve"> </w:t>
      </w:r>
      <w:r w:rsidR="004A029D" w:rsidRPr="0026705F">
        <w:rPr>
          <w:color w:val="000000"/>
          <w:sz w:val="22"/>
          <w:szCs w:val="22"/>
          <w:lang w:val="en-US"/>
        </w:rPr>
        <w:t>Katarzyna Czerwiec,</w:t>
      </w:r>
      <w:r w:rsidR="004A029D" w:rsidRPr="0026705F">
        <w:rPr>
          <w:color w:val="000000"/>
          <w:sz w:val="22"/>
          <w:szCs w:val="22"/>
          <w:vertAlign w:val="superscript"/>
          <w:lang w:val="en-US"/>
        </w:rPr>
        <w:t>3</w:t>
      </w:r>
      <w:r w:rsidR="004A029D" w:rsidRPr="0026705F">
        <w:rPr>
          <w:color w:val="000000"/>
          <w:sz w:val="22"/>
          <w:szCs w:val="22"/>
          <w:lang w:val="en-US"/>
        </w:rPr>
        <w:t xml:space="preserve"> </w:t>
      </w:r>
      <w:r w:rsidRPr="0026705F">
        <w:rPr>
          <w:color w:val="000000"/>
          <w:sz w:val="22"/>
          <w:szCs w:val="22"/>
          <w:lang w:val="en-US"/>
        </w:rPr>
        <w:t>Marcin Jąkalski,</w:t>
      </w:r>
      <w:r w:rsidR="00FA5CC6" w:rsidRPr="0026705F">
        <w:rPr>
          <w:color w:val="000000"/>
          <w:sz w:val="22"/>
          <w:szCs w:val="22"/>
          <w:vertAlign w:val="superscript"/>
          <w:lang w:val="en-US"/>
        </w:rPr>
        <w:t>1</w:t>
      </w:r>
      <w:r w:rsidR="004A029D" w:rsidRPr="0026705F">
        <w:rPr>
          <w:color w:val="000000"/>
          <w:sz w:val="22"/>
          <w:szCs w:val="22"/>
          <w:vertAlign w:val="superscript"/>
          <w:lang w:val="en-US"/>
        </w:rPr>
        <w:t xml:space="preserve"> </w:t>
      </w:r>
      <w:r w:rsidR="004A029D" w:rsidRPr="0026705F">
        <w:rPr>
          <w:color w:val="000000"/>
          <w:sz w:val="22"/>
          <w:szCs w:val="22"/>
          <w:lang w:val="en-US"/>
        </w:rPr>
        <w:t>Jacek Zieliński,</w:t>
      </w:r>
      <w:r w:rsidR="004A029D" w:rsidRPr="0026705F">
        <w:rPr>
          <w:color w:val="000000"/>
          <w:sz w:val="22"/>
          <w:szCs w:val="22"/>
          <w:vertAlign w:val="superscript"/>
          <w:lang w:val="en-US"/>
        </w:rPr>
        <w:t>6</w:t>
      </w:r>
      <w:r w:rsidRPr="0026705F">
        <w:rPr>
          <w:color w:val="000000"/>
          <w:sz w:val="22"/>
          <w:szCs w:val="22"/>
          <w:lang w:val="en-US"/>
        </w:rPr>
        <w:t xml:space="preserve"> David K. Crossman,</w:t>
      </w:r>
      <w:r w:rsidR="00F87CDC" w:rsidRPr="0026705F">
        <w:rPr>
          <w:color w:val="000000"/>
          <w:sz w:val="22"/>
          <w:szCs w:val="22"/>
          <w:vertAlign w:val="superscript"/>
          <w:lang w:val="en-US"/>
        </w:rPr>
        <w:t>7</w:t>
      </w:r>
      <w:r w:rsidRPr="0026705F">
        <w:rPr>
          <w:color w:val="000000"/>
          <w:sz w:val="22"/>
          <w:szCs w:val="22"/>
          <w:lang w:val="en-US"/>
        </w:rPr>
        <w:t xml:space="preserve"> Michael R. Crowley,</w:t>
      </w:r>
      <w:r w:rsidR="00F87CDC" w:rsidRPr="0026705F">
        <w:rPr>
          <w:color w:val="000000"/>
          <w:sz w:val="22"/>
          <w:szCs w:val="22"/>
          <w:vertAlign w:val="superscript"/>
          <w:lang w:val="en-US"/>
        </w:rPr>
        <w:t>7</w:t>
      </w:r>
      <w:r w:rsidRPr="0026705F">
        <w:rPr>
          <w:color w:val="000000"/>
          <w:sz w:val="22"/>
          <w:szCs w:val="22"/>
          <w:lang w:val="en-US"/>
        </w:rPr>
        <w:t xml:space="preserve"> </w:t>
      </w:r>
      <w:proofErr w:type="spellStart"/>
      <w:r w:rsidRPr="0026705F">
        <w:rPr>
          <w:color w:val="000000"/>
          <w:sz w:val="22"/>
          <w:szCs w:val="22"/>
          <w:lang w:val="en-US"/>
        </w:rPr>
        <w:t>Mirosława</w:t>
      </w:r>
      <w:proofErr w:type="spellEnd"/>
      <w:r w:rsidRPr="0026705F">
        <w:rPr>
          <w:color w:val="000000"/>
          <w:sz w:val="22"/>
          <w:szCs w:val="22"/>
          <w:lang w:val="en-US"/>
        </w:rPr>
        <w:t xml:space="preserve"> Cichorek,</w:t>
      </w:r>
      <w:r w:rsidR="00F87CDC" w:rsidRPr="0026705F">
        <w:rPr>
          <w:color w:val="000000"/>
          <w:sz w:val="22"/>
          <w:szCs w:val="22"/>
          <w:vertAlign w:val="superscript"/>
          <w:lang w:val="en-US"/>
        </w:rPr>
        <w:t>5</w:t>
      </w:r>
      <w:r w:rsidRPr="0026705F">
        <w:rPr>
          <w:color w:val="000000"/>
          <w:sz w:val="22"/>
          <w:szCs w:val="22"/>
          <w:lang w:val="en-US"/>
        </w:rPr>
        <w:t xml:space="preserve"> Piotr </w:t>
      </w:r>
      <w:r w:rsidR="00C52F0A" w:rsidRPr="0026705F">
        <w:rPr>
          <w:color w:val="000000"/>
          <w:sz w:val="22"/>
          <w:szCs w:val="22"/>
          <w:lang w:val="en-US"/>
        </w:rPr>
        <w:t xml:space="preserve">M. </w:t>
      </w:r>
      <w:r w:rsidRPr="0026705F">
        <w:rPr>
          <w:color w:val="000000"/>
          <w:sz w:val="22"/>
          <w:szCs w:val="22"/>
          <w:lang w:val="en-US"/>
        </w:rPr>
        <w:t>Skowron,</w:t>
      </w:r>
      <w:r w:rsidR="00F87CDC" w:rsidRPr="0026705F">
        <w:rPr>
          <w:color w:val="000000"/>
          <w:sz w:val="22"/>
          <w:szCs w:val="22"/>
          <w:vertAlign w:val="superscript"/>
          <w:lang w:val="en-US"/>
        </w:rPr>
        <w:t>8</w:t>
      </w:r>
      <w:r w:rsidRPr="0026705F">
        <w:rPr>
          <w:color w:val="000000"/>
          <w:sz w:val="22"/>
          <w:szCs w:val="22"/>
          <w:lang w:val="en-US"/>
        </w:rPr>
        <w:t xml:space="preserve"> </w:t>
      </w:r>
      <w:proofErr w:type="spellStart"/>
      <w:r w:rsidRPr="0026705F">
        <w:rPr>
          <w:color w:val="000000"/>
          <w:sz w:val="22"/>
          <w:szCs w:val="22"/>
          <w:lang w:val="en-US"/>
        </w:rPr>
        <w:t>Michał</w:t>
      </w:r>
      <w:proofErr w:type="spellEnd"/>
      <w:r w:rsidRPr="0026705F">
        <w:rPr>
          <w:color w:val="000000"/>
          <w:sz w:val="22"/>
          <w:szCs w:val="22"/>
          <w:lang w:val="en-US"/>
        </w:rPr>
        <w:t xml:space="preserve"> Pikuła,</w:t>
      </w:r>
      <w:r w:rsidR="004A029D" w:rsidRPr="0026705F">
        <w:rPr>
          <w:color w:val="000000"/>
          <w:sz w:val="22"/>
          <w:szCs w:val="22"/>
          <w:vertAlign w:val="superscript"/>
          <w:lang w:val="en-US"/>
        </w:rPr>
        <w:t>5</w:t>
      </w:r>
      <w:r w:rsidRPr="0026705F">
        <w:rPr>
          <w:color w:val="000000"/>
          <w:sz w:val="22"/>
          <w:szCs w:val="22"/>
          <w:vertAlign w:val="superscript"/>
          <w:lang w:val="en-US"/>
        </w:rPr>
        <w:t>,</w:t>
      </w:r>
      <w:r w:rsidR="004A029D" w:rsidRPr="0026705F">
        <w:rPr>
          <w:color w:val="000000"/>
          <w:sz w:val="22"/>
          <w:szCs w:val="22"/>
          <w:vertAlign w:val="superscript"/>
          <w:lang w:val="en-US"/>
        </w:rPr>
        <w:t>*</w:t>
      </w:r>
      <w:r w:rsidRPr="0026705F">
        <w:rPr>
          <w:color w:val="000000"/>
          <w:sz w:val="22"/>
          <w:szCs w:val="22"/>
          <w:lang w:val="en-US"/>
        </w:rPr>
        <w:t xml:space="preserve"> Arkadiusz Piotrowski,</w:t>
      </w:r>
      <w:r w:rsidRPr="0026705F">
        <w:rPr>
          <w:color w:val="000000"/>
          <w:sz w:val="22"/>
          <w:szCs w:val="22"/>
          <w:vertAlign w:val="superscript"/>
          <w:lang w:val="en-US"/>
        </w:rPr>
        <w:t>1,2,</w:t>
      </w:r>
      <w:r w:rsidR="004A029D" w:rsidRPr="0026705F">
        <w:rPr>
          <w:color w:val="000000"/>
          <w:sz w:val="22"/>
          <w:szCs w:val="22"/>
          <w:vertAlign w:val="superscript"/>
          <w:lang w:val="en-US"/>
        </w:rPr>
        <w:t>*</w:t>
      </w:r>
      <w:r w:rsidRPr="0026705F">
        <w:rPr>
          <w:color w:val="000000"/>
          <w:sz w:val="22"/>
          <w:szCs w:val="22"/>
          <w:vertAlign w:val="superscript"/>
          <w:lang w:val="en-US"/>
        </w:rPr>
        <w:t xml:space="preserve"> </w:t>
      </w:r>
    </w:p>
    <w:p w14:paraId="00000007" w14:textId="77777777" w:rsidR="007F3335" w:rsidRPr="0026705F" w:rsidRDefault="007F3335" w:rsidP="00846DA4">
      <w:pPr>
        <w:spacing w:line="480" w:lineRule="auto"/>
        <w:jc w:val="both"/>
        <w:rPr>
          <w:color w:val="000000"/>
          <w:sz w:val="16"/>
          <w:szCs w:val="16"/>
          <w:vertAlign w:val="superscript"/>
          <w:lang w:val="en-US"/>
        </w:rPr>
      </w:pPr>
    </w:p>
    <w:p w14:paraId="00000008" w14:textId="77777777" w:rsidR="007F3335" w:rsidRPr="0026705F" w:rsidRDefault="00BA3DF1" w:rsidP="00846DA4">
      <w:pPr>
        <w:spacing w:line="480" w:lineRule="auto"/>
        <w:jc w:val="both"/>
        <w:rPr>
          <w:color w:val="000000"/>
          <w:sz w:val="22"/>
          <w:szCs w:val="22"/>
          <w:lang w:val="en-US"/>
        </w:rPr>
      </w:pPr>
      <w:r w:rsidRPr="0026705F">
        <w:rPr>
          <w:color w:val="000000"/>
          <w:sz w:val="22"/>
          <w:szCs w:val="22"/>
          <w:vertAlign w:val="superscript"/>
          <w:lang w:val="en-US"/>
        </w:rPr>
        <w:t xml:space="preserve">1 </w:t>
      </w:r>
      <w:r w:rsidRPr="0026705F">
        <w:rPr>
          <w:color w:val="000000"/>
          <w:sz w:val="22"/>
          <w:szCs w:val="22"/>
          <w:lang w:val="en-US"/>
        </w:rPr>
        <w:t>3P-Medicine Laboratory, Medical University of Gdansk, Poland;</w:t>
      </w:r>
    </w:p>
    <w:p w14:paraId="149C0F81" w14:textId="1FEDF8D3" w:rsidR="00817494" w:rsidRPr="0026705F" w:rsidRDefault="00BA3DF1" w:rsidP="00817494">
      <w:pPr>
        <w:spacing w:line="480" w:lineRule="auto"/>
        <w:jc w:val="both"/>
        <w:rPr>
          <w:color w:val="000000"/>
          <w:sz w:val="22"/>
          <w:szCs w:val="22"/>
          <w:lang w:val="en-US"/>
        </w:rPr>
      </w:pPr>
      <w:r w:rsidRPr="0026705F">
        <w:rPr>
          <w:color w:val="000000"/>
          <w:sz w:val="22"/>
          <w:szCs w:val="22"/>
          <w:vertAlign w:val="superscript"/>
          <w:lang w:val="en-US"/>
        </w:rPr>
        <w:t xml:space="preserve">2 </w:t>
      </w:r>
      <w:r w:rsidR="00970D51" w:rsidRPr="0026705F">
        <w:rPr>
          <w:color w:val="000000"/>
          <w:sz w:val="22"/>
          <w:szCs w:val="22"/>
          <w:vertAlign w:val="superscript"/>
          <w:lang w:val="en-US"/>
        </w:rPr>
        <w:t xml:space="preserve"> </w:t>
      </w:r>
      <w:r w:rsidR="00B81E7A" w:rsidRPr="0026705F">
        <w:rPr>
          <w:color w:val="000000"/>
          <w:sz w:val="22"/>
          <w:szCs w:val="22"/>
          <w:lang w:val="en-US"/>
        </w:rPr>
        <w:t>Department of Biology and Pharmaceutical Botany, Medical University of Gdansk, Poland;</w:t>
      </w:r>
    </w:p>
    <w:p w14:paraId="00000009" w14:textId="0CC39A8C" w:rsidR="007F3335" w:rsidRPr="0026705F" w:rsidRDefault="00817494" w:rsidP="00846DA4">
      <w:pPr>
        <w:spacing w:line="480" w:lineRule="auto"/>
        <w:jc w:val="both"/>
        <w:rPr>
          <w:color w:val="000000"/>
          <w:sz w:val="22"/>
          <w:szCs w:val="22"/>
          <w:lang w:val="en-US"/>
        </w:rPr>
      </w:pPr>
      <w:r w:rsidRPr="0026705F">
        <w:rPr>
          <w:color w:val="000000"/>
          <w:sz w:val="22"/>
          <w:szCs w:val="22"/>
          <w:vertAlign w:val="superscript"/>
          <w:lang w:val="en-US"/>
        </w:rPr>
        <w:t>3</w:t>
      </w:r>
      <w:r w:rsidRPr="0026705F">
        <w:rPr>
          <w:color w:val="000000"/>
          <w:sz w:val="22"/>
          <w:szCs w:val="22"/>
          <w:lang w:val="en-US"/>
        </w:rPr>
        <w:t xml:space="preserve"> </w:t>
      </w:r>
      <w:r w:rsidR="00B81E7A" w:rsidRPr="0026705F">
        <w:rPr>
          <w:color w:val="000000"/>
          <w:sz w:val="22"/>
          <w:szCs w:val="22"/>
          <w:lang w:val="en-US"/>
        </w:rPr>
        <w:t>Division of Clinical Anatomy, Medical University of Gdansk, Poland;</w:t>
      </w:r>
    </w:p>
    <w:p w14:paraId="2FD25BDD" w14:textId="0A6ED980" w:rsidR="00F87CDC" w:rsidRPr="0026705F" w:rsidRDefault="00F87CDC" w:rsidP="00846DA4">
      <w:pPr>
        <w:spacing w:line="480" w:lineRule="auto"/>
        <w:jc w:val="both"/>
        <w:rPr>
          <w:color w:val="000000"/>
          <w:sz w:val="22"/>
          <w:szCs w:val="22"/>
          <w:lang w:val="en-US"/>
        </w:rPr>
      </w:pPr>
      <w:r w:rsidRPr="0026705F">
        <w:rPr>
          <w:color w:val="000000"/>
          <w:sz w:val="22"/>
          <w:szCs w:val="22"/>
          <w:vertAlign w:val="superscript"/>
          <w:lang w:val="en-US"/>
        </w:rPr>
        <w:t>4</w:t>
      </w:r>
      <w:r w:rsidRPr="0026705F">
        <w:rPr>
          <w:color w:val="000000"/>
          <w:sz w:val="22"/>
          <w:szCs w:val="22"/>
          <w:lang w:val="en-US"/>
        </w:rPr>
        <w:t xml:space="preserve"> Centre of Biostatistics and Bioinformatics Analysis, Medical University of Gdansk, Poland;</w:t>
      </w:r>
    </w:p>
    <w:p w14:paraId="0000000A" w14:textId="61267B03" w:rsidR="007F3335" w:rsidRPr="0026705F" w:rsidRDefault="00F87CDC" w:rsidP="00846DA4">
      <w:pPr>
        <w:spacing w:line="480" w:lineRule="auto"/>
        <w:jc w:val="both"/>
        <w:rPr>
          <w:color w:val="000000"/>
          <w:sz w:val="22"/>
          <w:szCs w:val="22"/>
          <w:lang w:val="en-US"/>
        </w:rPr>
      </w:pPr>
      <w:r w:rsidRPr="0026705F">
        <w:rPr>
          <w:color w:val="000000"/>
          <w:sz w:val="22"/>
          <w:szCs w:val="22"/>
          <w:vertAlign w:val="superscript"/>
          <w:lang w:val="en-US"/>
        </w:rPr>
        <w:t>5</w:t>
      </w:r>
      <w:r w:rsidR="00BA3DF1" w:rsidRPr="0026705F">
        <w:rPr>
          <w:color w:val="000000"/>
          <w:sz w:val="22"/>
          <w:szCs w:val="22"/>
          <w:lang w:val="en-US"/>
        </w:rPr>
        <w:t xml:space="preserve"> Division of Embryology, Department of Anatomy, Medical University of Gdansk, Poland;</w:t>
      </w:r>
    </w:p>
    <w:p w14:paraId="0000000C" w14:textId="2BC391E3" w:rsidR="007F3335" w:rsidRPr="0026705F" w:rsidRDefault="00F87CDC" w:rsidP="00846DA4">
      <w:pPr>
        <w:spacing w:line="480" w:lineRule="auto"/>
        <w:jc w:val="both"/>
        <w:rPr>
          <w:color w:val="000000"/>
          <w:sz w:val="22"/>
          <w:szCs w:val="22"/>
          <w:lang w:val="en-US"/>
        </w:rPr>
      </w:pPr>
      <w:r w:rsidRPr="0026705F">
        <w:rPr>
          <w:color w:val="000000"/>
          <w:sz w:val="22"/>
          <w:szCs w:val="22"/>
          <w:vertAlign w:val="superscript"/>
          <w:lang w:val="en-US"/>
        </w:rPr>
        <w:t>6</w:t>
      </w:r>
      <w:r w:rsidR="00BA3DF1" w:rsidRPr="0026705F">
        <w:rPr>
          <w:color w:val="000000"/>
          <w:sz w:val="22"/>
          <w:szCs w:val="22"/>
          <w:lang w:val="en-US"/>
        </w:rPr>
        <w:t xml:space="preserve"> Clinic of Oncological Surgery, Medical University of Gdansk, Poland;</w:t>
      </w:r>
    </w:p>
    <w:p w14:paraId="0000000D" w14:textId="08C077AD" w:rsidR="007F3335" w:rsidRPr="0026705F" w:rsidRDefault="00F87CDC" w:rsidP="00846DA4">
      <w:pPr>
        <w:spacing w:line="480" w:lineRule="auto"/>
        <w:jc w:val="both"/>
        <w:rPr>
          <w:color w:val="000000"/>
          <w:sz w:val="22"/>
          <w:szCs w:val="22"/>
          <w:lang w:val="en-US"/>
        </w:rPr>
      </w:pPr>
      <w:r w:rsidRPr="0026705F">
        <w:rPr>
          <w:color w:val="000000"/>
          <w:sz w:val="22"/>
          <w:szCs w:val="22"/>
          <w:vertAlign w:val="superscript"/>
          <w:lang w:val="en-US"/>
        </w:rPr>
        <w:t>7</w:t>
      </w:r>
      <w:r w:rsidR="00BA3DF1" w:rsidRPr="0026705F">
        <w:rPr>
          <w:color w:val="000000"/>
          <w:sz w:val="22"/>
          <w:szCs w:val="22"/>
          <w:lang w:val="en-US"/>
        </w:rPr>
        <w:t xml:space="preserve"> Genomic Core Facility, University of Alabama at Birmingham, Birmingham, Alabama, USA;</w:t>
      </w:r>
    </w:p>
    <w:p w14:paraId="00000014" w14:textId="32F3D5BC" w:rsidR="007F3335" w:rsidRPr="0026705F" w:rsidRDefault="00F87CDC" w:rsidP="00846DA4">
      <w:pPr>
        <w:spacing w:line="480" w:lineRule="auto"/>
        <w:jc w:val="both"/>
        <w:rPr>
          <w:color w:val="000000"/>
          <w:sz w:val="22"/>
          <w:szCs w:val="22"/>
          <w:lang w:val="en-US"/>
        </w:rPr>
      </w:pPr>
      <w:r w:rsidRPr="0026705F">
        <w:rPr>
          <w:color w:val="000000"/>
          <w:sz w:val="22"/>
          <w:szCs w:val="22"/>
          <w:vertAlign w:val="superscript"/>
          <w:lang w:val="en-US"/>
        </w:rPr>
        <w:t>8</w:t>
      </w:r>
      <w:r w:rsidR="00BA3DF1" w:rsidRPr="0026705F">
        <w:rPr>
          <w:color w:val="000000"/>
          <w:sz w:val="22"/>
          <w:szCs w:val="22"/>
          <w:vertAlign w:val="superscript"/>
          <w:lang w:val="en-US"/>
        </w:rPr>
        <w:t xml:space="preserve"> </w:t>
      </w:r>
      <w:r w:rsidR="00BA3DF1" w:rsidRPr="0026705F">
        <w:rPr>
          <w:color w:val="000000"/>
          <w:sz w:val="22"/>
          <w:szCs w:val="22"/>
          <w:lang w:val="en-US"/>
        </w:rPr>
        <w:t>Department of Molecular Biotechnology, Faculty of Chemistry, University of Gdansk, Poland</w:t>
      </w:r>
      <w:r w:rsidR="004E6A4B" w:rsidRPr="0026705F">
        <w:rPr>
          <w:color w:val="000000"/>
          <w:sz w:val="22"/>
          <w:szCs w:val="22"/>
          <w:lang w:val="en-US"/>
        </w:rPr>
        <w:t>.</w:t>
      </w:r>
      <w:r w:rsidR="00BA3DF1" w:rsidRPr="0026705F">
        <w:rPr>
          <w:color w:val="000000"/>
          <w:sz w:val="22"/>
          <w:szCs w:val="22"/>
          <w:lang w:val="en-US"/>
        </w:rPr>
        <w:t xml:space="preserve"> </w:t>
      </w:r>
    </w:p>
    <w:p w14:paraId="34568597" w14:textId="77777777" w:rsidR="00A16D4B" w:rsidRPr="0026705F" w:rsidRDefault="00A16D4B" w:rsidP="00846DA4">
      <w:pPr>
        <w:spacing w:line="480" w:lineRule="auto"/>
        <w:jc w:val="both"/>
        <w:rPr>
          <w:color w:val="000000"/>
          <w:sz w:val="22"/>
          <w:szCs w:val="22"/>
          <w:lang w:val="en-US"/>
        </w:rPr>
      </w:pPr>
    </w:p>
    <w:p w14:paraId="45C25B3F" w14:textId="1BA10E3B" w:rsidR="00A16D4B" w:rsidRPr="0026705F" w:rsidRDefault="00A16D4B" w:rsidP="00846DA4">
      <w:pPr>
        <w:spacing w:line="480" w:lineRule="auto"/>
        <w:jc w:val="both"/>
        <w:rPr>
          <w:color w:val="000000"/>
          <w:sz w:val="22"/>
          <w:szCs w:val="22"/>
          <w:lang w:val="en-US"/>
        </w:rPr>
      </w:pPr>
      <w:r w:rsidRPr="0026705F">
        <w:rPr>
          <w:color w:val="000000"/>
          <w:sz w:val="22"/>
          <w:szCs w:val="22"/>
          <w:lang w:val="en-US"/>
        </w:rPr>
        <w:t xml:space="preserve"># These authors contributed equally: Magdalena </w:t>
      </w:r>
      <w:proofErr w:type="spellStart"/>
      <w:r w:rsidRPr="0026705F">
        <w:rPr>
          <w:color w:val="000000"/>
          <w:sz w:val="22"/>
          <w:szCs w:val="22"/>
          <w:lang w:val="en-US"/>
        </w:rPr>
        <w:t>Koczkowska</w:t>
      </w:r>
      <w:proofErr w:type="spellEnd"/>
      <w:r w:rsidRPr="0026705F">
        <w:rPr>
          <w:color w:val="000000"/>
          <w:sz w:val="22"/>
          <w:szCs w:val="22"/>
          <w:lang w:val="en-US"/>
        </w:rPr>
        <w:t>,</w:t>
      </w:r>
      <w:r w:rsidR="00B81E7A" w:rsidRPr="0026705F">
        <w:rPr>
          <w:color w:val="000000"/>
          <w:sz w:val="22"/>
          <w:szCs w:val="22"/>
          <w:lang w:val="en-US"/>
        </w:rPr>
        <w:t xml:space="preserve"> </w:t>
      </w:r>
      <w:r w:rsidRPr="0026705F">
        <w:rPr>
          <w:color w:val="000000"/>
          <w:sz w:val="22"/>
          <w:szCs w:val="22"/>
          <w:lang w:val="en-US"/>
        </w:rPr>
        <w:t>Anna Kostecka</w:t>
      </w:r>
      <w:r w:rsidR="00B81E7A" w:rsidRPr="0026705F">
        <w:rPr>
          <w:color w:val="000000"/>
          <w:sz w:val="22"/>
          <w:szCs w:val="22"/>
          <w:lang w:val="en-US"/>
        </w:rPr>
        <w:t xml:space="preserve">, </w:t>
      </w:r>
      <w:proofErr w:type="spellStart"/>
      <w:r w:rsidR="00B81E7A" w:rsidRPr="0026705F">
        <w:rPr>
          <w:color w:val="000000"/>
          <w:sz w:val="22"/>
          <w:szCs w:val="22"/>
          <w:lang w:val="en-US"/>
        </w:rPr>
        <w:t>Małgorzata</w:t>
      </w:r>
      <w:proofErr w:type="spellEnd"/>
      <w:r w:rsidR="00B81E7A" w:rsidRPr="0026705F">
        <w:rPr>
          <w:color w:val="000000"/>
          <w:sz w:val="22"/>
          <w:szCs w:val="22"/>
          <w:lang w:val="en-US"/>
        </w:rPr>
        <w:t xml:space="preserve"> </w:t>
      </w:r>
      <w:proofErr w:type="spellStart"/>
      <w:r w:rsidR="00B81E7A" w:rsidRPr="0026705F">
        <w:rPr>
          <w:color w:val="000000"/>
          <w:sz w:val="22"/>
          <w:szCs w:val="22"/>
          <w:lang w:val="en-US"/>
        </w:rPr>
        <w:t>Zawrzykraj</w:t>
      </w:r>
      <w:proofErr w:type="spellEnd"/>
    </w:p>
    <w:p w14:paraId="4C336A36" w14:textId="145C20CD" w:rsidR="00A16D4B" w:rsidRPr="0026705F" w:rsidRDefault="00A16D4B" w:rsidP="00846DA4">
      <w:pPr>
        <w:spacing w:line="480" w:lineRule="auto"/>
        <w:jc w:val="both"/>
        <w:rPr>
          <w:sz w:val="22"/>
          <w:szCs w:val="22"/>
          <w:lang w:val="en-US"/>
        </w:rPr>
      </w:pPr>
      <w:r w:rsidRPr="0026705F">
        <w:rPr>
          <w:sz w:val="22"/>
          <w:szCs w:val="22"/>
          <w:lang w:val="en-US"/>
        </w:rPr>
        <w:t xml:space="preserve">* These authors jointly supervised: </w:t>
      </w:r>
      <w:proofErr w:type="spellStart"/>
      <w:r w:rsidRPr="0026705F">
        <w:rPr>
          <w:sz w:val="22"/>
          <w:szCs w:val="22"/>
          <w:lang w:val="en-US"/>
        </w:rPr>
        <w:t>Michał</w:t>
      </w:r>
      <w:proofErr w:type="spellEnd"/>
      <w:r w:rsidRPr="0026705F">
        <w:rPr>
          <w:sz w:val="22"/>
          <w:szCs w:val="22"/>
          <w:lang w:val="en-US"/>
        </w:rPr>
        <w:t xml:space="preserve"> </w:t>
      </w:r>
      <w:proofErr w:type="spellStart"/>
      <w:r w:rsidRPr="0026705F">
        <w:rPr>
          <w:sz w:val="22"/>
          <w:szCs w:val="22"/>
          <w:lang w:val="en-US"/>
        </w:rPr>
        <w:t>Pikuła</w:t>
      </w:r>
      <w:proofErr w:type="spellEnd"/>
      <w:r w:rsidRPr="0026705F">
        <w:rPr>
          <w:sz w:val="22"/>
          <w:szCs w:val="22"/>
          <w:lang w:val="en-US"/>
        </w:rPr>
        <w:t>, Arkadiusz Piotrowski</w:t>
      </w:r>
    </w:p>
    <w:p w14:paraId="6B7E69CA" w14:textId="77777777" w:rsidR="00A16D4B" w:rsidRPr="0026705F" w:rsidRDefault="00A16D4B" w:rsidP="00846DA4">
      <w:pPr>
        <w:spacing w:line="480" w:lineRule="auto"/>
        <w:jc w:val="both"/>
        <w:rPr>
          <w:sz w:val="22"/>
          <w:szCs w:val="22"/>
          <w:lang w:val="en-US"/>
        </w:rPr>
      </w:pPr>
    </w:p>
    <w:p w14:paraId="6BAD51DB" w14:textId="77777777" w:rsidR="00A16D4B" w:rsidRPr="0026705F" w:rsidRDefault="00A16D4B" w:rsidP="00846DA4">
      <w:pPr>
        <w:spacing w:line="480" w:lineRule="auto"/>
        <w:jc w:val="both"/>
        <w:rPr>
          <w:b/>
          <w:color w:val="000000"/>
          <w:sz w:val="22"/>
          <w:szCs w:val="22"/>
          <w:lang w:val="en-US"/>
        </w:rPr>
      </w:pPr>
      <w:r w:rsidRPr="0026705F">
        <w:rPr>
          <w:b/>
          <w:color w:val="000000"/>
          <w:sz w:val="22"/>
          <w:szCs w:val="22"/>
          <w:lang w:val="en-US"/>
        </w:rPr>
        <w:t>Correspondence</w:t>
      </w:r>
    </w:p>
    <w:p w14:paraId="383DE7E8" w14:textId="3B646C31" w:rsidR="00A16D4B" w:rsidRPr="0026705F" w:rsidRDefault="00A16D4B" w:rsidP="00846DA4">
      <w:pPr>
        <w:spacing w:line="480" w:lineRule="auto"/>
        <w:jc w:val="both"/>
        <w:rPr>
          <w:sz w:val="22"/>
          <w:szCs w:val="22"/>
          <w:lang w:val="en-US"/>
        </w:rPr>
      </w:pPr>
      <w:r w:rsidRPr="0026705F">
        <w:rPr>
          <w:color w:val="000000"/>
          <w:sz w:val="22"/>
          <w:szCs w:val="22"/>
          <w:lang w:val="en-US"/>
        </w:rPr>
        <w:t xml:space="preserve">Arkadiusz Piotrowski, 3P-Medicine Laboratory, Medical University of Gdansk, 80-210 Gdansk, Poland. Email: </w:t>
      </w:r>
      <w:hyperlink r:id="rId8" w:history="1">
        <w:r w:rsidR="0026705F" w:rsidRPr="0026705F">
          <w:rPr>
            <w:rStyle w:val="Hipercze"/>
            <w:sz w:val="22"/>
            <w:szCs w:val="22"/>
            <w:lang w:val="en-US"/>
          </w:rPr>
          <w:t>arkadiusz.piotrowski@gumed.edu.pl</w:t>
        </w:r>
      </w:hyperlink>
    </w:p>
    <w:p w14:paraId="307A08DD" w14:textId="536F2CA5" w:rsidR="004E6A4B" w:rsidRPr="0026705F" w:rsidRDefault="00A16D4B" w:rsidP="00846DA4">
      <w:pPr>
        <w:spacing w:line="480" w:lineRule="auto"/>
        <w:jc w:val="both"/>
        <w:rPr>
          <w:lang w:val="en-US"/>
        </w:rPr>
      </w:pPr>
      <w:proofErr w:type="spellStart"/>
      <w:r w:rsidRPr="0026705F">
        <w:rPr>
          <w:sz w:val="22"/>
          <w:szCs w:val="22"/>
          <w:lang w:val="en-US"/>
        </w:rPr>
        <w:t>Michał</w:t>
      </w:r>
      <w:proofErr w:type="spellEnd"/>
      <w:r w:rsidRPr="0026705F">
        <w:rPr>
          <w:sz w:val="22"/>
          <w:szCs w:val="22"/>
          <w:lang w:val="en-US"/>
        </w:rPr>
        <w:t xml:space="preserve"> </w:t>
      </w:r>
      <w:proofErr w:type="spellStart"/>
      <w:r w:rsidRPr="0026705F">
        <w:rPr>
          <w:sz w:val="22"/>
          <w:szCs w:val="22"/>
          <w:lang w:val="en-US"/>
        </w:rPr>
        <w:t>Pikuła</w:t>
      </w:r>
      <w:proofErr w:type="spellEnd"/>
      <w:r w:rsidRPr="0026705F">
        <w:rPr>
          <w:sz w:val="22"/>
          <w:szCs w:val="22"/>
          <w:lang w:val="en-US"/>
        </w:rPr>
        <w:t xml:space="preserve">, Division of Embryology, Department of Anatomy, Medical University of Gdansk, 80-210, Poland. </w:t>
      </w:r>
      <w:r w:rsidR="004E6A4B" w:rsidRPr="0026705F">
        <w:rPr>
          <w:lang w:val="en-US"/>
        </w:rPr>
        <w:t>E-mail:</w:t>
      </w:r>
      <w:r w:rsidR="00D41F1B" w:rsidRPr="0026705F">
        <w:rPr>
          <w:lang w:val="en-US"/>
        </w:rPr>
        <w:t xml:space="preserve"> </w:t>
      </w:r>
      <w:hyperlink r:id="rId9">
        <w:r w:rsidR="00D41F1B" w:rsidRPr="0026705F">
          <w:rPr>
            <w:color w:val="0000FF"/>
            <w:sz w:val="22"/>
            <w:szCs w:val="22"/>
            <w:u w:val="single"/>
            <w:lang w:val="en-US"/>
          </w:rPr>
          <w:t>michal.pikula@gumed.edu.pl</w:t>
        </w:r>
      </w:hyperlink>
    </w:p>
    <w:p w14:paraId="0F22A75A" w14:textId="77777777" w:rsidR="00146762" w:rsidRPr="0026705F" w:rsidRDefault="00146762" w:rsidP="00D41F1B">
      <w:pPr>
        <w:spacing w:line="480" w:lineRule="auto"/>
        <w:jc w:val="both"/>
        <w:rPr>
          <w:b/>
          <w:color w:val="000000"/>
          <w:sz w:val="22"/>
          <w:szCs w:val="22"/>
          <w:lang w:val="en-US"/>
        </w:rPr>
      </w:pPr>
      <w:r w:rsidRPr="0026705F">
        <w:rPr>
          <w:b/>
          <w:color w:val="000000"/>
          <w:sz w:val="22"/>
          <w:szCs w:val="22"/>
          <w:lang w:val="en-US"/>
        </w:rPr>
        <w:lastRenderedPageBreak/>
        <w:t xml:space="preserve">Table of Contents: </w:t>
      </w:r>
    </w:p>
    <w:p w14:paraId="3D4BDBC6" w14:textId="77777777" w:rsidR="00146762" w:rsidRPr="0026705F" w:rsidRDefault="00146762" w:rsidP="00D41F1B">
      <w:pPr>
        <w:spacing w:line="480" w:lineRule="auto"/>
        <w:jc w:val="both"/>
        <w:rPr>
          <w:b/>
          <w:color w:val="000000"/>
          <w:sz w:val="22"/>
          <w:szCs w:val="22"/>
          <w:u w:val="single"/>
          <w:lang w:val="en-US"/>
        </w:rPr>
      </w:pPr>
      <w:r w:rsidRPr="0026705F">
        <w:rPr>
          <w:b/>
          <w:color w:val="000000"/>
          <w:sz w:val="22"/>
          <w:szCs w:val="22"/>
          <w:u w:val="single"/>
          <w:lang w:val="en-US"/>
        </w:rPr>
        <w:t>Supplementary Tables</w:t>
      </w:r>
    </w:p>
    <w:p w14:paraId="2AF8FA8A" w14:textId="6EC46C4D" w:rsidR="00025682" w:rsidRPr="0026705F" w:rsidRDefault="00025682" w:rsidP="00D41F1B">
      <w:pPr>
        <w:spacing w:line="480" w:lineRule="auto"/>
        <w:jc w:val="both"/>
        <w:rPr>
          <w:sz w:val="22"/>
          <w:szCs w:val="22"/>
          <w:lang w:val="en-US"/>
        </w:rPr>
      </w:pPr>
      <w:r w:rsidRPr="0026705F">
        <w:rPr>
          <w:b/>
          <w:bCs/>
          <w:sz w:val="22"/>
          <w:szCs w:val="22"/>
          <w:lang w:val="en-US"/>
        </w:rPr>
        <w:t>Note:</w:t>
      </w:r>
      <w:r w:rsidRPr="0026705F">
        <w:rPr>
          <w:sz w:val="22"/>
          <w:szCs w:val="22"/>
          <w:lang w:val="en-US"/>
        </w:rPr>
        <w:t xml:space="preserve"> Supplementary Tables 5 - 10 are provided as separate Excel files due to their </w:t>
      </w:r>
      <w:r w:rsidR="009C5E5C" w:rsidRPr="0026705F">
        <w:rPr>
          <w:sz w:val="22"/>
          <w:szCs w:val="22"/>
          <w:lang w:val="en-US"/>
        </w:rPr>
        <w:t xml:space="preserve">large </w:t>
      </w:r>
      <w:r w:rsidRPr="0026705F">
        <w:rPr>
          <w:sz w:val="22"/>
          <w:szCs w:val="22"/>
          <w:lang w:val="en-US"/>
        </w:rPr>
        <w:t xml:space="preserve">size. </w:t>
      </w:r>
    </w:p>
    <w:p w14:paraId="79B573D7" w14:textId="77777777" w:rsidR="000B6A26" w:rsidRPr="0026705F" w:rsidRDefault="00BA3DF1" w:rsidP="000B6A26">
      <w:pPr>
        <w:spacing w:line="480" w:lineRule="auto"/>
        <w:jc w:val="both"/>
        <w:rPr>
          <w:bCs/>
          <w:sz w:val="22"/>
          <w:szCs w:val="22"/>
          <w:lang w:val="en-US"/>
        </w:rPr>
      </w:pPr>
      <w:r w:rsidRPr="0026705F">
        <w:rPr>
          <w:b/>
          <w:color w:val="000000"/>
          <w:sz w:val="22"/>
          <w:szCs w:val="22"/>
          <w:lang w:val="en-US"/>
        </w:rPr>
        <w:t xml:space="preserve">Supp. Table S1. </w:t>
      </w:r>
      <w:r w:rsidR="000B6A26" w:rsidRPr="0026705F">
        <w:rPr>
          <w:bCs/>
          <w:color w:val="000000"/>
          <w:sz w:val="22"/>
          <w:szCs w:val="22"/>
          <w:lang w:val="en-US"/>
        </w:rPr>
        <w:t xml:space="preserve">Gene-specific primer sequences used for the </w:t>
      </w:r>
      <w:r w:rsidR="000B6A26" w:rsidRPr="0026705F">
        <w:rPr>
          <w:bCs/>
          <w:sz w:val="22"/>
          <w:szCs w:val="22"/>
          <w:lang w:val="en-US"/>
        </w:rPr>
        <w:t>qPCR verification analysis of AD-MSCs and fibroblasts markers.</w:t>
      </w:r>
    </w:p>
    <w:p w14:paraId="2B320BDB" w14:textId="07383B76" w:rsidR="000B6A26" w:rsidRPr="0026705F" w:rsidRDefault="006D3FC1" w:rsidP="000B6A26">
      <w:pPr>
        <w:spacing w:line="480" w:lineRule="auto"/>
        <w:jc w:val="both"/>
        <w:rPr>
          <w:color w:val="000000"/>
          <w:sz w:val="22"/>
          <w:szCs w:val="22"/>
          <w:lang w:val="en-US"/>
        </w:rPr>
      </w:pPr>
      <w:r w:rsidRPr="0026705F">
        <w:rPr>
          <w:b/>
          <w:color w:val="000000"/>
          <w:sz w:val="22"/>
          <w:szCs w:val="22"/>
          <w:lang w:val="en-US"/>
        </w:rPr>
        <w:t xml:space="preserve">Supp. Table S2. </w:t>
      </w:r>
      <w:r w:rsidR="000B6A26" w:rsidRPr="0026705F">
        <w:rPr>
          <w:color w:val="000000"/>
          <w:sz w:val="22"/>
          <w:szCs w:val="22"/>
          <w:lang w:val="en-US"/>
        </w:rPr>
        <w:t xml:space="preserve">Summary of individuals characteristics and derived cell lines. </w:t>
      </w:r>
    </w:p>
    <w:p w14:paraId="00000021" w14:textId="37743BF6" w:rsidR="007F3335" w:rsidRPr="0026705F" w:rsidRDefault="00BA3DF1" w:rsidP="00D41F1B">
      <w:pPr>
        <w:spacing w:line="480" w:lineRule="auto"/>
        <w:jc w:val="both"/>
        <w:rPr>
          <w:color w:val="000000"/>
          <w:sz w:val="22"/>
          <w:szCs w:val="22"/>
          <w:lang w:val="en-US"/>
        </w:rPr>
      </w:pPr>
      <w:r w:rsidRPr="0026705F">
        <w:rPr>
          <w:b/>
          <w:color w:val="000000"/>
          <w:sz w:val="22"/>
          <w:szCs w:val="22"/>
          <w:lang w:val="en-US"/>
        </w:rPr>
        <w:t>Supp. Table S</w:t>
      </w:r>
      <w:r w:rsidR="006D3FC1" w:rsidRPr="0026705F">
        <w:rPr>
          <w:b/>
          <w:color w:val="000000"/>
          <w:sz w:val="22"/>
          <w:szCs w:val="22"/>
          <w:lang w:val="en-US"/>
        </w:rPr>
        <w:t>3</w:t>
      </w:r>
      <w:r w:rsidRPr="0026705F">
        <w:rPr>
          <w:color w:val="000000"/>
          <w:sz w:val="22"/>
          <w:szCs w:val="22"/>
          <w:lang w:val="en-US"/>
        </w:rPr>
        <w:t xml:space="preserve">. Marker analysis by flow cytometry. </w:t>
      </w:r>
    </w:p>
    <w:p w14:paraId="00000022" w14:textId="7B46092A" w:rsidR="007F3335" w:rsidRPr="0026705F" w:rsidRDefault="00BA3DF1" w:rsidP="00D41F1B">
      <w:pPr>
        <w:spacing w:line="480" w:lineRule="auto"/>
        <w:rPr>
          <w:sz w:val="22"/>
          <w:szCs w:val="22"/>
          <w:lang w:val="en-US"/>
        </w:rPr>
      </w:pPr>
      <w:r w:rsidRPr="0026705F">
        <w:rPr>
          <w:b/>
          <w:sz w:val="22"/>
          <w:szCs w:val="22"/>
          <w:lang w:val="en-US"/>
        </w:rPr>
        <w:t>Supp. Table S</w:t>
      </w:r>
      <w:r w:rsidR="006D3FC1" w:rsidRPr="0026705F">
        <w:rPr>
          <w:b/>
          <w:sz w:val="22"/>
          <w:szCs w:val="22"/>
          <w:lang w:val="en-US"/>
        </w:rPr>
        <w:t>4</w:t>
      </w:r>
      <w:r w:rsidRPr="0026705F">
        <w:rPr>
          <w:b/>
          <w:sz w:val="22"/>
          <w:szCs w:val="22"/>
          <w:lang w:val="en-US"/>
        </w:rPr>
        <w:t xml:space="preserve">. </w:t>
      </w:r>
      <w:r w:rsidRPr="0026705F">
        <w:rPr>
          <w:sz w:val="22"/>
          <w:szCs w:val="22"/>
          <w:lang w:val="en-US"/>
        </w:rPr>
        <w:t xml:space="preserve">Summary of quality control (QC) filtering steps within </w:t>
      </w:r>
      <w:sdt>
        <w:sdtPr>
          <w:rPr>
            <w:sz w:val="22"/>
            <w:szCs w:val="22"/>
            <w:lang w:val="en-US"/>
          </w:rPr>
          <w:tag w:val="goog_rdk_0"/>
          <w:id w:val="-1546974525"/>
        </w:sdtPr>
        <w:sdtContent/>
      </w:sdt>
      <w:r w:rsidRPr="0026705F">
        <w:rPr>
          <w:sz w:val="22"/>
          <w:szCs w:val="22"/>
          <w:lang w:val="en-US"/>
        </w:rPr>
        <w:t xml:space="preserve">Seurat. </w:t>
      </w:r>
    </w:p>
    <w:p w14:paraId="39DA860E" w14:textId="77777777" w:rsidR="00146762" w:rsidRPr="0026705F" w:rsidRDefault="00BA3DF1" w:rsidP="00D41F1B">
      <w:pPr>
        <w:spacing w:line="480" w:lineRule="auto"/>
        <w:jc w:val="both"/>
        <w:rPr>
          <w:sz w:val="22"/>
          <w:szCs w:val="22"/>
          <w:lang w:val="en-US"/>
        </w:rPr>
      </w:pPr>
      <w:r w:rsidRPr="0026705F">
        <w:rPr>
          <w:b/>
          <w:sz w:val="22"/>
          <w:szCs w:val="22"/>
          <w:lang w:val="en-US"/>
        </w:rPr>
        <w:t>Supp. Table S</w:t>
      </w:r>
      <w:r w:rsidR="006D3FC1" w:rsidRPr="0026705F">
        <w:rPr>
          <w:b/>
          <w:sz w:val="22"/>
          <w:szCs w:val="22"/>
          <w:lang w:val="en-US"/>
        </w:rPr>
        <w:t>5</w:t>
      </w:r>
      <w:r w:rsidRPr="0026705F">
        <w:rPr>
          <w:sz w:val="22"/>
          <w:szCs w:val="22"/>
          <w:lang w:val="en-US"/>
        </w:rPr>
        <w:t>. List of differentially expressed genes (DEGs) between SASC and VASC.</w:t>
      </w:r>
    </w:p>
    <w:p w14:paraId="00000024" w14:textId="58F13DBE" w:rsidR="007F3335" w:rsidRPr="0026705F" w:rsidRDefault="00BA3DF1" w:rsidP="00D41F1B">
      <w:pPr>
        <w:spacing w:line="480" w:lineRule="auto"/>
        <w:jc w:val="both"/>
        <w:rPr>
          <w:b/>
          <w:sz w:val="22"/>
          <w:szCs w:val="22"/>
          <w:lang w:val="en-US"/>
        </w:rPr>
      </w:pPr>
      <w:r w:rsidRPr="0026705F">
        <w:rPr>
          <w:b/>
          <w:sz w:val="22"/>
          <w:szCs w:val="22"/>
          <w:lang w:val="en-US"/>
        </w:rPr>
        <w:t>Supp. Table S</w:t>
      </w:r>
      <w:r w:rsidR="006D3FC1" w:rsidRPr="0026705F">
        <w:rPr>
          <w:b/>
          <w:sz w:val="22"/>
          <w:szCs w:val="22"/>
          <w:lang w:val="en-US"/>
        </w:rPr>
        <w:t>6</w:t>
      </w:r>
      <w:r w:rsidRPr="0026705F">
        <w:rPr>
          <w:sz w:val="22"/>
          <w:szCs w:val="22"/>
          <w:lang w:val="en-US"/>
        </w:rPr>
        <w:t>. List of differentially expressed genes (DEGs) between clusters in SASC</w:t>
      </w:r>
      <w:r w:rsidR="00F9284B" w:rsidRPr="0026705F">
        <w:rPr>
          <w:sz w:val="22"/>
          <w:szCs w:val="22"/>
          <w:lang w:val="en-US"/>
        </w:rPr>
        <w:t>.</w:t>
      </w:r>
      <w:r w:rsidRPr="0026705F">
        <w:rPr>
          <w:sz w:val="22"/>
          <w:szCs w:val="22"/>
          <w:lang w:val="en-US"/>
        </w:rPr>
        <w:t xml:space="preserve"> </w:t>
      </w:r>
    </w:p>
    <w:p w14:paraId="00000025" w14:textId="204767E9" w:rsidR="007F3335" w:rsidRPr="0026705F" w:rsidRDefault="00BA3DF1" w:rsidP="00D41F1B">
      <w:pPr>
        <w:spacing w:line="480" w:lineRule="auto"/>
        <w:jc w:val="both"/>
        <w:rPr>
          <w:sz w:val="22"/>
          <w:szCs w:val="22"/>
          <w:lang w:val="en-US"/>
        </w:rPr>
      </w:pPr>
      <w:r w:rsidRPr="0026705F">
        <w:rPr>
          <w:b/>
          <w:sz w:val="22"/>
          <w:szCs w:val="22"/>
          <w:lang w:val="en-US"/>
        </w:rPr>
        <w:t>Supp. Table S</w:t>
      </w:r>
      <w:r w:rsidR="006D3FC1" w:rsidRPr="0026705F">
        <w:rPr>
          <w:b/>
          <w:sz w:val="22"/>
          <w:szCs w:val="22"/>
          <w:lang w:val="en-US"/>
        </w:rPr>
        <w:t>7</w:t>
      </w:r>
      <w:r w:rsidRPr="0026705F">
        <w:rPr>
          <w:sz w:val="22"/>
          <w:szCs w:val="22"/>
          <w:lang w:val="en-US"/>
        </w:rPr>
        <w:t xml:space="preserve">. Gene Ontology analysis in SASC clusters. </w:t>
      </w:r>
    </w:p>
    <w:p w14:paraId="00000026" w14:textId="1721E231" w:rsidR="007F3335" w:rsidRPr="0026705F" w:rsidRDefault="00BA3DF1" w:rsidP="00D41F1B">
      <w:pPr>
        <w:spacing w:line="480" w:lineRule="auto"/>
        <w:jc w:val="both"/>
        <w:rPr>
          <w:sz w:val="22"/>
          <w:szCs w:val="22"/>
          <w:lang w:val="en-US"/>
        </w:rPr>
      </w:pPr>
      <w:r w:rsidRPr="0026705F">
        <w:rPr>
          <w:b/>
          <w:sz w:val="22"/>
          <w:szCs w:val="22"/>
          <w:lang w:val="en-US"/>
        </w:rPr>
        <w:t>Supp. Table S</w:t>
      </w:r>
      <w:r w:rsidR="006D3FC1" w:rsidRPr="0026705F">
        <w:rPr>
          <w:b/>
          <w:sz w:val="22"/>
          <w:szCs w:val="22"/>
          <w:lang w:val="en-US"/>
        </w:rPr>
        <w:t>8</w:t>
      </w:r>
      <w:r w:rsidRPr="0026705F">
        <w:rPr>
          <w:sz w:val="22"/>
          <w:szCs w:val="22"/>
          <w:lang w:val="en-US"/>
        </w:rPr>
        <w:t xml:space="preserve">. List of differentially expressed genes (DEGs) between clusters in VASC. </w:t>
      </w:r>
    </w:p>
    <w:p w14:paraId="00000027" w14:textId="7BEB5586" w:rsidR="007F3335" w:rsidRPr="0026705F" w:rsidRDefault="00BA3DF1" w:rsidP="00D41F1B">
      <w:pPr>
        <w:spacing w:line="480" w:lineRule="auto"/>
        <w:jc w:val="both"/>
        <w:rPr>
          <w:sz w:val="22"/>
          <w:szCs w:val="22"/>
          <w:lang w:val="en-US"/>
        </w:rPr>
      </w:pPr>
      <w:r w:rsidRPr="0026705F">
        <w:rPr>
          <w:b/>
          <w:sz w:val="22"/>
          <w:szCs w:val="22"/>
          <w:lang w:val="en-US"/>
        </w:rPr>
        <w:t>Supp. Table S</w:t>
      </w:r>
      <w:r w:rsidR="006D3FC1" w:rsidRPr="0026705F">
        <w:rPr>
          <w:b/>
          <w:sz w:val="22"/>
          <w:szCs w:val="22"/>
          <w:lang w:val="en-US"/>
        </w:rPr>
        <w:t>9</w:t>
      </w:r>
      <w:r w:rsidRPr="0026705F">
        <w:rPr>
          <w:sz w:val="22"/>
          <w:szCs w:val="22"/>
          <w:lang w:val="en-US"/>
        </w:rPr>
        <w:t xml:space="preserve">. Gene Ontology analysis in VASC clusters. </w:t>
      </w:r>
    </w:p>
    <w:p w14:paraId="58DF055E" w14:textId="77777777" w:rsidR="006E055B" w:rsidRPr="0026705F" w:rsidRDefault="00BA3DF1" w:rsidP="00D41F1B">
      <w:pPr>
        <w:spacing w:line="480" w:lineRule="auto"/>
        <w:jc w:val="both"/>
        <w:rPr>
          <w:sz w:val="22"/>
          <w:szCs w:val="22"/>
          <w:lang w:val="en-US"/>
        </w:rPr>
      </w:pPr>
      <w:r w:rsidRPr="0026705F">
        <w:rPr>
          <w:b/>
          <w:sz w:val="22"/>
          <w:szCs w:val="22"/>
          <w:lang w:val="en-US"/>
        </w:rPr>
        <w:t>Supp. Table S</w:t>
      </w:r>
      <w:r w:rsidR="006D3FC1" w:rsidRPr="0026705F">
        <w:rPr>
          <w:b/>
          <w:sz w:val="22"/>
          <w:szCs w:val="22"/>
          <w:lang w:val="en-US"/>
        </w:rPr>
        <w:t>10</w:t>
      </w:r>
      <w:r w:rsidRPr="0026705F">
        <w:rPr>
          <w:sz w:val="22"/>
          <w:szCs w:val="22"/>
          <w:lang w:val="en-US"/>
        </w:rPr>
        <w:t xml:space="preserve">. List of </w:t>
      </w:r>
      <w:r w:rsidR="00757B42" w:rsidRPr="0026705F">
        <w:rPr>
          <w:sz w:val="22"/>
          <w:szCs w:val="22"/>
          <w:lang w:val="en-US"/>
        </w:rPr>
        <w:t xml:space="preserve">1,509 </w:t>
      </w:r>
      <w:r w:rsidRPr="0026705F">
        <w:rPr>
          <w:sz w:val="22"/>
          <w:szCs w:val="22"/>
          <w:lang w:val="en-US"/>
        </w:rPr>
        <w:t>differentially expressed genes (DEGs) between fibroblasts and SASC/VASC</w:t>
      </w:r>
      <w:r w:rsidR="00757B42" w:rsidRPr="0026705F">
        <w:rPr>
          <w:sz w:val="22"/>
          <w:szCs w:val="22"/>
          <w:lang w:val="en-US"/>
        </w:rPr>
        <w:t xml:space="preserve"> identified in this study</w:t>
      </w:r>
      <w:r w:rsidRPr="0026705F">
        <w:rPr>
          <w:sz w:val="22"/>
          <w:szCs w:val="22"/>
          <w:lang w:val="en-US"/>
        </w:rPr>
        <w:t>.</w:t>
      </w:r>
    </w:p>
    <w:p w14:paraId="00000029" w14:textId="78AE7C2F" w:rsidR="007F3335" w:rsidRPr="0026705F" w:rsidRDefault="00BA3DF1" w:rsidP="00D41F1B">
      <w:pPr>
        <w:spacing w:line="480" w:lineRule="auto"/>
        <w:jc w:val="both"/>
        <w:rPr>
          <w:sz w:val="22"/>
          <w:szCs w:val="22"/>
          <w:lang w:val="en-US"/>
        </w:rPr>
      </w:pPr>
      <w:r w:rsidRPr="0026705F">
        <w:rPr>
          <w:b/>
          <w:sz w:val="22"/>
          <w:szCs w:val="22"/>
          <w:lang w:val="en-US"/>
        </w:rPr>
        <w:t>Supp. Table S1</w:t>
      </w:r>
      <w:r w:rsidR="006D3FC1" w:rsidRPr="0026705F">
        <w:rPr>
          <w:b/>
          <w:sz w:val="22"/>
          <w:szCs w:val="22"/>
          <w:lang w:val="en-US"/>
        </w:rPr>
        <w:t>1</w:t>
      </w:r>
      <w:r w:rsidRPr="0026705F">
        <w:rPr>
          <w:b/>
          <w:sz w:val="22"/>
          <w:szCs w:val="22"/>
          <w:lang w:val="en-US"/>
        </w:rPr>
        <w:t xml:space="preserve">. </w:t>
      </w:r>
      <w:r w:rsidRPr="0026705F">
        <w:rPr>
          <w:sz w:val="22"/>
          <w:szCs w:val="22"/>
          <w:lang w:val="en-US"/>
        </w:rPr>
        <w:t xml:space="preserve">Detailed description of </w:t>
      </w:r>
      <w:r w:rsidR="009A0035" w:rsidRPr="0026705F">
        <w:rPr>
          <w:sz w:val="22"/>
          <w:szCs w:val="22"/>
          <w:lang w:val="en-US"/>
        </w:rPr>
        <w:t xml:space="preserve">the </w:t>
      </w:r>
      <w:r w:rsidRPr="0026705F">
        <w:rPr>
          <w:sz w:val="22"/>
          <w:szCs w:val="22"/>
          <w:lang w:val="en-US"/>
        </w:rPr>
        <w:t>top differentially expressed genes (DEGs) from SASC, VASC and dermal fibroblasts.</w:t>
      </w:r>
    </w:p>
    <w:p w14:paraId="61C06A73" w14:textId="5938BBE4" w:rsidR="008A316F" w:rsidRPr="0026705F" w:rsidRDefault="00FD15A1" w:rsidP="00D41F1B">
      <w:pPr>
        <w:spacing w:line="480" w:lineRule="auto"/>
        <w:jc w:val="both"/>
        <w:rPr>
          <w:sz w:val="22"/>
          <w:szCs w:val="22"/>
          <w:lang w:val="en-US"/>
        </w:rPr>
      </w:pPr>
      <w:r w:rsidRPr="0026705F">
        <w:rPr>
          <w:b/>
          <w:sz w:val="22"/>
          <w:szCs w:val="22"/>
          <w:lang w:val="en-US"/>
        </w:rPr>
        <w:t>Supp. Table S1</w:t>
      </w:r>
      <w:r w:rsidR="006D3FC1" w:rsidRPr="0026705F">
        <w:rPr>
          <w:b/>
          <w:sz w:val="22"/>
          <w:szCs w:val="22"/>
          <w:lang w:val="en-US"/>
        </w:rPr>
        <w:t>2</w:t>
      </w:r>
      <w:r w:rsidRPr="0026705F">
        <w:rPr>
          <w:b/>
          <w:sz w:val="22"/>
          <w:szCs w:val="22"/>
          <w:lang w:val="en-US"/>
        </w:rPr>
        <w:t xml:space="preserve">. </w:t>
      </w:r>
      <w:r w:rsidRPr="0026705F">
        <w:rPr>
          <w:sz w:val="22"/>
          <w:szCs w:val="22"/>
          <w:lang w:val="en-US"/>
        </w:rPr>
        <w:t>List of the top 30 marker genes differentiating between fibroblasts and SASC/VASC.</w:t>
      </w:r>
    </w:p>
    <w:p w14:paraId="3C137D9A" w14:textId="05C72959" w:rsidR="00416070" w:rsidRPr="0026705F" w:rsidRDefault="00416070" w:rsidP="00D41F1B">
      <w:pPr>
        <w:spacing w:line="480" w:lineRule="auto"/>
        <w:jc w:val="both"/>
        <w:rPr>
          <w:sz w:val="22"/>
          <w:szCs w:val="22"/>
          <w:lang w:val="en-US"/>
        </w:rPr>
      </w:pPr>
      <w:r w:rsidRPr="0026705F">
        <w:rPr>
          <w:b/>
          <w:bCs/>
          <w:sz w:val="22"/>
          <w:szCs w:val="22"/>
          <w:lang w:val="en-US"/>
        </w:rPr>
        <w:t>Supp. Table S13.</w:t>
      </w:r>
      <w:r w:rsidRPr="0026705F">
        <w:rPr>
          <w:sz w:val="22"/>
          <w:szCs w:val="22"/>
          <w:lang w:val="en-US"/>
        </w:rPr>
        <w:t xml:space="preserve"> Results of confirmatory quantitative PCR analysis of selected AD-MSCs and fibroblast markers. </w:t>
      </w:r>
    </w:p>
    <w:p w14:paraId="20ECB96D" w14:textId="77777777" w:rsidR="00146762" w:rsidRPr="0026705F" w:rsidRDefault="00146762" w:rsidP="00D41F1B">
      <w:pPr>
        <w:spacing w:line="480" w:lineRule="auto"/>
        <w:jc w:val="both"/>
        <w:rPr>
          <w:b/>
          <w:color w:val="000000"/>
          <w:sz w:val="22"/>
          <w:szCs w:val="22"/>
          <w:u w:val="single"/>
          <w:lang w:val="en-US"/>
        </w:rPr>
      </w:pPr>
      <w:r w:rsidRPr="0026705F">
        <w:rPr>
          <w:b/>
          <w:color w:val="000000"/>
          <w:sz w:val="22"/>
          <w:szCs w:val="22"/>
          <w:u w:val="single"/>
          <w:lang w:val="en-US"/>
        </w:rPr>
        <w:t>Supplementary Figures</w:t>
      </w:r>
    </w:p>
    <w:p w14:paraId="0000002B" w14:textId="3565E41B" w:rsidR="007F3335" w:rsidRPr="0026705F" w:rsidRDefault="00BA3DF1" w:rsidP="00D41F1B">
      <w:pPr>
        <w:spacing w:line="480" w:lineRule="auto"/>
        <w:jc w:val="both"/>
        <w:rPr>
          <w:sz w:val="22"/>
          <w:szCs w:val="22"/>
          <w:lang w:val="en-US"/>
        </w:rPr>
      </w:pPr>
      <w:r w:rsidRPr="0026705F">
        <w:rPr>
          <w:b/>
          <w:color w:val="000000"/>
          <w:sz w:val="22"/>
          <w:szCs w:val="22"/>
          <w:lang w:val="en-US"/>
        </w:rPr>
        <w:t>Supp. Figure S1.</w:t>
      </w:r>
      <w:r w:rsidRPr="0026705F">
        <w:rPr>
          <w:color w:val="000000"/>
          <w:sz w:val="22"/>
          <w:szCs w:val="22"/>
          <w:lang w:val="en-US"/>
        </w:rPr>
        <w:t xml:space="preserve"> </w:t>
      </w:r>
      <w:r w:rsidRPr="0026705F">
        <w:rPr>
          <w:sz w:val="22"/>
          <w:szCs w:val="22"/>
          <w:lang w:val="en-US"/>
        </w:rPr>
        <w:t xml:space="preserve">Flow cytometry analysis of subcutaneous (SASC) and visceral (VASC) adipose-derived stromal cells. </w:t>
      </w:r>
    </w:p>
    <w:p w14:paraId="0000002C" w14:textId="72998E52" w:rsidR="007F3335" w:rsidRPr="0026705F" w:rsidRDefault="00BA3DF1" w:rsidP="00D41F1B">
      <w:pPr>
        <w:spacing w:line="480" w:lineRule="auto"/>
        <w:jc w:val="both"/>
        <w:rPr>
          <w:sz w:val="22"/>
          <w:szCs w:val="22"/>
          <w:lang w:val="en-US"/>
        </w:rPr>
      </w:pPr>
      <w:r w:rsidRPr="0026705F">
        <w:rPr>
          <w:b/>
          <w:sz w:val="22"/>
          <w:szCs w:val="22"/>
          <w:lang w:val="en-US"/>
        </w:rPr>
        <w:t xml:space="preserve">Supp. Figure S2. </w:t>
      </w:r>
      <w:r w:rsidRPr="0026705F">
        <w:rPr>
          <w:sz w:val="22"/>
          <w:szCs w:val="22"/>
          <w:lang w:val="en-US"/>
        </w:rPr>
        <w:t xml:space="preserve">Differentiation capacity of </w:t>
      </w:r>
      <w:r w:rsidR="00D5074F" w:rsidRPr="0026705F">
        <w:rPr>
          <w:sz w:val="22"/>
          <w:szCs w:val="22"/>
          <w:lang w:val="en-US"/>
        </w:rPr>
        <w:t xml:space="preserve">SASC and VASC </w:t>
      </w:r>
      <w:r w:rsidRPr="0026705F">
        <w:rPr>
          <w:sz w:val="22"/>
          <w:szCs w:val="22"/>
          <w:lang w:val="en-US"/>
        </w:rPr>
        <w:t>collected from four unrelated individuals</w:t>
      </w:r>
      <w:r w:rsidR="00D41F1B" w:rsidRPr="0026705F">
        <w:rPr>
          <w:sz w:val="22"/>
          <w:szCs w:val="22"/>
          <w:lang w:val="en-US"/>
        </w:rPr>
        <w:t>.</w:t>
      </w:r>
    </w:p>
    <w:p w14:paraId="0000002D" w14:textId="77777777" w:rsidR="007F3335" w:rsidRPr="0026705F" w:rsidRDefault="00BA3DF1" w:rsidP="00D41F1B">
      <w:pPr>
        <w:spacing w:line="480" w:lineRule="auto"/>
        <w:rPr>
          <w:sz w:val="22"/>
          <w:szCs w:val="22"/>
          <w:lang w:val="en-US"/>
        </w:rPr>
      </w:pPr>
      <w:r w:rsidRPr="0026705F">
        <w:rPr>
          <w:b/>
          <w:sz w:val="22"/>
          <w:szCs w:val="22"/>
          <w:lang w:val="en-US"/>
        </w:rPr>
        <w:t xml:space="preserve">Supp. Figure S3. </w:t>
      </w:r>
      <w:r w:rsidRPr="0026705F">
        <w:rPr>
          <w:sz w:val="22"/>
          <w:szCs w:val="22"/>
          <w:lang w:val="en-US"/>
        </w:rPr>
        <w:t xml:space="preserve">Flow cytometry analysis of dermal fibroblasts. </w:t>
      </w:r>
    </w:p>
    <w:p w14:paraId="0000002E" w14:textId="229F5048" w:rsidR="007F3335" w:rsidRPr="0026705F" w:rsidRDefault="00BA3DF1" w:rsidP="00D41F1B">
      <w:pPr>
        <w:spacing w:line="480" w:lineRule="auto"/>
        <w:jc w:val="both"/>
        <w:rPr>
          <w:sz w:val="22"/>
          <w:szCs w:val="22"/>
          <w:lang w:val="en-US"/>
        </w:rPr>
      </w:pPr>
      <w:r w:rsidRPr="0026705F">
        <w:rPr>
          <w:b/>
          <w:sz w:val="22"/>
          <w:szCs w:val="22"/>
          <w:lang w:val="en-US"/>
        </w:rPr>
        <w:t xml:space="preserve">Supp. Figure S4. </w:t>
      </w:r>
      <w:r w:rsidRPr="0026705F">
        <w:rPr>
          <w:sz w:val="22"/>
          <w:szCs w:val="22"/>
          <w:lang w:val="en-US"/>
        </w:rPr>
        <w:t>Quality control of single-cell RNA sequencing data of subcutaneous A</w:t>
      </w:r>
      <w:r w:rsidR="0073041E" w:rsidRPr="0026705F">
        <w:rPr>
          <w:sz w:val="22"/>
          <w:szCs w:val="22"/>
          <w:lang w:val="en-US"/>
        </w:rPr>
        <w:t>D-M</w:t>
      </w:r>
      <w:r w:rsidRPr="0026705F">
        <w:rPr>
          <w:sz w:val="22"/>
          <w:szCs w:val="22"/>
          <w:lang w:val="en-US"/>
        </w:rPr>
        <w:t>SCs collected from four individuals (SASC#1-SASC#4).</w:t>
      </w:r>
    </w:p>
    <w:p w14:paraId="0000002F" w14:textId="47806DE3" w:rsidR="007F3335" w:rsidRPr="0026705F" w:rsidRDefault="00BA3DF1" w:rsidP="00D41F1B">
      <w:pPr>
        <w:spacing w:line="480" w:lineRule="auto"/>
        <w:jc w:val="both"/>
        <w:rPr>
          <w:sz w:val="22"/>
          <w:szCs w:val="22"/>
          <w:lang w:val="en-US"/>
        </w:rPr>
      </w:pPr>
      <w:r w:rsidRPr="0026705F">
        <w:rPr>
          <w:b/>
          <w:sz w:val="22"/>
          <w:szCs w:val="22"/>
          <w:lang w:val="en-US"/>
        </w:rPr>
        <w:lastRenderedPageBreak/>
        <w:t xml:space="preserve">Supp. Figure S5. </w:t>
      </w:r>
      <w:r w:rsidRPr="0026705F">
        <w:rPr>
          <w:sz w:val="22"/>
          <w:szCs w:val="22"/>
          <w:lang w:val="en-US"/>
        </w:rPr>
        <w:t>Quality control of single-cell RNA sequencing data of visceral A</w:t>
      </w:r>
      <w:r w:rsidR="0073041E" w:rsidRPr="0026705F">
        <w:rPr>
          <w:sz w:val="22"/>
          <w:szCs w:val="22"/>
          <w:lang w:val="en-US"/>
        </w:rPr>
        <w:t>D-M</w:t>
      </w:r>
      <w:r w:rsidRPr="0026705F">
        <w:rPr>
          <w:sz w:val="22"/>
          <w:szCs w:val="22"/>
          <w:lang w:val="en-US"/>
        </w:rPr>
        <w:t>SCs collected from four individuals (VASC#1-VASC#4).</w:t>
      </w:r>
    </w:p>
    <w:p w14:paraId="00000030" w14:textId="55F2DA77" w:rsidR="007F3335" w:rsidRPr="0026705F" w:rsidRDefault="00BA3DF1" w:rsidP="00D41F1B">
      <w:pPr>
        <w:spacing w:line="480" w:lineRule="auto"/>
        <w:jc w:val="both"/>
        <w:rPr>
          <w:sz w:val="22"/>
          <w:szCs w:val="22"/>
          <w:lang w:val="en-US"/>
        </w:rPr>
      </w:pPr>
      <w:r w:rsidRPr="0026705F">
        <w:rPr>
          <w:b/>
          <w:sz w:val="22"/>
          <w:szCs w:val="22"/>
          <w:lang w:val="en-US"/>
        </w:rPr>
        <w:t xml:space="preserve">Supp. Figure S6. </w:t>
      </w:r>
      <w:r w:rsidRPr="0026705F">
        <w:rPr>
          <w:sz w:val="22"/>
          <w:szCs w:val="22"/>
          <w:lang w:val="en-US"/>
        </w:rPr>
        <w:t xml:space="preserve">Quality control of single-cell RNA sequencing data of dermal fibroblasts collected from </w:t>
      </w:r>
      <w:r w:rsidR="00E06F00" w:rsidRPr="0026705F">
        <w:rPr>
          <w:sz w:val="22"/>
          <w:szCs w:val="22"/>
          <w:lang w:val="en-US"/>
        </w:rPr>
        <w:t>three</w:t>
      </w:r>
      <w:r w:rsidRPr="0026705F">
        <w:rPr>
          <w:sz w:val="22"/>
          <w:szCs w:val="22"/>
          <w:lang w:val="en-US"/>
        </w:rPr>
        <w:t xml:space="preserve"> individuals (FIBRO#1-FIBRO#3).</w:t>
      </w:r>
    </w:p>
    <w:p w14:paraId="00000031" w14:textId="35C66F30" w:rsidR="007F3335" w:rsidRPr="0026705F" w:rsidRDefault="001B01A9" w:rsidP="00D41F1B">
      <w:pPr>
        <w:spacing w:line="480" w:lineRule="auto"/>
        <w:rPr>
          <w:sz w:val="22"/>
          <w:szCs w:val="22"/>
          <w:lang w:val="en-US"/>
        </w:rPr>
      </w:pPr>
      <w:r w:rsidRPr="0026705F">
        <w:rPr>
          <w:b/>
          <w:sz w:val="22"/>
          <w:szCs w:val="22"/>
          <w:lang w:val="en-US"/>
        </w:rPr>
        <w:t xml:space="preserve">Supp. Figure S7. </w:t>
      </w:r>
      <w:r w:rsidRPr="0026705F">
        <w:rPr>
          <w:sz w:val="22"/>
          <w:szCs w:val="22"/>
          <w:lang w:val="en-US"/>
        </w:rPr>
        <w:t>Cell distribution and marker expression of SASC, VASC, and FIBRO.</w:t>
      </w:r>
    </w:p>
    <w:p w14:paraId="70D2FFBE" w14:textId="1E407DCC" w:rsidR="001B01A9" w:rsidRPr="0026705F" w:rsidRDefault="001B01A9" w:rsidP="00D41F1B">
      <w:pPr>
        <w:spacing w:line="480" w:lineRule="auto"/>
        <w:jc w:val="both"/>
        <w:rPr>
          <w:sz w:val="22"/>
          <w:szCs w:val="22"/>
          <w:lang w:val="en-US"/>
        </w:rPr>
      </w:pPr>
      <w:r w:rsidRPr="0026705F">
        <w:rPr>
          <w:b/>
          <w:sz w:val="22"/>
          <w:szCs w:val="22"/>
          <w:lang w:val="en-US"/>
        </w:rPr>
        <w:t xml:space="preserve">Supp. Figure S8. </w:t>
      </w:r>
      <w:r w:rsidRPr="0026705F">
        <w:rPr>
          <w:sz w:val="22"/>
          <w:szCs w:val="22"/>
          <w:lang w:val="en-US"/>
        </w:rPr>
        <w:t xml:space="preserve">Integrated expression of stem/stromal marker genes in  </w:t>
      </w:r>
      <w:r w:rsidR="00BB73DF" w:rsidRPr="0026705F">
        <w:rPr>
          <w:sz w:val="22"/>
          <w:szCs w:val="22"/>
          <w:lang w:val="en-US"/>
        </w:rPr>
        <w:t xml:space="preserve">clusters 1-9 of </w:t>
      </w:r>
      <w:r w:rsidRPr="0026705F">
        <w:rPr>
          <w:sz w:val="22"/>
          <w:szCs w:val="22"/>
          <w:lang w:val="en-US"/>
        </w:rPr>
        <w:t xml:space="preserve">SASC and VASC from </w:t>
      </w:r>
      <w:r w:rsidR="00BB73DF" w:rsidRPr="0026705F">
        <w:rPr>
          <w:sz w:val="22"/>
          <w:szCs w:val="22"/>
          <w:lang w:val="en-US"/>
        </w:rPr>
        <w:t xml:space="preserve">the </w:t>
      </w:r>
      <w:r w:rsidRPr="0026705F">
        <w:rPr>
          <w:sz w:val="22"/>
          <w:szCs w:val="22"/>
          <w:lang w:val="en-US"/>
        </w:rPr>
        <w:t>four individuals</w:t>
      </w:r>
      <w:r w:rsidR="007B06C6" w:rsidRPr="0026705F">
        <w:rPr>
          <w:sz w:val="22"/>
          <w:szCs w:val="22"/>
          <w:lang w:val="en-US"/>
        </w:rPr>
        <w:t xml:space="preserve"> analyzed in this study</w:t>
      </w:r>
      <w:r w:rsidRPr="0026705F">
        <w:rPr>
          <w:sz w:val="22"/>
          <w:szCs w:val="22"/>
          <w:lang w:val="en-US"/>
        </w:rPr>
        <w:t xml:space="preserve">. </w:t>
      </w:r>
    </w:p>
    <w:p w14:paraId="7FD0074F" w14:textId="5C1547DA" w:rsidR="001B01A9" w:rsidRPr="0026705F" w:rsidRDefault="001B01A9" w:rsidP="00D41F1B">
      <w:pPr>
        <w:spacing w:line="480" w:lineRule="auto"/>
        <w:jc w:val="both"/>
        <w:rPr>
          <w:sz w:val="22"/>
          <w:szCs w:val="22"/>
          <w:lang w:val="en-US"/>
        </w:rPr>
      </w:pPr>
      <w:r w:rsidRPr="0026705F">
        <w:rPr>
          <w:b/>
          <w:sz w:val="22"/>
          <w:szCs w:val="22"/>
          <w:lang w:val="en-US"/>
        </w:rPr>
        <w:t xml:space="preserve">Supp. Figure S9. </w:t>
      </w:r>
      <w:r w:rsidRPr="0026705F">
        <w:rPr>
          <w:sz w:val="22"/>
          <w:szCs w:val="22"/>
          <w:lang w:val="en-US"/>
        </w:rPr>
        <w:t xml:space="preserve">Integrated expression of positive and negative fibroblast marker genes in </w:t>
      </w:r>
      <w:r w:rsidR="00BB73DF" w:rsidRPr="0026705F">
        <w:rPr>
          <w:sz w:val="22"/>
          <w:szCs w:val="22"/>
          <w:lang w:val="en-US"/>
        </w:rPr>
        <w:t xml:space="preserve">clusters 1-7 of </w:t>
      </w:r>
      <w:r w:rsidRPr="0026705F">
        <w:rPr>
          <w:sz w:val="22"/>
          <w:szCs w:val="22"/>
          <w:lang w:val="en-US"/>
        </w:rPr>
        <w:t xml:space="preserve">dermal fibroblasts from </w:t>
      </w:r>
      <w:r w:rsidR="00BB73DF" w:rsidRPr="0026705F">
        <w:rPr>
          <w:sz w:val="22"/>
          <w:szCs w:val="22"/>
          <w:lang w:val="en-US"/>
        </w:rPr>
        <w:t xml:space="preserve">the </w:t>
      </w:r>
      <w:r w:rsidRPr="0026705F">
        <w:rPr>
          <w:sz w:val="22"/>
          <w:szCs w:val="22"/>
          <w:lang w:val="en-US"/>
        </w:rPr>
        <w:t>three individuals</w:t>
      </w:r>
      <w:r w:rsidR="007B06C6" w:rsidRPr="0026705F">
        <w:rPr>
          <w:sz w:val="22"/>
          <w:szCs w:val="22"/>
          <w:lang w:val="en-US"/>
        </w:rPr>
        <w:t xml:space="preserve"> analyzed in this study</w:t>
      </w:r>
      <w:r w:rsidRPr="0026705F">
        <w:rPr>
          <w:sz w:val="22"/>
          <w:szCs w:val="22"/>
          <w:lang w:val="en-US"/>
        </w:rPr>
        <w:t xml:space="preserve">. </w:t>
      </w:r>
    </w:p>
    <w:p w14:paraId="212D63DE" w14:textId="574F7423" w:rsidR="007B06C6" w:rsidRPr="0026705F" w:rsidRDefault="001B01A9" w:rsidP="007519F8">
      <w:pPr>
        <w:spacing w:line="480" w:lineRule="auto"/>
        <w:jc w:val="both"/>
        <w:rPr>
          <w:sz w:val="22"/>
          <w:szCs w:val="22"/>
          <w:lang w:val="en-US"/>
        </w:rPr>
      </w:pPr>
      <w:r w:rsidRPr="0026705F">
        <w:rPr>
          <w:b/>
          <w:sz w:val="22"/>
          <w:szCs w:val="22"/>
          <w:lang w:val="en-US"/>
        </w:rPr>
        <w:t xml:space="preserve">Supp. Figure S10. </w:t>
      </w:r>
      <w:r w:rsidRPr="0026705F">
        <w:rPr>
          <w:sz w:val="22"/>
          <w:szCs w:val="22"/>
          <w:lang w:val="en-US"/>
        </w:rPr>
        <w:t xml:space="preserve">Integrated expression of positive and negative stem/stromal marker genes in </w:t>
      </w:r>
      <w:r w:rsidR="00BB73DF" w:rsidRPr="0026705F">
        <w:rPr>
          <w:sz w:val="22"/>
          <w:szCs w:val="22"/>
          <w:lang w:val="en-US"/>
        </w:rPr>
        <w:t xml:space="preserve">clusters 1-7 of </w:t>
      </w:r>
      <w:r w:rsidRPr="0026705F">
        <w:rPr>
          <w:sz w:val="22"/>
          <w:szCs w:val="22"/>
          <w:lang w:val="en-US"/>
        </w:rPr>
        <w:t xml:space="preserve">dermal fibroblasts from </w:t>
      </w:r>
      <w:r w:rsidR="00BB73DF" w:rsidRPr="0026705F">
        <w:rPr>
          <w:sz w:val="22"/>
          <w:szCs w:val="22"/>
          <w:lang w:val="en-US"/>
        </w:rPr>
        <w:t xml:space="preserve">the </w:t>
      </w:r>
      <w:r w:rsidRPr="0026705F">
        <w:rPr>
          <w:sz w:val="22"/>
          <w:szCs w:val="22"/>
          <w:lang w:val="en-US"/>
        </w:rPr>
        <w:t>three individuals</w:t>
      </w:r>
      <w:r w:rsidR="007B06C6" w:rsidRPr="0026705F">
        <w:rPr>
          <w:sz w:val="22"/>
          <w:szCs w:val="22"/>
          <w:lang w:val="en-US"/>
        </w:rPr>
        <w:t xml:space="preserve"> analyzed in this study</w:t>
      </w:r>
      <w:r w:rsidRPr="0026705F">
        <w:rPr>
          <w:sz w:val="22"/>
          <w:szCs w:val="22"/>
          <w:lang w:val="en-US"/>
        </w:rPr>
        <w:t xml:space="preserve">. </w:t>
      </w:r>
    </w:p>
    <w:p w14:paraId="253223FE" w14:textId="7A26823C" w:rsidR="007519F8" w:rsidRPr="0026705F" w:rsidRDefault="007B06C6" w:rsidP="00146762">
      <w:pPr>
        <w:rPr>
          <w:sz w:val="22"/>
          <w:szCs w:val="22"/>
          <w:lang w:val="en-US"/>
        </w:rPr>
      </w:pPr>
      <w:r w:rsidRPr="0026705F">
        <w:rPr>
          <w:sz w:val="22"/>
          <w:szCs w:val="22"/>
          <w:lang w:val="en-US"/>
        </w:rPr>
        <w:br w:type="page"/>
      </w:r>
    </w:p>
    <w:p w14:paraId="3EC30D83" w14:textId="46476B45" w:rsidR="000B6A26" w:rsidRPr="0026705F" w:rsidRDefault="000B6A26" w:rsidP="000B6A26">
      <w:pPr>
        <w:spacing w:line="480" w:lineRule="auto"/>
        <w:jc w:val="both"/>
        <w:rPr>
          <w:bCs/>
          <w:sz w:val="22"/>
          <w:szCs w:val="22"/>
          <w:lang w:val="en-US"/>
        </w:rPr>
      </w:pPr>
      <w:r w:rsidRPr="0026705F">
        <w:rPr>
          <w:b/>
          <w:color w:val="000000"/>
          <w:sz w:val="22"/>
          <w:szCs w:val="22"/>
          <w:lang w:val="en-US"/>
        </w:rPr>
        <w:lastRenderedPageBreak/>
        <w:t xml:space="preserve">Supp. Table S1. </w:t>
      </w:r>
      <w:r w:rsidRPr="0026705F">
        <w:rPr>
          <w:bCs/>
          <w:color w:val="000000"/>
          <w:sz w:val="22"/>
          <w:szCs w:val="22"/>
          <w:lang w:val="en-US"/>
        </w:rPr>
        <w:t xml:space="preserve">Gene-specific primer sequences used for the </w:t>
      </w:r>
      <w:r w:rsidRPr="0026705F">
        <w:rPr>
          <w:bCs/>
          <w:sz w:val="22"/>
          <w:szCs w:val="22"/>
          <w:lang w:val="en-US"/>
        </w:rPr>
        <w:t>qPCR verification analysis of AD-MSCs and fibroblasts markers.</w:t>
      </w:r>
    </w:p>
    <w:tbl>
      <w:tblPr>
        <w:tblStyle w:val="Tabela-Siatka"/>
        <w:tblW w:w="8359" w:type="dxa"/>
        <w:jc w:val="center"/>
        <w:tblLayout w:type="fixed"/>
        <w:tblLook w:val="04A0" w:firstRow="1" w:lastRow="0" w:firstColumn="1" w:lastColumn="0" w:noHBand="0" w:noVBand="1"/>
      </w:tblPr>
      <w:tblGrid>
        <w:gridCol w:w="1271"/>
        <w:gridCol w:w="3544"/>
        <w:gridCol w:w="3544"/>
      </w:tblGrid>
      <w:tr w:rsidR="000B6A26" w:rsidRPr="0026705F" w14:paraId="323CF5C5" w14:textId="77777777" w:rsidTr="001B67E8">
        <w:trPr>
          <w:trHeight w:val="469"/>
          <w:jc w:val="center"/>
        </w:trPr>
        <w:tc>
          <w:tcPr>
            <w:tcW w:w="1271" w:type="dxa"/>
            <w:vAlign w:val="center"/>
          </w:tcPr>
          <w:p w14:paraId="5BEA2A16" w14:textId="77777777" w:rsidR="000B6A26" w:rsidRPr="0026705F" w:rsidRDefault="000B6A26" w:rsidP="001B67E8">
            <w:pPr>
              <w:spacing w:line="360" w:lineRule="auto"/>
              <w:rPr>
                <w:b/>
                <w:lang w:val="en-US"/>
              </w:rPr>
            </w:pPr>
            <w:r w:rsidRPr="0026705F">
              <w:rPr>
                <w:b/>
                <w:lang w:val="en-US"/>
              </w:rPr>
              <w:t xml:space="preserve">Gene </w:t>
            </w:r>
          </w:p>
        </w:tc>
        <w:tc>
          <w:tcPr>
            <w:tcW w:w="3544" w:type="dxa"/>
            <w:vAlign w:val="center"/>
          </w:tcPr>
          <w:p w14:paraId="415D837B" w14:textId="77777777" w:rsidR="000B6A26" w:rsidRPr="0026705F" w:rsidRDefault="000B6A26" w:rsidP="001B67E8">
            <w:pPr>
              <w:spacing w:line="360" w:lineRule="auto"/>
              <w:rPr>
                <w:b/>
                <w:lang w:val="en-US"/>
              </w:rPr>
            </w:pPr>
            <w:r w:rsidRPr="0026705F">
              <w:rPr>
                <w:b/>
                <w:lang w:val="en-US"/>
              </w:rPr>
              <w:t>Forward primer (5’-3’)</w:t>
            </w:r>
          </w:p>
        </w:tc>
        <w:tc>
          <w:tcPr>
            <w:tcW w:w="3544" w:type="dxa"/>
            <w:vAlign w:val="center"/>
          </w:tcPr>
          <w:p w14:paraId="3B89D855" w14:textId="77777777" w:rsidR="000B6A26" w:rsidRPr="0026705F" w:rsidRDefault="000B6A26" w:rsidP="001B67E8">
            <w:pPr>
              <w:spacing w:line="360" w:lineRule="auto"/>
              <w:rPr>
                <w:b/>
                <w:lang w:val="en-US"/>
              </w:rPr>
            </w:pPr>
            <w:r w:rsidRPr="0026705F">
              <w:rPr>
                <w:b/>
                <w:lang w:val="en-US"/>
              </w:rPr>
              <w:t>Reverse primer (5’-3’)</w:t>
            </w:r>
          </w:p>
        </w:tc>
      </w:tr>
      <w:tr w:rsidR="000B6A26" w:rsidRPr="0026705F" w14:paraId="08E1351F" w14:textId="77777777" w:rsidTr="001B67E8">
        <w:trPr>
          <w:trHeight w:val="469"/>
          <w:jc w:val="center"/>
        </w:trPr>
        <w:tc>
          <w:tcPr>
            <w:tcW w:w="1271" w:type="dxa"/>
            <w:vAlign w:val="center"/>
          </w:tcPr>
          <w:p w14:paraId="67AD4594" w14:textId="77777777" w:rsidR="000B6A26" w:rsidRPr="0026705F" w:rsidRDefault="000B6A26" w:rsidP="001B67E8">
            <w:pPr>
              <w:spacing w:line="360" w:lineRule="auto"/>
              <w:rPr>
                <w:i/>
                <w:iCs/>
                <w:lang w:val="en-US"/>
              </w:rPr>
            </w:pPr>
            <w:r w:rsidRPr="0026705F">
              <w:rPr>
                <w:i/>
                <w:iCs/>
                <w:lang w:val="en-US"/>
              </w:rPr>
              <w:t>MMP 1</w:t>
            </w:r>
          </w:p>
        </w:tc>
        <w:tc>
          <w:tcPr>
            <w:tcW w:w="3544" w:type="dxa"/>
            <w:vAlign w:val="center"/>
          </w:tcPr>
          <w:p w14:paraId="7D5335C0" w14:textId="77777777" w:rsidR="000B6A26" w:rsidRPr="0026705F" w:rsidRDefault="000B6A26" w:rsidP="001B67E8">
            <w:pPr>
              <w:spacing w:line="360" w:lineRule="auto"/>
              <w:rPr>
                <w:lang w:val="en-US"/>
              </w:rPr>
            </w:pPr>
            <w:r w:rsidRPr="0026705F">
              <w:rPr>
                <w:color w:val="222222"/>
                <w:lang w:val="en-US"/>
              </w:rPr>
              <w:t>GTTTTCTGGCCACAACTGCC</w:t>
            </w:r>
          </w:p>
        </w:tc>
        <w:tc>
          <w:tcPr>
            <w:tcW w:w="3544" w:type="dxa"/>
            <w:vAlign w:val="center"/>
          </w:tcPr>
          <w:p w14:paraId="7C41F1AB" w14:textId="77777777" w:rsidR="000B6A26" w:rsidRPr="0026705F" w:rsidRDefault="000B6A26" w:rsidP="001B67E8">
            <w:pPr>
              <w:spacing w:line="360" w:lineRule="auto"/>
              <w:rPr>
                <w:b/>
                <w:lang w:val="en-US"/>
              </w:rPr>
            </w:pPr>
            <w:r w:rsidRPr="0026705F">
              <w:rPr>
                <w:lang w:val="en-US"/>
              </w:rPr>
              <w:t>CCTTGGGGTATCCGTGTAGC</w:t>
            </w:r>
          </w:p>
        </w:tc>
      </w:tr>
      <w:tr w:rsidR="000B6A26" w:rsidRPr="0026705F" w14:paraId="49EA830A" w14:textId="77777777" w:rsidTr="001B67E8">
        <w:trPr>
          <w:trHeight w:val="469"/>
          <w:jc w:val="center"/>
        </w:trPr>
        <w:tc>
          <w:tcPr>
            <w:tcW w:w="1271" w:type="dxa"/>
            <w:vAlign w:val="center"/>
          </w:tcPr>
          <w:p w14:paraId="42BF8D73" w14:textId="77777777" w:rsidR="000B6A26" w:rsidRPr="0026705F" w:rsidRDefault="000B6A26" w:rsidP="001B67E8">
            <w:pPr>
              <w:spacing w:line="360" w:lineRule="auto"/>
              <w:rPr>
                <w:i/>
                <w:iCs/>
                <w:lang w:val="en-US"/>
              </w:rPr>
            </w:pPr>
            <w:r w:rsidRPr="0026705F">
              <w:rPr>
                <w:i/>
                <w:iCs/>
                <w:lang w:val="en-US"/>
              </w:rPr>
              <w:t>MMP3</w:t>
            </w:r>
          </w:p>
        </w:tc>
        <w:tc>
          <w:tcPr>
            <w:tcW w:w="3544" w:type="dxa"/>
            <w:vAlign w:val="center"/>
          </w:tcPr>
          <w:p w14:paraId="49A24E8B" w14:textId="77777777" w:rsidR="000B6A26" w:rsidRPr="0026705F" w:rsidRDefault="000B6A26" w:rsidP="001B67E8">
            <w:pPr>
              <w:spacing w:line="360" w:lineRule="auto"/>
              <w:rPr>
                <w:b/>
                <w:lang w:val="en-US"/>
              </w:rPr>
            </w:pPr>
            <w:r w:rsidRPr="0026705F">
              <w:rPr>
                <w:color w:val="222222"/>
                <w:lang w:val="en-US"/>
              </w:rPr>
              <w:t>GACCTGGAAATGTTTTGGCCC</w:t>
            </w:r>
          </w:p>
        </w:tc>
        <w:tc>
          <w:tcPr>
            <w:tcW w:w="3544" w:type="dxa"/>
            <w:vAlign w:val="center"/>
          </w:tcPr>
          <w:p w14:paraId="72ABF532" w14:textId="77777777" w:rsidR="000B6A26" w:rsidRPr="0026705F" w:rsidRDefault="000B6A26" w:rsidP="001B67E8">
            <w:pPr>
              <w:spacing w:line="360" w:lineRule="auto"/>
              <w:rPr>
                <w:b/>
                <w:lang w:val="en-US"/>
              </w:rPr>
            </w:pPr>
            <w:r w:rsidRPr="0026705F">
              <w:rPr>
                <w:lang w:val="en-US"/>
              </w:rPr>
              <w:t>AGCTTCAGTGTTGGCTGAGT</w:t>
            </w:r>
          </w:p>
        </w:tc>
      </w:tr>
      <w:tr w:rsidR="000B6A26" w:rsidRPr="0026705F" w14:paraId="018E559A" w14:textId="77777777" w:rsidTr="001B67E8">
        <w:trPr>
          <w:trHeight w:val="469"/>
          <w:jc w:val="center"/>
        </w:trPr>
        <w:tc>
          <w:tcPr>
            <w:tcW w:w="1271" w:type="dxa"/>
            <w:vAlign w:val="center"/>
          </w:tcPr>
          <w:p w14:paraId="44B1E47C" w14:textId="77777777" w:rsidR="000B6A26" w:rsidRPr="0026705F" w:rsidRDefault="000B6A26" w:rsidP="001B67E8">
            <w:pPr>
              <w:spacing w:line="360" w:lineRule="auto"/>
              <w:rPr>
                <w:i/>
                <w:iCs/>
                <w:lang w:val="en-US" w:eastAsia="pl-PL"/>
              </w:rPr>
            </w:pPr>
            <w:r w:rsidRPr="0026705F">
              <w:rPr>
                <w:i/>
                <w:iCs/>
                <w:lang w:val="en-US" w:eastAsia="pl-PL"/>
              </w:rPr>
              <w:t>S100A4</w:t>
            </w:r>
          </w:p>
        </w:tc>
        <w:tc>
          <w:tcPr>
            <w:tcW w:w="3544" w:type="dxa"/>
            <w:vAlign w:val="center"/>
          </w:tcPr>
          <w:p w14:paraId="77973851" w14:textId="77777777" w:rsidR="000B6A26" w:rsidRPr="0026705F" w:rsidRDefault="000B6A26" w:rsidP="001B67E8">
            <w:pPr>
              <w:spacing w:line="360" w:lineRule="auto"/>
              <w:rPr>
                <w:b/>
                <w:lang w:val="en-US"/>
              </w:rPr>
            </w:pPr>
            <w:r w:rsidRPr="0026705F">
              <w:rPr>
                <w:color w:val="222222"/>
                <w:lang w:val="en-US"/>
              </w:rPr>
              <w:t>CTCTCTCCTCAGCGCTTCTTC</w:t>
            </w:r>
          </w:p>
        </w:tc>
        <w:tc>
          <w:tcPr>
            <w:tcW w:w="3544" w:type="dxa"/>
            <w:vAlign w:val="center"/>
          </w:tcPr>
          <w:p w14:paraId="7F58825E" w14:textId="77777777" w:rsidR="000B6A26" w:rsidRPr="0026705F" w:rsidRDefault="000B6A26" w:rsidP="001B67E8">
            <w:pPr>
              <w:spacing w:line="360" w:lineRule="auto"/>
              <w:rPr>
                <w:b/>
                <w:lang w:val="en-US"/>
              </w:rPr>
            </w:pPr>
            <w:r w:rsidRPr="0026705F">
              <w:rPr>
                <w:lang w:val="en-US"/>
              </w:rPr>
              <w:t>TGTCCCTGTTGCTGTCCAAG</w:t>
            </w:r>
          </w:p>
        </w:tc>
      </w:tr>
      <w:tr w:rsidR="000B6A26" w:rsidRPr="0026705F" w14:paraId="25171E6C" w14:textId="77777777" w:rsidTr="001B67E8">
        <w:trPr>
          <w:trHeight w:val="469"/>
          <w:jc w:val="center"/>
        </w:trPr>
        <w:tc>
          <w:tcPr>
            <w:tcW w:w="1271" w:type="dxa"/>
            <w:vAlign w:val="center"/>
          </w:tcPr>
          <w:p w14:paraId="4C769564" w14:textId="77777777" w:rsidR="000B6A26" w:rsidRPr="0026705F" w:rsidRDefault="000B6A26" w:rsidP="001B67E8">
            <w:pPr>
              <w:spacing w:line="360" w:lineRule="auto"/>
              <w:rPr>
                <w:i/>
                <w:iCs/>
                <w:lang w:val="en-US" w:eastAsia="pl-PL"/>
              </w:rPr>
            </w:pPr>
            <w:r w:rsidRPr="0026705F">
              <w:rPr>
                <w:i/>
                <w:iCs/>
                <w:lang w:val="en-US" w:eastAsia="pl-PL"/>
              </w:rPr>
              <w:t>CXCL1</w:t>
            </w:r>
          </w:p>
        </w:tc>
        <w:tc>
          <w:tcPr>
            <w:tcW w:w="3544" w:type="dxa"/>
            <w:vAlign w:val="center"/>
          </w:tcPr>
          <w:p w14:paraId="7C4DE9C1" w14:textId="77777777" w:rsidR="000B6A26" w:rsidRPr="0026705F" w:rsidRDefault="000B6A26" w:rsidP="001B67E8">
            <w:pPr>
              <w:spacing w:line="360" w:lineRule="auto"/>
              <w:rPr>
                <w:b/>
                <w:lang w:val="en-US"/>
              </w:rPr>
            </w:pPr>
            <w:r w:rsidRPr="0026705F">
              <w:rPr>
                <w:color w:val="222222"/>
                <w:lang w:val="en-US"/>
              </w:rPr>
              <w:t>CTGGCGGATCCAAGCAAATG</w:t>
            </w:r>
          </w:p>
        </w:tc>
        <w:tc>
          <w:tcPr>
            <w:tcW w:w="3544" w:type="dxa"/>
            <w:vAlign w:val="center"/>
          </w:tcPr>
          <w:p w14:paraId="540D80E8" w14:textId="77777777" w:rsidR="000B6A26" w:rsidRPr="0026705F" w:rsidRDefault="000B6A26" w:rsidP="001B67E8">
            <w:pPr>
              <w:spacing w:line="360" w:lineRule="auto"/>
              <w:rPr>
                <w:b/>
                <w:lang w:val="en-US"/>
              </w:rPr>
            </w:pPr>
            <w:r w:rsidRPr="0026705F">
              <w:rPr>
                <w:color w:val="222222"/>
                <w:lang w:val="en-US"/>
              </w:rPr>
              <w:t>GCCCCTTTGTTCTAAGCCAG</w:t>
            </w:r>
          </w:p>
        </w:tc>
      </w:tr>
      <w:tr w:rsidR="000B6A26" w:rsidRPr="0026705F" w14:paraId="0B35D37D" w14:textId="77777777" w:rsidTr="001B67E8">
        <w:trPr>
          <w:trHeight w:val="469"/>
          <w:jc w:val="center"/>
        </w:trPr>
        <w:tc>
          <w:tcPr>
            <w:tcW w:w="1271" w:type="dxa"/>
            <w:vAlign w:val="center"/>
          </w:tcPr>
          <w:p w14:paraId="02F6DC6C" w14:textId="77777777" w:rsidR="000B6A26" w:rsidRPr="0026705F" w:rsidRDefault="000B6A26" w:rsidP="001B67E8">
            <w:pPr>
              <w:spacing w:line="360" w:lineRule="auto"/>
              <w:rPr>
                <w:i/>
                <w:iCs/>
                <w:lang w:val="en-US" w:eastAsia="pl-PL"/>
              </w:rPr>
            </w:pPr>
            <w:r w:rsidRPr="0026705F">
              <w:rPr>
                <w:i/>
                <w:iCs/>
                <w:lang w:val="en-US" w:eastAsia="pl-PL"/>
              </w:rPr>
              <w:t>PI16</w:t>
            </w:r>
          </w:p>
        </w:tc>
        <w:tc>
          <w:tcPr>
            <w:tcW w:w="3544" w:type="dxa"/>
            <w:vAlign w:val="center"/>
          </w:tcPr>
          <w:p w14:paraId="5372BDC7" w14:textId="77777777" w:rsidR="000B6A26" w:rsidRPr="0026705F" w:rsidRDefault="000B6A26" w:rsidP="001B67E8">
            <w:pPr>
              <w:spacing w:line="360" w:lineRule="auto"/>
              <w:rPr>
                <w:color w:val="222222"/>
                <w:lang w:val="en-US"/>
              </w:rPr>
            </w:pPr>
            <w:r w:rsidRPr="0026705F">
              <w:rPr>
                <w:color w:val="222222"/>
                <w:lang w:val="en-US"/>
              </w:rPr>
              <w:t>AGCGTGAGCACTACAACCTC</w:t>
            </w:r>
          </w:p>
        </w:tc>
        <w:tc>
          <w:tcPr>
            <w:tcW w:w="3544" w:type="dxa"/>
            <w:vAlign w:val="center"/>
          </w:tcPr>
          <w:p w14:paraId="73E74B04" w14:textId="77777777" w:rsidR="000B6A26" w:rsidRPr="0026705F" w:rsidRDefault="000B6A26" w:rsidP="001B67E8">
            <w:pPr>
              <w:spacing w:line="360" w:lineRule="auto"/>
              <w:rPr>
                <w:b/>
                <w:color w:val="222222"/>
                <w:lang w:val="en-US"/>
              </w:rPr>
            </w:pPr>
            <w:r w:rsidRPr="0026705F">
              <w:rPr>
                <w:color w:val="222222"/>
                <w:shd w:val="clear" w:color="auto" w:fill="FFFFFF"/>
                <w:lang w:val="en-US"/>
              </w:rPr>
              <w:t>ACAGCCGATCCTCTCTGTCT</w:t>
            </w:r>
          </w:p>
        </w:tc>
      </w:tr>
      <w:tr w:rsidR="000B6A26" w:rsidRPr="0026705F" w14:paraId="511BBB65" w14:textId="77777777" w:rsidTr="001B67E8">
        <w:trPr>
          <w:trHeight w:val="469"/>
          <w:jc w:val="center"/>
        </w:trPr>
        <w:tc>
          <w:tcPr>
            <w:tcW w:w="1271" w:type="dxa"/>
            <w:vAlign w:val="center"/>
          </w:tcPr>
          <w:p w14:paraId="2AFF1FA1" w14:textId="77777777" w:rsidR="000B6A26" w:rsidRPr="0026705F" w:rsidRDefault="000B6A26" w:rsidP="001B67E8">
            <w:pPr>
              <w:spacing w:line="360" w:lineRule="auto"/>
              <w:rPr>
                <w:i/>
                <w:iCs/>
                <w:lang w:val="en-US" w:eastAsia="pl-PL"/>
              </w:rPr>
            </w:pPr>
            <w:r w:rsidRPr="0026705F">
              <w:rPr>
                <w:i/>
                <w:iCs/>
                <w:lang w:val="en-US" w:eastAsia="pl-PL"/>
              </w:rPr>
              <w:t>IGFBP5</w:t>
            </w:r>
          </w:p>
        </w:tc>
        <w:tc>
          <w:tcPr>
            <w:tcW w:w="3544" w:type="dxa"/>
            <w:vAlign w:val="center"/>
          </w:tcPr>
          <w:p w14:paraId="186D2654" w14:textId="77777777" w:rsidR="000B6A26" w:rsidRPr="0026705F" w:rsidRDefault="000B6A26" w:rsidP="001B67E8">
            <w:pPr>
              <w:spacing w:line="360" w:lineRule="auto"/>
              <w:rPr>
                <w:color w:val="222222"/>
                <w:lang w:val="en-US"/>
              </w:rPr>
            </w:pPr>
            <w:r w:rsidRPr="0026705F">
              <w:rPr>
                <w:color w:val="222222"/>
                <w:shd w:val="clear" w:color="auto" w:fill="FFFFFF"/>
                <w:lang w:val="en-US"/>
              </w:rPr>
              <w:t>CCCAATTGTGACCGCAAAGG</w:t>
            </w:r>
          </w:p>
        </w:tc>
        <w:tc>
          <w:tcPr>
            <w:tcW w:w="3544" w:type="dxa"/>
            <w:vAlign w:val="center"/>
          </w:tcPr>
          <w:p w14:paraId="2E6418E4" w14:textId="77777777" w:rsidR="000B6A26" w:rsidRPr="0026705F" w:rsidRDefault="000B6A26" w:rsidP="001B67E8">
            <w:pPr>
              <w:spacing w:line="360" w:lineRule="auto"/>
              <w:rPr>
                <w:b/>
                <w:color w:val="222222"/>
                <w:lang w:val="en-US"/>
              </w:rPr>
            </w:pPr>
            <w:r w:rsidRPr="0026705F">
              <w:rPr>
                <w:color w:val="222222"/>
                <w:shd w:val="clear" w:color="auto" w:fill="FFFFFF"/>
                <w:lang w:val="en-US"/>
              </w:rPr>
              <w:t>CGTCAACGTACTCCATGCCT</w:t>
            </w:r>
          </w:p>
        </w:tc>
      </w:tr>
      <w:tr w:rsidR="000B6A26" w:rsidRPr="0026705F" w14:paraId="0313D609" w14:textId="77777777" w:rsidTr="001B67E8">
        <w:trPr>
          <w:trHeight w:val="469"/>
          <w:jc w:val="center"/>
        </w:trPr>
        <w:tc>
          <w:tcPr>
            <w:tcW w:w="1271" w:type="dxa"/>
            <w:vAlign w:val="center"/>
          </w:tcPr>
          <w:p w14:paraId="2FF0DFFE" w14:textId="77777777" w:rsidR="000B6A26" w:rsidRPr="0026705F" w:rsidRDefault="000B6A26" w:rsidP="001B67E8">
            <w:pPr>
              <w:spacing w:line="360" w:lineRule="auto"/>
              <w:rPr>
                <w:i/>
                <w:iCs/>
                <w:lang w:val="en-US" w:eastAsia="pl-PL"/>
              </w:rPr>
            </w:pPr>
            <w:r w:rsidRPr="0026705F">
              <w:rPr>
                <w:i/>
                <w:iCs/>
                <w:lang w:val="en-US" w:eastAsia="pl-PL"/>
              </w:rPr>
              <w:t>COMP</w:t>
            </w:r>
          </w:p>
        </w:tc>
        <w:tc>
          <w:tcPr>
            <w:tcW w:w="3544" w:type="dxa"/>
            <w:vAlign w:val="center"/>
          </w:tcPr>
          <w:p w14:paraId="46CDE5FF" w14:textId="77777777" w:rsidR="000B6A26" w:rsidRPr="0026705F" w:rsidRDefault="000B6A26" w:rsidP="001B67E8">
            <w:pPr>
              <w:spacing w:line="360" w:lineRule="auto"/>
              <w:rPr>
                <w:b/>
                <w:color w:val="222222"/>
                <w:lang w:val="en-US"/>
              </w:rPr>
            </w:pPr>
            <w:r w:rsidRPr="0026705F">
              <w:rPr>
                <w:lang w:val="en-US"/>
              </w:rPr>
              <w:t>CCAAGTGGGCTACATCAGG</w:t>
            </w:r>
          </w:p>
        </w:tc>
        <w:tc>
          <w:tcPr>
            <w:tcW w:w="3544" w:type="dxa"/>
            <w:vAlign w:val="center"/>
          </w:tcPr>
          <w:p w14:paraId="63FD2F7E" w14:textId="77777777" w:rsidR="000B6A26" w:rsidRPr="0026705F" w:rsidRDefault="000B6A26" w:rsidP="001B67E8">
            <w:pPr>
              <w:spacing w:line="360" w:lineRule="auto"/>
              <w:rPr>
                <w:color w:val="222222"/>
                <w:shd w:val="clear" w:color="auto" w:fill="FFFFFF"/>
                <w:lang w:val="en-US"/>
              </w:rPr>
            </w:pPr>
            <w:r w:rsidRPr="0026705F">
              <w:rPr>
                <w:lang w:val="en-US"/>
              </w:rPr>
              <w:t>GTCCAAGACCACGTTGCTG</w:t>
            </w:r>
          </w:p>
        </w:tc>
      </w:tr>
      <w:tr w:rsidR="000B6A26" w:rsidRPr="0026705F" w14:paraId="0966E9B4" w14:textId="77777777" w:rsidTr="001B67E8">
        <w:trPr>
          <w:trHeight w:val="469"/>
          <w:jc w:val="center"/>
        </w:trPr>
        <w:tc>
          <w:tcPr>
            <w:tcW w:w="1271" w:type="dxa"/>
            <w:vAlign w:val="center"/>
          </w:tcPr>
          <w:p w14:paraId="2B06C1E8" w14:textId="77777777" w:rsidR="000B6A26" w:rsidRPr="0026705F" w:rsidRDefault="000B6A26" w:rsidP="001B67E8">
            <w:pPr>
              <w:spacing w:line="360" w:lineRule="auto"/>
              <w:rPr>
                <w:i/>
                <w:iCs/>
                <w:color w:val="000000" w:themeColor="text1"/>
                <w:lang w:val="en-US" w:eastAsia="pl-PL"/>
              </w:rPr>
            </w:pPr>
            <w:r w:rsidRPr="0026705F">
              <w:rPr>
                <w:i/>
                <w:iCs/>
                <w:color w:val="000000" w:themeColor="text1"/>
                <w:lang w:val="en-US" w:eastAsia="pl-PL"/>
              </w:rPr>
              <w:t>RPL13A</w:t>
            </w:r>
          </w:p>
        </w:tc>
        <w:tc>
          <w:tcPr>
            <w:tcW w:w="3544" w:type="dxa"/>
            <w:vAlign w:val="center"/>
          </w:tcPr>
          <w:p w14:paraId="3D49A252" w14:textId="77777777" w:rsidR="000B6A26" w:rsidRPr="0026705F" w:rsidRDefault="000B6A26" w:rsidP="001B67E8">
            <w:pPr>
              <w:spacing w:line="360" w:lineRule="auto"/>
              <w:rPr>
                <w:color w:val="222222"/>
                <w:lang w:val="en-US"/>
              </w:rPr>
            </w:pPr>
            <w:r w:rsidRPr="0026705F">
              <w:rPr>
                <w:color w:val="222222"/>
                <w:shd w:val="clear" w:color="auto" w:fill="FFFFFF"/>
                <w:lang w:val="en-US"/>
              </w:rPr>
              <w:t>CCGAAGATGGCGGAGGTG</w:t>
            </w:r>
          </w:p>
        </w:tc>
        <w:tc>
          <w:tcPr>
            <w:tcW w:w="3544" w:type="dxa"/>
            <w:vAlign w:val="center"/>
          </w:tcPr>
          <w:p w14:paraId="4CE507BE" w14:textId="77777777" w:rsidR="000B6A26" w:rsidRPr="0026705F" w:rsidRDefault="000B6A26" w:rsidP="001B67E8">
            <w:pPr>
              <w:spacing w:line="360" w:lineRule="auto"/>
              <w:rPr>
                <w:b/>
                <w:color w:val="222222"/>
                <w:lang w:val="en-US"/>
              </w:rPr>
            </w:pPr>
            <w:r w:rsidRPr="0026705F">
              <w:rPr>
                <w:color w:val="222222"/>
                <w:shd w:val="clear" w:color="auto" w:fill="FFFFFF"/>
                <w:lang w:val="en-US"/>
              </w:rPr>
              <w:t>CGGAGGAAAGCCAGGTACTTC</w:t>
            </w:r>
          </w:p>
        </w:tc>
      </w:tr>
      <w:tr w:rsidR="000B6A26" w:rsidRPr="0026705F" w14:paraId="29F8476D" w14:textId="77777777" w:rsidTr="001B67E8">
        <w:trPr>
          <w:trHeight w:val="469"/>
          <w:jc w:val="center"/>
        </w:trPr>
        <w:tc>
          <w:tcPr>
            <w:tcW w:w="1271" w:type="dxa"/>
            <w:vAlign w:val="center"/>
          </w:tcPr>
          <w:p w14:paraId="4C206486" w14:textId="77777777" w:rsidR="000B6A26" w:rsidRPr="0026705F" w:rsidRDefault="000B6A26" w:rsidP="001B67E8">
            <w:pPr>
              <w:spacing w:line="360" w:lineRule="auto"/>
              <w:rPr>
                <w:i/>
                <w:iCs/>
                <w:color w:val="000000" w:themeColor="text1"/>
                <w:lang w:val="en-US" w:eastAsia="pl-PL"/>
              </w:rPr>
            </w:pPr>
            <w:r w:rsidRPr="0026705F">
              <w:rPr>
                <w:i/>
                <w:iCs/>
                <w:color w:val="000000" w:themeColor="text1"/>
                <w:lang w:val="en-US" w:eastAsia="pl-PL"/>
              </w:rPr>
              <w:t>RPLP0</w:t>
            </w:r>
          </w:p>
        </w:tc>
        <w:tc>
          <w:tcPr>
            <w:tcW w:w="3544" w:type="dxa"/>
            <w:vAlign w:val="center"/>
          </w:tcPr>
          <w:p w14:paraId="11BD431F" w14:textId="77777777" w:rsidR="000B6A26" w:rsidRPr="0026705F" w:rsidRDefault="000B6A26" w:rsidP="001B67E8">
            <w:pPr>
              <w:spacing w:line="360" w:lineRule="auto"/>
              <w:rPr>
                <w:color w:val="222222"/>
                <w:shd w:val="clear" w:color="auto" w:fill="FFFFFF"/>
                <w:lang w:val="en-US"/>
              </w:rPr>
            </w:pPr>
            <w:r w:rsidRPr="0026705F">
              <w:rPr>
                <w:color w:val="222222"/>
                <w:lang w:val="en-US"/>
              </w:rPr>
              <w:t>CGTCCTCGTGGAAGTGACAT</w:t>
            </w:r>
          </w:p>
        </w:tc>
        <w:tc>
          <w:tcPr>
            <w:tcW w:w="3544" w:type="dxa"/>
            <w:vAlign w:val="center"/>
          </w:tcPr>
          <w:p w14:paraId="24C4B8F5" w14:textId="77777777" w:rsidR="000B6A26" w:rsidRPr="0026705F" w:rsidRDefault="000B6A26" w:rsidP="001B67E8">
            <w:pPr>
              <w:spacing w:line="360" w:lineRule="auto"/>
              <w:rPr>
                <w:b/>
                <w:color w:val="222222"/>
                <w:lang w:val="en-US"/>
              </w:rPr>
            </w:pPr>
            <w:r w:rsidRPr="0026705F">
              <w:rPr>
                <w:color w:val="222222"/>
                <w:lang w:val="en-US"/>
              </w:rPr>
              <w:t>CATGCGGATCTGCTGCATCT</w:t>
            </w:r>
          </w:p>
        </w:tc>
      </w:tr>
      <w:tr w:rsidR="000B6A26" w:rsidRPr="0026705F" w14:paraId="1119987A" w14:textId="77777777" w:rsidTr="001B67E8">
        <w:trPr>
          <w:trHeight w:val="469"/>
          <w:jc w:val="center"/>
        </w:trPr>
        <w:tc>
          <w:tcPr>
            <w:tcW w:w="1271" w:type="dxa"/>
            <w:vAlign w:val="center"/>
          </w:tcPr>
          <w:p w14:paraId="34D8F1D2" w14:textId="77777777" w:rsidR="000B6A26" w:rsidRPr="0026705F" w:rsidRDefault="000B6A26" w:rsidP="001B67E8">
            <w:pPr>
              <w:spacing w:line="360" w:lineRule="auto"/>
              <w:rPr>
                <w:i/>
                <w:iCs/>
                <w:lang w:val="en-US" w:eastAsia="pl-PL"/>
              </w:rPr>
            </w:pPr>
            <w:r w:rsidRPr="0026705F">
              <w:rPr>
                <w:i/>
                <w:iCs/>
                <w:lang w:val="en-US" w:eastAsia="pl-PL"/>
              </w:rPr>
              <w:t>HPRT1</w:t>
            </w:r>
          </w:p>
        </w:tc>
        <w:tc>
          <w:tcPr>
            <w:tcW w:w="3544" w:type="dxa"/>
            <w:vAlign w:val="center"/>
          </w:tcPr>
          <w:p w14:paraId="01C1DB3C" w14:textId="77777777" w:rsidR="000B6A26" w:rsidRPr="0026705F" w:rsidRDefault="000B6A26" w:rsidP="001B67E8">
            <w:pPr>
              <w:spacing w:line="360" w:lineRule="auto"/>
              <w:rPr>
                <w:color w:val="222222"/>
                <w:shd w:val="clear" w:color="auto" w:fill="FFFFFF"/>
                <w:lang w:val="en-US"/>
              </w:rPr>
            </w:pPr>
            <w:r w:rsidRPr="0026705F">
              <w:rPr>
                <w:color w:val="222222"/>
                <w:lang w:val="en-US"/>
              </w:rPr>
              <w:t>CCTGGCGTCGTGATTAGTGAT</w:t>
            </w:r>
          </w:p>
        </w:tc>
        <w:tc>
          <w:tcPr>
            <w:tcW w:w="3544" w:type="dxa"/>
            <w:vAlign w:val="center"/>
          </w:tcPr>
          <w:p w14:paraId="05044D64" w14:textId="77777777" w:rsidR="000B6A26" w:rsidRPr="0026705F" w:rsidRDefault="000B6A26" w:rsidP="001B67E8">
            <w:pPr>
              <w:spacing w:line="360" w:lineRule="auto"/>
              <w:rPr>
                <w:b/>
                <w:color w:val="222222"/>
                <w:lang w:val="en-US"/>
              </w:rPr>
            </w:pPr>
            <w:r w:rsidRPr="0026705F">
              <w:rPr>
                <w:color w:val="222222"/>
                <w:lang w:val="en-US"/>
              </w:rPr>
              <w:t>TCCAGCAGGTCAGCAAAGAA</w:t>
            </w:r>
          </w:p>
        </w:tc>
      </w:tr>
    </w:tbl>
    <w:p w14:paraId="427AEBDF" w14:textId="77777777" w:rsidR="000B6A26" w:rsidRPr="0026705F" w:rsidRDefault="000B6A26" w:rsidP="007519F8">
      <w:pPr>
        <w:spacing w:line="480" w:lineRule="auto"/>
        <w:jc w:val="both"/>
        <w:rPr>
          <w:b/>
          <w:color w:val="000000"/>
          <w:sz w:val="22"/>
          <w:szCs w:val="22"/>
          <w:lang w:val="en-US"/>
        </w:rPr>
      </w:pPr>
    </w:p>
    <w:p w14:paraId="00000035" w14:textId="04E6DD5F" w:rsidR="007F3335" w:rsidRPr="0026705F" w:rsidRDefault="00BA3DF1" w:rsidP="007519F8">
      <w:pPr>
        <w:spacing w:line="480" w:lineRule="auto"/>
        <w:jc w:val="both"/>
        <w:rPr>
          <w:sz w:val="21"/>
          <w:szCs w:val="21"/>
          <w:lang w:val="en-US"/>
        </w:rPr>
      </w:pPr>
      <w:r w:rsidRPr="0026705F">
        <w:rPr>
          <w:b/>
          <w:color w:val="000000"/>
          <w:sz w:val="22"/>
          <w:szCs w:val="22"/>
          <w:lang w:val="en-US"/>
        </w:rPr>
        <w:t>Supp. Table S</w:t>
      </w:r>
      <w:r w:rsidR="000B6A26" w:rsidRPr="0026705F">
        <w:rPr>
          <w:b/>
          <w:color w:val="000000"/>
          <w:sz w:val="22"/>
          <w:szCs w:val="22"/>
          <w:lang w:val="en-US"/>
        </w:rPr>
        <w:t>2</w:t>
      </w:r>
      <w:r w:rsidRPr="0026705F">
        <w:rPr>
          <w:b/>
          <w:color w:val="000000"/>
          <w:sz w:val="22"/>
          <w:szCs w:val="22"/>
          <w:lang w:val="en-US"/>
        </w:rPr>
        <w:t xml:space="preserve">. </w:t>
      </w:r>
      <w:r w:rsidRPr="0026705F">
        <w:rPr>
          <w:color w:val="000000"/>
          <w:sz w:val="22"/>
          <w:szCs w:val="22"/>
          <w:lang w:val="en-US"/>
        </w:rPr>
        <w:t>Summary of individuals characteristics and derived cell lines.</w:t>
      </w:r>
    </w:p>
    <w:p w14:paraId="00000036" w14:textId="77777777" w:rsidR="007F3335" w:rsidRPr="0026705F" w:rsidRDefault="007F3335">
      <w:pPr>
        <w:rPr>
          <w:color w:val="000000"/>
          <w:sz w:val="22"/>
          <w:szCs w:val="22"/>
          <w:lang w:val="en-US"/>
        </w:rPr>
      </w:pPr>
    </w:p>
    <w:tbl>
      <w:tblPr>
        <w:tblStyle w:val="a"/>
        <w:tblW w:w="9490" w:type="dxa"/>
        <w:jc w:val="center"/>
        <w:tblInd w:w="0" w:type="dxa"/>
        <w:tblLayout w:type="fixed"/>
        <w:tblLook w:val="0400" w:firstRow="0" w:lastRow="0" w:firstColumn="0" w:lastColumn="0" w:noHBand="0" w:noVBand="1"/>
      </w:tblPr>
      <w:tblGrid>
        <w:gridCol w:w="560"/>
        <w:gridCol w:w="700"/>
        <w:gridCol w:w="700"/>
        <w:gridCol w:w="840"/>
        <w:gridCol w:w="3960"/>
        <w:gridCol w:w="2730"/>
      </w:tblGrid>
      <w:tr w:rsidR="007F3335" w:rsidRPr="0026705F" w14:paraId="0CAE2B71" w14:textId="77777777">
        <w:trPr>
          <w:trHeight w:val="531"/>
          <w:jc w:val="center"/>
        </w:trPr>
        <w:tc>
          <w:tcPr>
            <w:tcW w:w="560"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37" w14:textId="77777777" w:rsidR="007F3335" w:rsidRPr="0026705F" w:rsidRDefault="00BA3DF1">
            <w:pPr>
              <w:spacing w:line="480" w:lineRule="auto"/>
              <w:jc w:val="center"/>
              <w:rPr>
                <w:color w:val="000000"/>
                <w:sz w:val="20"/>
                <w:szCs w:val="20"/>
                <w:lang w:val="en-US"/>
              </w:rPr>
            </w:pPr>
            <w:r w:rsidRPr="0026705F">
              <w:rPr>
                <w:b/>
                <w:color w:val="000000"/>
                <w:sz w:val="20"/>
                <w:szCs w:val="20"/>
                <w:lang w:val="en-US"/>
              </w:rPr>
              <w:t>ID</w:t>
            </w:r>
          </w:p>
        </w:tc>
        <w:tc>
          <w:tcPr>
            <w:tcW w:w="700"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38" w14:textId="77777777" w:rsidR="007F3335" w:rsidRPr="0026705F" w:rsidRDefault="00BA3DF1">
            <w:pPr>
              <w:spacing w:line="480" w:lineRule="auto"/>
              <w:jc w:val="center"/>
              <w:rPr>
                <w:color w:val="000000"/>
                <w:sz w:val="20"/>
                <w:szCs w:val="20"/>
                <w:lang w:val="en-US"/>
              </w:rPr>
            </w:pPr>
            <w:r w:rsidRPr="0026705F">
              <w:rPr>
                <w:b/>
                <w:sz w:val="20"/>
                <w:szCs w:val="20"/>
                <w:lang w:val="en-US"/>
              </w:rPr>
              <w:t xml:space="preserve">Sex </w:t>
            </w:r>
            <w:r w:rsidRPr="0026705F">
              <w:rPr>
                <w:b/>
                <w:color w:val="000000"/>
                <w:sz w:val="20"/>
                <w:szCs w:val="20"/>
                <w:vertAlign w:val="superscript"/>
                <w:lang w:val="en-US"/>
              </w:rPr>
              <w:t>a</w:t>
            </w:r>
          </w:p>
        </w:tc>
        <w:tc>
          <w:tcPr>
            <w:tcW w:w="700"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39" w14:textId="77777777" w:rsidR="007F3335" w:rsidRPr="0026705F" w:rsidRDefault="00BA3DF1">
            <w:pPr>
              <w:spacing w:line="480" w:lineRule="auto"/>
              <w:jc w:val="center"/>
              <w:rPr>
                <w:color w:val="000000"/>
                <w:sz w:val="20"/>
                <w:szCs w:val="20"/>
                <w:lang w:val="en-US"/>
              </w:rPr>
            </w:pPr>
            <w:r w:rsidRPr="0026705F">
              <w:rPr>
                <w:b/>
                <w:color w:val="000000"/>
                <w:sz w:val="20"/>
                <w:szCs w:val="20"/>
                <w:lang w:val="en-US"/>
              </w:rPr>
              <w:t>Age</w:t>
            </w:r>
          </w:p>
        </w:tc>
        <w:tc>
          <w:tcPr>
            <w:tcW w:w="840"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3A" w14:textId="77777777" w:rsidR="007F3335" w:rsidRPr="0026705F" w:rsidRDefault="00BA3DF1">
            <w:pPr>
              <w:spacing w:line="480" w:lineRule="auto"/>
              <w:jc w:val="center"/>
              <w:rPr>
                <w:color w:val="000000"/>
                <w:sz w:val="20"/>
                <w:szCs w:val="20"/>
                <w:lang w:val="en-US"/>
              </w:rPr>
            </w:pPr>
            <w:r w:rsidRPr="0026705F">
              <w:rPr>
                <w:b/>
                <w:color w:val="000000"/>
                <w:sz w:val="20"/>
                <w:szCs w:val="20"/>
                <w:lang w:val="en-US"/>
              </w:rPr>
              <w:t xml:space="preserve">BMI </w:t>
            </w:r>
            <w:r w:rsidRPr="0026705F">
              <w:rPr>
                <w:b/>
                <w:color w:val="000000"/>
                <w:sz w:val="20"/>
                <w:szCs w:val="20"/>
                <w:vertAlign w:val="superscript"/>
                <w:lang w:val="en-US"/>
              </w:rPr>
              <w:t>b</w:t>
            </w:r>
          </w:p>
        </w:tc>
        <w:tc>
          <w:tcPr>
            <w:tcW w:w="3960"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3B" w14:textId="77777777" w:rsidR="007F3335" w:rsidRPr="0026705F" w:rsidRDefault="00BA3DF1">
            <w:pPr>
              <w:spacing w:line="480" w:lineRule="auto"/>
              <w:jc w:val="center"/>
              <w:rPr>
                <w:color w:val="000000"/>
                <w:sz w:val="20"/>
                <w:szCs w:val="20"/>
                <w:lang w:val="en-US"/>
              </w:rPr>
            </w:pPr>
            <w:r w:rsidRPr="0026705F">
              <w:rPr>
                <w:b/>
                <w:color w:val="000000"/>
                <w:sz w:val="20"/>
                <w:szCs w:val="20"/>
                <w:lang w:val="en-US"/>
              </w:rPr>
              <w:t xml:space="preserve">Cancer type, TNM </w:t>
            </w:r>
            <w:r w:rsidRPr="0026705F">
              <w:rPr>
                <w:b/>
                <w:color w:val="000000"/>
                <w:sz w:val="20"/>
                <w:szCs w:val="20"/>
                <w:vertAlign w:val="superscript"/>
                <w:lang w:val="en-US"/>
              </w:rPr>
              <w:t>c</w:t>
            </w:r>
          </w:p>
        </w:tc>
        <w:tc>
          <w:tcPr>
            <w:tcW w:w="2730"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3C" w14:textId="77777777" w:rsidR="007F3335" w:rsidRPr="0026705F" w:rsidRDefault="00BA3DF1">
            <w:pPr>
              <w:spacing w:line="480" w:lineRule="auto"/>
              <w:jc w:val="center"/>
              <w:rPr>
                <w:color w:val="000000"/>
                <w:sz w:val="20"/>
                <w:szCs w:val="20"/>
                <w:lang w:val="en-US"/>
              </w:rPr>
            </w:pPr>
            <w:r w:rsidRPr="0026705F">
              <w:rPr>
                <w:b/>
                <w:color w:val="000000"/>
                <w:sz w:val="20"/>
                <w:szCs w:val="20"/>
                <w:lang w:val="en-US"/>
              </w:rPr>
              <w:t xml:space="preserve">Cell lines description </w:t>
            </w:r>
            <w:r w:rsidRPr="0026705F">
              <w:rPr>
                <w:b/>
                <w:color w:val="000000"/>
                <w:sz w:val="20"/>
                <w:szCs w:val="20"/>
                <w:vertAlign w:val="superscript"/>
                <w:lang w:val="en-US"/>
              </w:rPr>
              <w:t>d</w:t>
            </w:r>
          </w:p>
        </w:tc>
      </w:tr>
      <w:tr w:rsidR="007F3335" w:rsidRPr="0026705F" w14:paraId="10C54BF2" w14:textId="77777777">
        <w:trPr>
          <w:trHeight w:val="555"/>
          <w:jc w:val="center"/>
        </w:trPr>
        <w:tc>
          <w:tcPr>
            <w:tcW w:w="560" w:type="dxa"/>
            <w:tcBorders>
              <w:top w:val="single" w:sz="12"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3D"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#1</w:t>
            </w:r>
          </w:p>
        </w:tc>
        <w:tc>
          <w:tcPr>
            <w:tcW w:w="700" w:type="dxa"/>
            <w:tcBorders>
              <w:top w:val="single" w:sz="12"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3E"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M</w:t>
            </w:r>
          </w:p>
        </w:tc>
        <w:tc>
          <w:tcPr>
            <w:tcW w:w="700" w:type="dxa"/>
            <w:tcBorders>
              <w:top w:val="single" w:sz="12"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3F"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71</w:t>
            </w:r>
          </w:p>
        </w:tc>
        <w:tc>
          <w:tcPr>
            <w:tcW w:w="840" w:type="dxa"/>
            <w:tcBorders>
              <w:top w:val="single" w:sz="12"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0"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30</w:t>
            </w:r>
          </w:p>
        </w:tc>
        <w:tc>
          <w:tcPr>
            <w:tcW w:w="3960" w:type="dxa"/>
            <w:tcBorders>
              <w:top w:val="single" w:sz="12"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1"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Sigmoid colon cancer, cT2N0M1</w:t>
            </w:r>
          </w:p>
        </w:tc>
        <w:tc>
          <w:tcPr>
            <w:tcW w:w="2730" w:type="dxa"/>
            <w:tcBorders>
              <w:top w:val="single" w:sz="12"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2"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SASC#1 / VASC#1 / FIBRO#1</w:t>
            </w:r>
          </w:p>
        </w:tc>
      </w:tr>
      <w:tr w:rsidR="007F3335" w:rsidRPr="0026705F" w14:paraId="7BFF37BC" w14:textId="77777777">
        <w:trPr>
          <w:trHeight w:val="555"/>
          <w:jc w:val="center"/>
        </w:trPr>
        <w:tc>
          <w:tcPr>
            <w:tcW w:w="560" w:type="dxa"/>
            <w:tcBorders>
              <w:top w:val="dotted" w:sz="8" w:space="0" w:color="000000"/>
              <w:left w:val="single" w:sz="6" w:space="0" w:color="FFFFFF"/>
              <w:bottom w:val="dotted" w:sz="8" w:space="0" w:color="000000"/>
              <w:right w:val="single" w:sz="6" w:space="0" w:color="FFFFFF"/>
            </w:tcBorders>
            <w:shd w:val="clear" w:color="auto" w:fill="FFFFFF"/>
            <w:tcMar>
              <w:top w:w="15" w:type="dxa"/>
              <w:left w:w="108" w:type="dxa"/>
              <w:bottom w:w="0" w:type="dxa"/>
              <w:right w:w="108" w:type="dxa"/>
            </w:tcMar>
            <w:vAlign w:val="center"/>
          </w:tcPr>
          <w:p w14:paraId="00000043"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#2</w:t>
            </w:r>
          </w:p>
        </w:tc>
        <w:tc>
          <w:tcPr>
            <w:tcW w:w="700" w:type="dxa"/>
            <w:tcBorders>
              <w:top w:val="dotted" w:sz="8" w:space="0" w:color="000000"/>
              <w:left w:val="single" w:sz="6" w:space="0" w:color="FFFFFF"/>
              <w:bottom w:val="dotted" w:sz="8" w:space="0" w:color="000000"/>
              <w:right w:val="single" w:sz="6" w:space="0" w:color="FFFFFF"/>
            </w:tcBorders>
            <w:shd w:val="clear" w:color="auto" w:fill="FFFFFF"/>
            <w:tcMar>
              <w:top w:w="15" w:type="dxa"/>
              <w:left w:w="108" w:type="dxa"/>
              <w:bottom w:w="0" w:type="dxa"/>
              <w:right w:w="108" w:type="dxa"/>
            </w:tcMar>
            <w:vAlign w:val="center"/>
          </w:tcPr>
          <w:p w14:paraId="00000044"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F</w:t>
            </w:r>
          </w:p>
        </w:tc>
        <w:tc>
          <w:tcPr>
            <w:tcW w:w="700" w:type="dxa"/>
            <w:tcBorders>
              <w:top w:val="dotted" w:sz="8" w:space="0" w:color="000000"/>
              <w:left w:val="single" w:sz="6" w:space="0" w:color="FFFFFF"/>
              <w:bottom w:val="dotted" w:sz="8" w:space="0" w:color="000000"/>
              <w:right w:val="single" w:sz="6" w:space="0" w:color="FFFFFF"/>
            </w:tcBorders>
            <w:shd w:val="clear" w:color="auto" w:fill="FFFFFF"/>
            <w:tcMar>
              <w:top w:w="15" w:type="dxa"/>
              <w:left w:w="108" w:type="dxa"/>
              <w:bottom w:w="0" w:type="dxa"/>
              <w:right w:w="108" w:type="dxa"/>
            </w:tcMar>
            <w:vAlign w:val="center"/>
          </w:tcPr>
          <w:p w14:paraId="00000045"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70</w:t>
            </w:r>
          </w:p>
        </w:tc>
        <w:tc>
          <w:tcPr>
            <w:tcW w:w="840" w:type="dxa"/>
            <w:tcBorders>
              <w:top w:val="dotted" w:sz="8" w:space="0" w:color="000000"/>
              <w:left w:val="single" w:sz="6" w:space="0" w:color="FFFFFF"/>
              <w:bottom w:val="dotted" w:sz="8" w:space="0" w:color="000000"/>
              <w:right w:val="single" w:sz="6" w:space="0" w:color="FFFFFF"/>
            </w:tcBorders>
            <w:shd w:val="clear" w:color="auto" w:fill="FFFFFF"/>
            <w:tcMar>
              <w:top w:w="15" w:type="dxa"/>
              <w:left w:w="108" w:type="dxa"/>
              <w:bottom w:w="0" w:type="dxa"/>
              <w:right w:w="108" w:type="dxa"/>
            </w:tcMar>
            <w:vAlign w:val="center"/>
          </w:tcPr>
          <w:p w14:paraId="00000046"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26</w:t>
            </w:r>
          </w:p>
        </w:tc>
        <w:tc>
          <w:tcPr>
            <w:tcW w:w="3960" w:type="dxa"/>
            <w:tcBorders>
              <w:top w:val="dotted" w:sz="8" w:space="0" w:color="000000"/>
              <w:left w:val="single" w:sz="6" w:space="0" w:color="FFFFFF"/>
              <w:bottom w:val="dotted" w:sz="8" w:space="0" w:color="000000"/>
              <w:right w:val="single" w:sz="6" w:space="0" w:color="FFFFFF"/>
            </w:tcBorders>
            <w:shd w:val="clear" w:color="auto" w:fill="FFFFFF"/>
            <w:tcMar>
              <w:top w:w="15" w:type="dxa"/>
              <w:left w:w="108" w:type="dxa"/>
              <w:bottom w:w="0" w:type="dxa"/>
              <w:right w:w="108" w:type="dxa"/>
            </w:tcMar>
            <w:vAlign w:val="center"/>
          </w:tcPr>
          <w:p w14:paraId="00000047"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Large intestine cancer, cT3N1M0</w:t>
            </w:r>
          </w:p>
        </w:tc>
        <w:tc>
          <w:tcPr>
            <w:tcW w:w="2730" w:type="dxa"/>
            <w:tcBorders>
              <w:top w:val="dotted" w:sz="8" w:space="0" w:color="000000"/>
              <w:left w:val="single" w:sz="6" w:space="0" w:color="FFFFFF"/>
              <w:bottom w:val="dotted" w:sz="8" w:space="0" w:color="000000"/>
              <w:right w:val="single" w:sz="6" w:space="0" w:color="FFFFFF"/>
            </w:tcBorders>
            <w:shd w:val="clear" w:color="auto" w:fill="FFFFFF"/>
            <w:tcMar>
              <w:top w:w="15" w:type="dxa"/>
              <w:left w:w="108" w:type="dxa"/>
              <w:bottom w:w="0" w:type="dxa"/>
              <w:right w:w="108" w:type="dxa"/>
            </w:tcMar>
            <w:vAlign w:val="center"/>
          </w:tcPr>
          <w:p w14:paraId="00000048"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SASC#2 / VASC#2 / FIBRO#2</w:t>
            </w:r>
          </w:p>
        </w:tc>
      </w:tr>
      <w:tr w:rsidR="007F3335" w:rsidRPr="0026705F" w14:paraId="090A29AD" w14:textId="77777777">
        <w:trPr>
          <w:trHeight w:val="555"/>
          <w:jc w:val="center"/>
        </w:trPr>
        <w:tc>
          <w:tcPr>
            <w:tcW w:w="560" w:type="dxa"/>
            <w:tcBorders>
              <w:top w:val="dotted" w:sz="8"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9"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#3</w:t>
            </w:r>
          </w:p>
        </w:tc>
        <w:tc>
          <w:tcPr>
            <w:tcW w:w="700" w:type="dxa"/>
            <w:tcBorders>
              <w:top w:val="dotted" w:sz="8"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A"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M</w:t>
            </w:r>
          </w:p>
        </w:tc>
        <w:tc>
          <w:tcPr>
            <w:tcW w:w="700" w:type="dxa"/>
            <w:tcBorders>
              <w:top w:val="dotted" w:sz="8"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B"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67</w:t>
            </w:r>
          </w:p>
        </w:tc>
        <w:tc>
          <w:tcPr>
            <w:tcW w:w="840" w:type="dxa"/>
            <w:tcBorders>
              <w:top w:val="dotted" w:sz="8"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C"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22</w:t>
            </w:r>
          </w:p>
        </w:tc>
        <w:tc>
          <w:tcPr>
            <w:tcW w:w="3960" w:type="dxa"/>
            <w:tcBorders>
              <w:top w:val="dotted" w:sz="8"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D"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Stomach cancer, cT2N0M0</w:t>
            </w:r>
          </w:p>
        </w:tc>
        <w:tc>
          <w:tcPr>
            <w:tcW w:w="2730" w:type="dxa"/>
            <w:tcBorders>
              <w:top w:val="dotted" w:sz="8" w:space="0" w:color="000000"/>
              <w:left w:val="single" w:sz="6" w:space="0" w:color="FFFFFF"/>
              <w:bottom w:val="dotted" w:sz="8" w:space="0" w:color="000000"/>
              <w:right w:val="single" w:sz="6" w:space="0" w:color="FFFFFF"/>
            </w:tcBorders>
            <w:shd w:val="clear" w:color="auto" w:fill="F0F0F0"/>
            <w:tcMar>
              <w:top w:w="15" w:type="dxa"/>
              <w:left w:w="108" w:type="dxa"/>
              <w:bottom w:w="0" w:type="dxa"/>
              <w:right w:w="108" w:type="dxa"/>
            </w:tcMar>
            <w:vAlign w:val="center"/>
          </w:tcPr>
          <w:p w14:paraId="0000004E"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SASC#3 / VASC#3 / FIBRO#3</w:t>
            </w:r>
          </w:p>
        </w:tc>
      </w:tr>
      <w:tr w:rsidR="007F3335" w:rsidRPr="0026705F" w14:paraId="65ED876B" w14:textId="77777777">
        <w:trPr>
          <w:trHeight w:val="282"/>
          <w:jc w:val="center"/>
        </w:trPr>
        <w:tc>
          <w:tcPr>
            <w:tcW w:w="560"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4F"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#4</w:t>
            </w:r>
          </w:p>
        </w:tc>
        <w:tc>
          <w:tcPr>
            <w:tcW w:w="700"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50"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M</w:t>
            </w:r>
          </w:p>
        </w:tc>
        <w:tc>
          <w:tcPr>
            <w:tcW w:w="700"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51"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60</w:t>
            </w:r>
          </w:p>
        </w:tc>
        <w:tc>
          <w:tcPr>
            <w:tcW w:w="840"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52"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29</w:t>
            </w:r>
          </w:p>
        </w:tc>
        <w:tc>
          <w:tcPr>
            <w:tcW w:w="3960"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53"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Stomach cancer, cT1N0M0</w:t>
            </w:r>
          </w:p>
        </w:tc>
        <w:tc>
          <w:tcPr>
            <w:tcW w:w="2730"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54" w14:textId="77777777" w:rsidR="007F3335" w:rsidRPr="0026705F" w:rsidRDefault="00BA3DF1">
            <w:pPr>
              <w:spacing w:line="480" w:lineRule="auto"/>
              <w:jc w:val="center"/>
              <w:rPr>
                <w:color w:val="000000"/>
                <w:sz w:val="20"/>
                <w:szCs w:val="20"/>
                <w:lang w:val="en-US"/>
              </w:rPr>
            </w:pPr>
            <w:r w:rsidRPr="0026705F">
              <w:rPr>
                <w:color w:val="000000"/>
                <w:sz w:val="20"/>
                <w:szCs w:val="20"/>
                <w:lang w:val="en-US"/>
              </w:rPr>
              <w:t>SASC#4 / VASC#4 / -</w:t>
            </w:r>
          </w:p>
        </w:tc>
      </w:tr>
    </w:tbl>
    <w:p w14:paraId="00000056" w14:textId="48916479" w:rsidR="007F3335" w:rsidRPr="0026705F" w:rsidRDefault="00BA3DF1" w:rsidP="007519F8">
      <w:pPr>
        <w:spacing w:line="480" w:lineRule="auto"/>
        <w:jc w:val="both"/>
        <w:rPr>
          <w:sz w:val="20"/>
          <w:szCs w:val="20"/>
          <w:lang w:val="en-US"/>
        </w:rPr>
      </w:pPr>
      <w:r w:rsidRPr="0026705F">
        <w:rPr>
          <w:color w:val="000000"/>
          <w:sz w:val="20"/>
          <w:szCs w:val="20"/>
          <w:vertAlign w:val="superscript"/>
          <w:lang w:val="en-US"/>
        </w:rPr>
        <w:t>a</w:t>
      </w:r>
      <w:r w:rsidRPr="0026705F">
        <w:rPr>
          <w:color w:val="000000"/>
          <w:sz w:val="20"/>
          <w:szCs w:val="20"/>
          <w:lang w:val="en-US"/>
        </w:rPr>
        <w:t xml:space="preserve"> M - male, F - female; </w:t>
      </w:r>
      <w:r w:rsidRPr="0026705F">
        <w:rPr>
          <w:color w:val="000000"/>
          <w:sz w:val="20"/>
          <w:szCs w:val="20"/>
          <w:vertAlign w:val="superscript"/>
          <w:lang w:val="en-US"/>
        </w:rPr>
        <w:t>b</w:t>
      </w:r>
      <w:r w:rsidRPr="0026705F">
        <w:rPr>
          <w:color w:val="000000"/>
          <w:sz w:val="20"/>
          <w:szCs w:val="20"/>
          <w:lang w:val="en-US"/>
        </w:rPr>
        <w:t xml:space="preserve"> Only individuals with body mass index (BMI)  </w:t>
      </w:r>
      <w:sdt>
        <w:sdtPr>
          <w:rPr>
            <w:lang w:val="en-US"/>
          </w:rPr>
          <w:tag w:val="goog_rdk_2"/>
          <w:id w:val="-924729151"/>
        </w:sdtPr>
        <w:sdtContent>
          <w:r w:rsidRPr="0026705F">
            <w:rPr>
              <w:rFonts w:eastAsia="Gungsuh"/>
              <w:sz w:val="20"/>
              <w:szCs w:val="20"/>
              <w:lang w:val="en-US"/>
            </w:rPr>
            <w:t xml:space="preserve">≤30 were included in the study to avoid obesity-related bias; </w:t>
          </w:r>
        </w:sdtContent>
      </w:sdt>
      <w:r w:rsidRPr="0026705F">
        <w:rPr>
          <w:sz w:val="20"/>
          <w:szCs w:val="20"/>
          <w:vertAlign w:val="superscript"/>
          <w:lang w:val="en-US"/>
        </w:rPr>
        <w:t>c</w:t>
      </w:r>
      <w:r w:rsidRPr="0026705F">
        <w:rPr>
          <w:sz w:val="20"/>
          <w:szCs w:val="20"/>
          <w:lang w:val="en-US"/>
        </w:rPr>
        <w:t xml:space="preserve"> Cancer TNM stage according to the current American Joint Committee on Cancer guidelines. </w:t>
      </w:r>
      <w:r w:rsidRPr="0026705F">
        <w:rPr>
          <w:sz w:val="20"/>
          <w:szCs w:val="20"/>
          <w:vertAlign w:val="superscript"/>
          <w:lang w:val="en-US"/>
        </w:rPr>
        <w:t xml:space="preserve">d </w:t>
      </w:r>
      <w:r w:rsidRPr="0026705F">
        <w:rPr>
          <w:sz w:val="20"/>
          <w:szCs w:val="20"/>
          <w:lang w:val="en-US"/>
        </w:rPr>
        <w:t>Subcutaneous and visceral adipose tissue, and skin samples were collected during scheduled surgical procedures, and processed to obtain subcutaneous adipose</w:t>
      </w:r>
      <w:r w:rsidR="006938DC" w:rsidRPr="0026705F">
        <w:rPr>
          <w:sz w:val="20"/>
          <w:szCs w:val="20"/>
          <w:lang w:val="en-US"/>
        </w:rPr>
        <w:t>-</w:t>
      </w:r>
      <w:r w:rsidR="0073041E" w:rsidRPr="0026705F">
        <w:rPr>
          <w:sz w:val="20"/>
          <w:szCs w:val="20"/>
          <w:lang w:val="en-US"/>
        </w:rPr>
        <w:t>derived mesenchymal</w:t>
      </w:r>
      <w:r w:rsidRPr="0026705F">
        <w:rPr>
          <w:sz w:val="20"/>
          <w:szCs w:val="20"/>
          <w:lang w:val="en-US"/>
        </w:rPr>
        <w:t xml:space="preserve"> stromal cells (SASC), visceral</w:t>
      </w:r>
      <w:r w:rsidR="0073041E" w:rsidRPr="0026705F">
        <w:rPr>
          <w:sz w:val="20"/>
          <w:szCs w:val="20"/>
          <w:lang w:val="en-US"/>
        </w:rPr>
        <w:t xml:space="preserve"> adipose</w:t>
      </w:r>
      <w:r w:rsidR="006938DC" w:rsidRPr="0026705F">
        <w:rPr>
          <w:sz w:val="20"/>
          <w:szCs w:val="20"/>
          <w:lang w:val="en-US"/>
        </w:rPr>
        <w:t>-</w:t>
      </w:r>
      <w:r w:rsidR="0073041E" w:rsidRPr="0026705F">
        <w:rPr>
          <w:sz w:val="20"/>
          <w:szCs w:val="20"/>
          <w:lang w:val="en-US"/>
        </w:rPr>
        <w:t xml:space="preserve">derived mesenchymal </w:t>
      </w:r>
      <w:r w:rsidRPr="0026705F">
        <w:rPr>
          <w:sz w:val="20"/>
          <w:szCs w:val="20"/>
          <w:lang w:val="en-US"/>
        </w:rPr>
        <w:t xml:space="preserve">stromal cells (VASC) and fibroblasts (FIBRO). </w:t>
      </w:r>
    </w:p>
    <w:p w14:paraId="4FBA06AF" w14:textId="1AFEC7F4" w:rsidR="007519F8" w:rsidRPr="0026705F" w:rsidRDefault="00BA3DF1" w:rsidP="007519F8">
      <w:pPr>
        <w:spacing w:line="480" w:lineRule="auto"/>
        <w:jc w:val="both"/>
        <w:rPr>
          <w:color w:val="000000"/>
          <w:sz w:val="22"/>
          <w:szCs w:val="22"/>
          <w:lang w:val="en-US"/>
        </w:rPr>
      </w:pPr>
      <w:r w:rsidRPr="0026705F">
        <w:rPr>
          <w:b/>
          <w:color w:val="000000"/>
          <w:sz w:val="22"/>
          <w:szCs w:val="22"/>
          <w:lang w:val="en-US"/>
        </w:rPr>
        <w:lastRenderedPageBreak/>
        <w:t>Supp. Table S</w:t>
      </w:r>
      <w:r w:rsidR="0075280C" w:rsidRPr="0026705F">
        <w:rPr>
          <w:b/>
          <w:color w:val="000000"/>
          <w:sz w:val="22"/>
          <w:szCs w:val="22"/>
          <w:lang w:val="en-US"/>
        </w:rPr>
        <w:t>3</w:t>
      </w:r>
      <w:r w:rsidRPr="0026705F">
        <w:rPr>
          <w:b/>
          <w:color w:val="000000"/>
          <w:sz w:val="22"/>
          <w:szCs w:val="22"/>
          <w:lang w:val="en-US"/>
        </w:rPr>
        <w:t xml:space="preserve">. </w:t>
      </w:r>
      <w:r w:rsidRPr="0026705F">
        <w:rPr>
          <w:color w:val="000000"/>
          <w:sz w:val="22"/>
          <w:szCs w:val="22"/>
          <w:lang w:val="en-US"/>
        </w:rPr>
        <w:t xml:space="preserve">Marker analysis by flow cytometry. </w:t>
      </w:r>
    </w:p>
    <w:p w14:paraId="00000070" w14:textId="0523F6A7" w:rsidR="007F3335" w:rsidRPr="0026705F" w:rsidRDefault="00BA3DF1" w:rsidP="007519F8">
      <w:pPr>
        <w:spacing w:line="480" w:lineRule="auto"/>
        <w:jc w:val="both"/>
        <w:rPr>
          <w:color w:val="000000"/>
          <w:sz w:val="22"/>
          <w:szCs w:val="22"/>
          <w:lang w:val="en-US"/>
        </w:rPr>
      </w:pPr>
      <w:r w:rsidRPr="0026705F">
        <w:rPr>
          <w:color w:val="000000"/>
          <w:sz w:val="22"/>
          <w:szCs w:val="22"/>
          <w:lang w:val="en-US"/>
        </w:rPr>
        <w:t>Flow cytometry was applied to evaluate the expression of positive markers (CD73, CD90, CD105), negative markers (CD14, CD19, CD45), and additional markers (CD13, CD31) in subcutaneous adipose</w:t>
      </w:r>
      <w:r w:rsidR="006938DC" w:rsidRPr="0026705F">
        <w:rPr>
          <w:color w:val="000000"/>
          <w:sz w:val="22"/>
          <w:szCs w:val="22"/>
          <w:lang w:val="en-US"/>
        </w:rPr>
        <w:t>-</w:t>
      </w:r>
      <w:r w:rsidRPr="0026705F">
        <w:rPr>
          <w:color w:val="000000"/>
          <w:sz w:val="22"/>
          <w:szCs w:val="22"/>
          <w:lang w:val="en-US"/>
        </w:rPr>
        <w:t xml:space="preserve">derived </w:t>
      </w:r>
      <w:r w:rsidR="0073041E" w:rsidRPr="0026705F">
        <w:rPr>
          <w:color w:val="000000"/>
          <w:sz w:val="22"/>
          <w:szCs w:val="22"/>
          <w:lang w:val="en-US"/>
        </w:rPr>
        <w:t xml:space="preserve">mesenchymal </w:t>
      </w:r>
      <w:r w:rsidRPr="0026705F">
        <w:rPr>
          <w:color w:val="000000"/>
          <w:sz w:val="22"/>
          <w:szCs w:val="22"/>
          <w:lang w:val="en-US"/>
        </w:rPr>
        <w:t>stromal cells (SASC), visceral adipose</w:t>
      </w:r>
      <w:r w:rsidR="006938DC" w:rsidRPr="0026705F">
        <w:rPr>
          <w:color w:val="000000"/>
          <w:sz w:val="22"/>
          <w:szCs w:val="22"/>
          <w:lang w:val="en-US"/>
        </w:rPr>
        <w:t>-</w:t>
      </w:r>
      <w:r w:rsidRPr="0026705F">
        <w:rPr>
          <w:color w:val="000000"/>
          <w:sz w:val="22"/>
          <w:szCs w:val="22"/>
          <w:lang w:val="en-US"/>
        </w:rPr>
        <w:t>derived</w:t>
      </w:r>
      <w:r w:rsidR="0073041E" w:rsidRPr="0026705F">
        <w:rPr>
          <w:color w:val="000000"/>
          <w:sz w:val="22"/>
          <w:szCs w:val="22"/>
          <w:lang w:val="en-US"/>
        </w:rPr>
        <w:t xml:space="preserve"> mesenchymal</w:t>
      </w:r>
      <w:r w:rsidRPr="0026705F">
        <w:rPr>
          <w:color w:val="000000"/>
          <w:sz w:val="22"/>
          <w:szCs w:val="22"/>
          <w:lang w:val="en-US"/>
        </w:rPr>
        <w:t xml:space="preserve"> stromal cells (VASC), and dermal fibroblasts (FIBRO). The percentage of </w:t>
      </w:r>
      <w:r w:rsidRPr="0026705F">
        <w:rPr>
          <w:sz w:val="22"/>
          <w:szCs w:val="22"/>
          <w:lang w:val="en-US"/>
        </w:rPr>
        <w:t>cells</w:t>
      </w:r>
      <w:r w:rsidRPr="0026705F">
        <w:rPr>
          <w:color w:val="000000"/>
          <w:sz w:val="22"/>
          <w:szCs w:val="22"/>
          <w:lang w:val="en-US"/>
        </w:rPr>
        <w:t xml:space="preserve"> expressing the selected markers is presented in each column. Cell viability was assessed using DAPI (diamidino-2-phenylindole) staining. * The mean surface expression values per marker in SASC, VASC and FIBRO, along with the corresponding standard deviation (SD) values, are reported.</w:t>
      </w:r>
    </w:p>
    <w:p w14:paraId="0BBEC606" w14:textId="77777777" w:rsidR="00A16D4B" w:rsidRPr="0026705F" w:rsidRDefault="00A16D4B">
      <w:pPr>
        <w:spacing w:line="360" w:lineRule="auto"/>
        <w:jc w:val="both"/>
        <w:rPr>
          <w:color w:val="000000"/>
          <w:sz w:val="22"/>
          <w:szCs w:val="22"/>
          <w:lang w:val="en-US"/>
        </w:rPr>
      </w:pPr>
    </w:p>
    <w:tbl>
      <w:tblPr>
        <w:tblStyle w:val="Zwykatabela2"/>
        <w:tblW w:w="9226" w:type="dxa"/>
        <w:tblLayout w:type="fixed"/>
        <w:tblLook w:val="04A0" w:firstRow="1" w:lastRow="0" w:firstColumn="1" w:lastColumn="0" w:noHBand="0" w:noVBand="1"/>
      </w:tblPr>
      <w:tblGrid>
        <w:gridCol w:w="1243"/>
        <w:gridCol w:w="887"/>
        <w:gridCol w:w="887"/>
        <w:gridCol w:w="887"/>
        <w:gridCol w:w="887"/>
        <w:gridCol w:w="887"/>
        <w:gridCol w:w="887"/>
        <w:gridCol w:w="948"/>
        <w:gridCol w:w="826"/>
        <w:gridCol w:w="887"/>
      </w:tblGrid>
      <w:tr w:rsidR="00DF5D78" w:rsidRPr="0026705F" w14:paraId="61A7CBD7" w14:textId="77777777" w:rsidTr="00A16D4B">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243" w:type="dxa"/>
            <w:tcBorders>
              <w:top w:val="single" w:sz="8" w:space="0" w:color="auto"/>
              <w:bottom w:val="single" w:sz="8" w:space="0" w:color="auto"/>
            </w:tcBorders>
            <w:noWrap/>
            <w:vAlign w:val="center"/>
            <w:hideMark/>
          </w:tcPr>
          <w:p w14:paraId="7B5DFC0B" w14:textId="77777777" w:rsidR="00DF5D78" w:rsidRPr="0026705F" w:rsidRDefault="00DF5D78" w:rsidP="00A16D4B">
            <w:pPr>
              <w:jc w:val="center"/>
              <w:rPr>
                <w:b w:val="0"/>
                <w:sz w:val="20"/>
                <w:szCs w:val="20"/>
                <w:lang w:val="en-US"/>
              </w:rPr>
            </w:pPr>
            <w:bookmarkStart w:id="0" w:name="_Hlk147916807"/>
          </w:p>
        </w:tc>
        <w:tc>
          <w:tcPr>
            <w:tcW w:w="7983" w:type="dxa"/>
            <w:gridSpan w:val="9"/>
            <w:tcBorders>
              <w:top w:val="single" w:sz="8" w:space="0" w:color="auto"/>
              <w:bottom w:val="single" w:sz="8" w:space="0" w:color="auto"/>
            </w:tcBorders>
            <w:noWrap/>
            <w:vAlign w:val="center"/>
            <w:hideMark/>
          </w:tcPr>
          <w:p w14:paraId="5F9B3E09" w14:textId="61AF54B5" w:rsidR="00A16D4B" w:rsidRPr="0026705F" w:rsidRDefault="00DF5D78" w:rsidP="00A16D4B">
            <w:pPr>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US"/>
              </w:rPr>
            </w:pPr>
            <w:r w:rsidRPr="0026705F">
              <w:rPr>
                <w:caps/>
                <w:sz w:val="20"/>
                <w:szCs w:val="20"/>
                <w:lang w:val="en-US"/>
              </w:rPr>
              <w:t>M</w:t>
            </w:r>
            <w:r w:rsidR="00602BEC" w:rsidRPr="0026705F">
              <w:rPr>
                <w:sz w:val="20"/>
                <w:szCs w:val="20"/>
                <w:lang w:val="en-US"/>
              </w:rPr>
              <w:t>arker expression analysis (% of stained cells)</w:t>
            </w:r>
          </w:p>
        </w:tc>
      </w:tr>
      <w:tr w:rsidR="00DF5D78" w:rsidRPr="0026705F" w14:paraId="2B7E0396" w14:textId="77777777" w:rsidTr="0085089D">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243" w:type="dxa"/>
            <w:tcBorders>
              <w:top w:val="single" w:sz="8" w:space="0" w:color="auto"/>
            </w:tcBorders>
            <w:vAlign w:val="center"/>
            <w:hideMark/>
          </w:tcPr>
          <w:p w14:paraId="7D43D882" w14:textId="610A713C" w:rsidR="00DF5D78" w:rsidRPr="0026705F" w:rsidRDefault="00DF5D78" w:rsidP="00A16D4B">
            <w:pPr>
              <w:jc w:val="center"/>
              <w:rPr>
                <w:b w:val="0"/>
                <w:sz w:val="18"/>
                <w:szCs w:val="18"/>
                <w:lang w:val="en-US"/>
              </w:rPr>
            </w:pPr>
          </w:p>
        </w:tc>
        <w:tc>
          <w:tcPr>
            <w:tcW w:w="887" w:type="dxa"/>
            <w:tcBorders>
              <w:top w:val="single" w:sz="8" w:space="0" w:color="auto"/>
            </w:tcBorders>
            <w:noWrap/>
            <w:vAlign w:val="center"/>
            <w:hideMark/>
          </w:tcPr>
          <w:p w14:paraId="2ED5F886"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CD73</w:t>
            </w:r>
          </w:p>
        </w:tc>
        <w:tc>
          <w:tcPr>
            <w:tcW w:w="887" w:type="dxa"/>
            <w:tcBorders>
              <w:top w:val="single" w:sz="8" w:space="0" w:color="auto"/>
            </w:tcBorders>
            <w:noWrap/>
            <w:vAlign w:val="center"/>
            <w:hideMark/>
          </w:tcPr>
          <w:p w14:paraId="61AC0BE9"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CD90</w:t>
            </w:r>
          </w:p>
        </w:tc>
        <w:tc>
          <w:tcPr>
            <w:tcW w:w="887" w:type="dxa"/>
            <w:tcBorders>
              <w:top w:val="single" w:sz="8" w:space="0" w:color="auto"/>
            </w:tcBorders>
            <w:noWrap/>
            <w:vAlign w:val="center"/>
            <w:hideMark/>
          </w:tcPr>
          <w:p w14:paraId="2051E4AE"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CD105</w:t>
            </w:r>
          </w:p>
        </w:tc>
        <w:tc>
          <w:tcPr>
            <w:tcW w:w="887" w:type="dxa"/>
            <w:tcBorders>
              <w:top w:val="single" w:sz="8" w:space="0" w:color="auto"/>
            </w:tcBorders>
            <w:noWrap/>
            <w:vAlign w:val="center"/>
            <w:hideMark/>
          </w:tcPr>
          <w:p w14:paraId="00BEA46E"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CD14</w:t>
            </w:r>
          </w:p>
        </w:tc>
        <w:tc>
          <w:tcPr>
            <w:tcW w:w="887" w:type="dxa"/>
            <w:tcBorders>
              <w:top w:val="single" w:sz="8" w:space="0" w:color="auto"/>
            </w:tcBorders>
            <w:noWrap/>
            <w:vAlign w:val="center"/>
            <w:hideMark/>
          </w:tcPr>
          <w:p w14:paraId="2CB6D2CC"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CD19</w:t>
            </w:r>
          </w:p>
        </w:tc>
        <w:tc>
          <w:tcPr>
            <w:tcW w:w="887" w:type="dxa"/>
            <w:tcBorders>
              <w:top w:val="single" w:sz="8" w:space="0" w:color="auto"/>
            </w:tcBorders>
            <w:noWrap/>
            <w:vAlign w:val="center"/>
            <w:hideMark/>
          </w:tcPr>
          <w:p w14:paraId="7CC1B6D8"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CD45</w:t>
            </w:r>
          </w:p>
        </w:tc>
        <w:tc>
          <w:tcPr>
            <w:tcW w:w="948" w:type="dxa"/>
            <w:tcBorders>
              <w:top w:val="single" w:sz="8" w:space="0" w:color="auto"/>
            </w:tcBorders>
            <w:noWrap/>
            <w:vAlign w:val="center"/>
            <w:hideMark/>
          </w:tcPr>
          <w:p w14:paraId="2E9086E6"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CD13</w:t>
            </w:r>
          </w:p>
        </w:tc>
        <w:tc>
          <w:tcPr>
            <w:tcW w:w="826" w:type="dxa"/>
            <w:tcBorders>
              <w:top w:val="single" w:sz="8" w:space="0" w:color="auto"/>
            </w:tcBorders>
            <w:noWrap/>
            <w:vAlign w:val="center"/>
            <w:hideMark/>
          </w:tcPr>
          <w:p w14:paraId="7994028A"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CD31</w:t>
            </w:r>
          </w:p>
        </w:tc>
        <w:tc>
          <w:tcPr>
            <w:tcW w:w="887" w:type="dxa"/>
            <w:tcBorders>
              <w:top w:val="single" w:sz="8" w:space="0" w:color="auto"/>
            </w:tcBorders>
            <w:noWrap/>
            <w:vAlign w:val="center"/>
            <w:hideMark/>
          </w:tcPr>
          <w:p w14:paraId="3E3251EF" w14:textId="77777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b/>
                <w:sz w:val="18"/>
                <w:szCs w:val="18"/>
                <w:lang w:val="en-US"/>
              </w:rPr>
            </w:pPr>
            <w:r w:rsidRPr="0026705F">
              <w:rPr>
                <w:b/>
                <w:sz w:val="18"/>
                <w:szCs w:val="18"/>
                <w:lang w:val="en-US"/>
              </w:rPr>
              <w:t>DAPI</w:t>
            </w:r>
          </w:p>
        </w:tc>
      </w:tr>
      <w:tr w:rsidR="00DF5D78" w:rsidRPr="0026705F" w14:paraId="3B40DBA3" w14:textId="77777777" w:rsidTr="0085089D">
        <w:trPr>
          <w:trHeight w:val="434"/>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1C5C4917" w14:textId="5C01DAEE" w:rsidR="00DF5D78" w:rsidRPr="0026705F" w:rsidRDefault="00602BEC" w:rsidP="00A16D4B">
            <w:pPr>
              <w:jc w:val="center"/>
              <w:rPr>
                <w:sz w:val="18"/>
                <w:szCs w:val="18"/>
                <w:lang w:val="en-US"/>
              </w:rPr>
            </w:pPr>
            <w:r w:rsidRPr="0026705F">
              <w:rPr>
                <w:sz w:val="18"/>
                <w:szCs w:val="18"/>
                <w:lang w:val="en-US"/>
              </w:rPr>
              <w:t>SASC</w:t>
            </w:r>
            <w:r w:rsidR="00DF5D78" w:rsidRPr="0026705F">
              <w:rPr>
                <w:sz w:val="18"/>
                <w:szCs w:val="18"/>
                <w:lang w:val="en-US"/>
              </w:rPr>
              <w:t>#1</w:t>
            </w:r>
          </w:p>
        </w:tc>
        <w:tc>
          <w:tcPr>
            <w:tcW w:w="887" w:type="dxa"/>
            <w:noWrap/>
            <w:vAlign w:val="center"/>
            <w:hideMark/>
          </w:tcPr>
          <w:p w14:paraId="1B6CC8A8" w14:textId="48BD7DBB"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93</w:t>
            </w:r>
            <w:r w:rsidR="00A16D4B" w:rsidRPr="0026705F">
              <w:rPr>
                <w:sz w:val="18"/>
                <w:szCs w:val="18"/>
                <w:lang w:val="en-US"/>
              </w:rPr>
              <w:t>.</w:t>
            </w:r>
            <w:r w:rsidRPr="0026705F">
              <w:rPr>
                <w:sz w:val="18"/>
                <w:szCs w:val="18"/>
                <w:lang w:val="en-US"/>
              </w:rPr>
              <w:t>38</w:t>
            </w:r>
          </w:p>
        </w:tc>
        <w:tc>
          <w:tcPr>
            <w:tcW w:w="887" w:type="dxa"/>
            <w:noWrap/>
            <w:vAlign w:val="center"/>
            <w:hideMark/>
          </w:tcPr>
          <w:p w14:paraId="375A8B94" w14:textId="4DE5F458"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A16D4B" w:rsidRPr="0026705F">
              <w:rPr>
                <w:sz w:val="18"/>
                <w:szCs w:val="18"/>
                <w:lang w:val="en-US"/>
              </w:rPr>
              <w:t>.</w:t>
            </w:r>
            <w:r w:rsidRPr="0026705F">
              <w:rPr>
                <w:sz w:val="18"/>
                <w:szCs w:val="18"/>
                <w:lang w:val="en-US"/>
              </w:rPr>
              <w:t>24</w:t>
            </w:r>
          </w:p>
        </w:tc>
        <w:tc>
          <w:tcPr>
            <w:tcW w:w="887" w:type="dxa"/>
            <w:noWrap/>
            <w:vAlign w:val="center"/>
            <w:hideMark/>
          </w:tcPr>
          <w:p w14:paraId="27A98F99" w14:textId="67DFD8E4"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97</w:t>
            </w:r>
            <w:r w:rsidR="00A16D4B" w:rsidRPr="0026705F">
              <w:rPr>
                <w:sz w:val="18"/>
                <w:szCs w:val="18"/>
                <w:lang w:val="en-US"/>
              </w:rPr>
              <w:t>.</w:t>
            </w:r>
            <w:r w:rsidRPr="0026705F">
              <w:rPr>
                <w:sz w:val="18"/>
                <w:szCs w:val="18"/>
                <w:lang w:val="en-US"/>
              </w:rPr>
              <w:t>21</w:t>
            </w:r>
          </w:p>
        </w:tc>
        <w:tc>
          <w:tcPr>
            <w:tcW w:w="887" w:type="dxa"/>
            <w:noWrap/>
            <w:vAlign w:val="center"/>
            <w:hideMark/>
          </w:tcPr>
          <w:p w14:paraId="2EF6AA76" w14:textId="71530389"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5</w:t>
            </w:r>
            <w:r w:rsidR="00A16D4B" w:rsidRPr="0026705F">
              <w:rPr>
                <w:sz w:val="18"/>
                <w:szCs w:val="18"/>
                <w:lang w:val="en-US"/>
              </w:rPr>
              <w:t>.</w:t>
            </w:r>
            <w:r w:rsidRPr="0026705F">
              <w:rPr>
                <w:sz w:val="18"/>
                <w:szCs w:val="18"/>
                <w:lang w:val="en-US"/>
              </w:rPr>
              <w:t>87</w:t>
            </w:r>
          </w:p>
        </w:tc>
        <w:tc>
          <w:tcPr>
            <w:tcW w:w="887" w:type="dxa"/>
            <w:noWrap/>
            <w:vAlign w:val="center"/>
            <w:hideMark/>
          </w:tcPr>
          <w:p w14:paraId="47F64E74" w14:textId="3DD8AD90"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A16D4B" w:rsidRPr="0026705F">
              <w:rPr>
                <w:sz w:val="18"/>
                <w:szCs w:val="18"/>
                <w:lang w:val="en-US"/>
              </w:rPr>
              <w:t>.</w:t>
            </w:r>
            <w:r w:rsidRPr="0026705F">
              <w:rPr>
                <w:sz w:val="18"/>
                <w:szCs w:val="18"/>
                <w:lang w:val="en-US"/>
              </w:rPr>
              <w:t>66</w:t>
            </w:r>
          </w:p>
        </w:tc>
        <w:tc>
          <w:tcPr>
            <w:tcW w:w="887" w:type="dxa"/>
            <w:noWrap/>
            <w:vAlign w:val="center"/>
            <w:hideMark/>
          </w:tcPr>
          <w:p w14:paraId="4F2C8CF5" w14:textId="4DB6BDFC"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52</w:t>
            </w:r>
          </w:p>
        </w:tc>
        <w:tc>
          <w:tcPr>
            <w:tcW w:w="948" w:type="dxa"/>
            <w:noWrap/>
            <w:vAlign w:val="center"/>
            <w:hideMark/>
          </w:tcPr>
          <w:p w14:paraId="7B288484" w14:textId="07BD0E6A"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71</w:t>
            </w:r>
          </w:p>
        </w:tc>
        <w:tc>
          <w:tcPr>
            <w:tcW w:w="826" w:type="dxa"/>
            <w:noWrap/>
            <w:vAlign w:val="center"/>
            <w:hideMark/>
          </w:tcPr>
          <w:p w14:paraId="5C70C346" w14:textId="4922CF1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5</w:t>
            </w:r>
            <w:r w:rsidR="0085089D" w:rsidRPr="0026705F">
              <w:rPr>
                <w:sz w:val="18"/>
                <w:szCs w:val="18"/>
                <w:lang w:val="en-US"/>
              </w:rPr>
              <w:t>.</w:t>
            </w:r>
            <w:r w:rsidRPr="0026705F">
              <w:rPr>
                <w:sz w:val="18"/>
                <w:szCs w:val="18"/>
                <w:lang w:val="en-US"/>
              </w:rPr>
              <w:t>82</w:t>
            </w:r>
          </w:p>
        </w:tc>
        <w:tc>
          <w:tcPr>
            <w:tcW w:w="887" w:type="dxa"/>
            <w:noWrap/>
            <w:vAlign w:val="center"/>
            <w:hideMark/>
          </w:tcPr>
          <w:p w14:paraId="6D003011" w14:textId="15964D59"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30</w:t>
            </w:r>
          </w:p>
        </w:tc>
      </w:tr>
      <w:tr w:rsidR="00DF5D78" w:rsidRPr="0026705F" w14:paraId="3C7429BD" w14:textId="77777777" w:rsidTr="0085089D">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4236BF93" w14:textId="38B0D867" w:rsidR="00DF5D78" w:rsidRPr="0026705F" w:rsidRDefault="00602BEC" w:rsidP="00A16D4B">
            <w:pPr>
              <w:jc w:val="center"/>
              <w:rPr>
                <w:sz w:val="18"/>
                <w:szCs w:val="18"/>
                <w:lang w:val="en-US"/>
              </w:rPr>
            </w:pPr>
            <w:r w:rsidRPr="0026705F">
              <w:rPr>
                <w:sz w:val="18"/>
                <w:szCs w:val="18"/>
                <w:lang w:val="en-US"/>
              </w:rPr>
              <w:t>SASC</w:t>
            </w:r>
            <w:r w:rsidR="00DF5D78" w:rsidRPr="0026705F">
              <w:rPr>
                <w:sz w:val="18"/>
                <w:szCs w:val="18"/>
                <w:lang w:val="en-US"/>
              </w:rPr>
              <w:t>#2</w:t>
            </w:r>
          </w:p>
        </w:tc>
        <w:tc>
          <w:tcPr>
            <w:tcW w:w="887" w:type="dxa"/>
            <w:noWrap/>
            <w:vAlign w:val="center"/>
            <w:hideMark/>
          </w:tcPr>
          <w:p w14:paraId="49604F8E" w14:textId="5BDA65A8"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9812</w:t>
            </w:r>
          </w:p>
        </w:tc>
        <w:tc>
          <w:tcPr>
            <w:tcW w:w="887" w:type="dxa"/>
            <w:noWrap/>
            <w:vAlign w:val="center"/>
            <w:hideMark/>
          </w:tcPr>
          <w:p w14:paraId="0ED8DCAC" w14:textId="2D6813B3"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95</w:t>
            </w:r>
            <w:r w:rsidR="0085089D" w:rsidRPr="0026705F">
              <w:rPr>
                <w:sz w:val="18"/>
                <w:szCs w:val="18"/>
                <w:lang w:val="en-US"/>
              </w:rPr>
              <w:t>.</w:t>
            </w:r>
            <w:r w:rsidRPr="0026705F">
              <w:rPr>
                <w:sz w:val="18"/>
                <w:szCs w:val="18"/>
                <w:lang w:val="en-US"/>
              </w:rPr>
              <w:t>69</w:t>
            </w:r>
          </w:p>
        </w:tc>
        <w:tc>
          <w:tcPr>
            <w:tcW w:w="887" w:type="dxa"/>
            <w:noWrap/>
            <w:vAlign w:val="center"/>
            <w:hideMark/>
          </w:tcPr>
          <w:p w14:paraId="30965D0B" w14:textId="674F6F8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43</w:t>
            </w:r>
          </w:p>
        </w:tc>
        <w:tc>
          <w:tcPr>
            <w:tcW w:w="887" w:type="dxa"/>
            <w:noWrap/>
            <w:vAlign w:val="center"/>
            <w:hideMark/>
          </w:tcPr>
          <w:p w14:paraId="137C4F6F" w14:textId="365EB5AE"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80</w:t>
            </w:r>
          </w:p>
        </w:tc>
        <w:tc>
          <w:tcPr>
            <w:tcW w:w="887" w:type="dxa"/>
            <w:noWrap/>
            <w:vAlign w:val="center"/>
            <w:hideMark/>
          </w:tcPr>
          <w:p w14:paraId="23000009" w14:textId="7176CE22"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44</w:t>
            </w:r>
          </w:p>
        </w:tc>
        <w:tc>
          <w:tcPr>
            <w:tcW w:w="887" w:type="dxa"/>
            <w:noWrap/>
            <w:vAlign w:val="center"/>
            <w:hideMark/>
          </w:tcPr>
          <w:p w14:paraId="520E2146" w14:textId="22782C26"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03</w:t>
            </w:r>
          </w:p>
        </w:tc>
        <w:tc>
          <w:tcPr>
            <w:tcW w:w="948" w:type="dxa"/>
            <w:noWrap/>
            <w:vAlign w:val="center"/>
            <w:hideMark/>
          </w:tcPr>
          <w:p w14:paraId="031F69A1" w14:textId="5CD8EA3A"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86</w:t>
            </w:r>
            <w:r w:rsidR="0085089D" w:rsidRPr="0026705F">
              <w:rPr>
                <w:sz w:val="18"/>
                <w:szCs w:val="18"/>
                <w:lang w:val="en-US"/>
              </w:rPr>
              <w:t>.</w:t>
            </w:r>
            <w:r w:rsidRPr="0026705F">
              <w:rPr>
                <w:sz w:val="18"/>
                <w:szCs w:val="18"/>
                <w:lang w:val="en-US"/>
              </w:rPr>
              <w:t>66</w:t>
            </w:r>
          </w:p>
        </w:tc>
        <w:tc>
          <w:tcPr>
            <w:tcW w:w="826" w:type="dxa"/>
            <w:noWrap/>
            <w:vAlign w:val="center"/>
            <w:hideMark/>
          </w:tcPr>
          <w:p w14:paraId="6723E7E1" w14:textId="6D2AC12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41</w:t>
            </w:r>
          </w:p>
        </w:tc>
        <w:tc>
          <w:tcPr>
            <w:tcW w:w="887" w:type="dxa"/>
            <w:noWrap/>
            <w:vAlign w:val="center"/>
            <w:hideMark/>
          </w:tcPr>
          <w:p w14:paraId="67838AE4" w14:textId="31FFE0C3"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24</w:t>
            </w:r>
          </w:p>
        </w:tc>
      </w:tr>
      <w:tr w:rsidR="00DF5D78" w:rsidRPr="0026705F" w14:paraId="4C24AB38" w14:textId="77777777" w:rsidTr="0085089D">
        <w:trPr>
          <w:trHeight w:val="434"/>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4F721A7D" w14:textId="563A2CB8" w:rsidR="00DF5D78" w:rsidRPr="0026705F" w:rsidRDefault="00602BEC" w:rsidP="00A16D4B">
            <w:pPr>
              <w:jc w:val="center"/>
              <w:rPr>
                <w:sz w:val="18"/>
                <w:szCs w:val="18"/>
                <w:lang w:val="en-US"/>
              </w:rPr>
            </w:pPr>
            <w:r w:rsidRPr="0026705F">
              <w:rPr>
                <w:sz w:val="18"/>
                <w:szCs w:val="18"/>
                <w:lang w:val="en-US"/>
              </w:rPr>
              <w:t>SASC</w:t>
            </w:r>
            <w:r w:rsidR="00DF5D78" w:rsidRPr="0026705F">
              <w:rPr>
                <w:sz w:val="18"/>
                <w:szCs w:val="18"/>
                <w:lang w:val="en-US"/>
              </w:rPr>
              <w:t>#3</w:t>
            </w:r>
          </w:p>
        </w:tc>
        <w:tc>
          <w:tcPr>
            <w:tcW w:w="887" w:type="dxa"/>
            <w:noWrap/>
            <w:vAlign w:val="center"/>
            <w:hideMark/>
          </w:tcPr>
          <w:p w14:paraId="676F1DA7" w14:textId="0278FDB1"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72</w:t>
            </w:r>
          </w:p>
        </w:tc>
        <w:tc>
          <w:tcPr>
            <w:tcW w:w="887" w:type="dxa"/>
            <w:noWrap/>
            <w:vAlign w:val="center"/>
            <w:hideMark/>
          </w:tcPr>
          <w:p w14:paraId="2CD16D41" w14:textId="01EF6A97"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61</w:t>
            </w:r>
          </w:p>
        </w:tc>
        <w:tc>
          <w:tcPr>
            <w:tcW w:w="887" w:type="dxa"/>
            <w:noWrap/>
            <w:vAlign w:val="center"/>
            <w:hideMark/>
          </w:tcPr>
          <w:p w14:paraId="79592B6E" w14:textId="78081AE2"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94</w:t>
            </w:r>
          </w:p>
        </w:tc>
        <w:tc>
          <w:tcPr>
            <w:tcW w:w="887" w:type="dxa"/>
            <w:noWrap/>
            <w:vAlign w:val="center"/>
            <w:hideMark/>
          </w:tcPr>
          <w:p w14:paraId="6CE40C7A" w14:textId="0AC842C1"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41</w:t>
            </w:r>
          </w:p>
        </w:tc>
        <w:tc>
          <w:tcPr>
            <w:tcW w:w="887" w:type="dxa"/>
            <w:noWrap/>
            <w:vAlign w:val="center"/>
            <w:hideMark/>
          </w:tcPr>
          <w:p w14:paraId="03BF855B" w14:textId="1D3E1F5F"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23</w:t>
            </w:r>
          </w:p>
        </w:tc>
        <w:tc>
          <w:tcPr>
            <w:tcW w:w="887" w:type="dxa"/>
            <w:noWrap/>
            <w:vAlign w:val="center"/>
            <w:hideMark/>
          </w:tcPr>
          <w:p w14:paraId="656BB039" w14:textId="7D62F758"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16</w:t>
            </w:r>
          </w:p>
        </w:tc>
        <w:tc>
          <w:tcPr>
            <w:tcW w:w="948" w:type="dxa"/>
            <w:noWrap/>
            <w:vAlign w:val="center"/>
            <w:hideMark/>
          </w:tcPr>
          <w:p w14:paraId="6F547570" w14:textId="089E9155"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95</w:t>
            </w:r>
            <w:r w:rsidR="0085089D" w:rsidRPr="0026705F">
              <w:rPr>
                <w:sz w:val="18"/>
                <w:szCs w:val="18"/>
                <w:lang w:val="en-US"/>
              </w:rPr>
              <w:t>.</w:t>
            </w:r>
            <w:r w:rsidRPr="0026705F">
              <w:rPr>
                <w:sz w:val="18"/>
                <w:szCs w:val="18"/>
                <w:lang w:val="en-US"/>
              </w:rPr>
              <w:t>73</w:t>
            </w:r>
          </w:p>
        </w:tc>
        <w:tc>
          <w:tcPr>
            <w:tcW w:w="826" w:type="dxa"/>
            <w:noWrap/>
            <w:vAlign w:val="center"/>
            <w:hideMark/>
          </w:tcPr>
          <w:p w14:paraId="162A37C3" w14:textId="0234B925"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18</w:t>
            </w:r>
          </w:p>
        </w:tc>
        <w:tc>
          <w:tcPr>
            <w:tcW w:w="887" w:type="dxa"/>
            <w:noWrap/>
            <w:vAlign w:val="center"/>
            <w:hideMark/>
          </w:tcPr>
          <w:p w14:paraId="6CA9E0DF" w14:textId="028A8D14"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06</w:t>
            </w:r>
          </w:p>
        </w:tc>
      </w:tr>
      <w:tr w:rsidR="00DF5D78" w:rsidRPr="0026705F" w14:paraId="3FDA74D4" w14:textId="77777777" w:rsidTr="0085089D">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35C965E0" w14:textId="2B79469D" w:rsidR="00DF5D78" w:rsidRPr="0026705F" w:rsidRDefault="00602BEC" w:rsidP="00A16D4B">
            <w:pPr>
              <w:jc w:val="center"/>
              <w:rPr>
                <w:sz w:val="18"/>
                <w:szCs w:val="18"/>
                <w:lang w:val="en-US"/>
              </w:rPr>
            </w:pPr>
            <w:r w:rsidRPr="0026705F">
              <w:rPr>
                <w:sz w:val="18"/>
                <w:szCs w:val="18"/>
                <w:lang w:val="en-US"/>
              </w:rPr>
              <w:t>SASC</w:t>
            </w:r>
            <w:r w:rsidR="00DF5D78" w:rsidRPr="0026705F">
              <w:rPr>
                <w:sz w:val="18"/>
                <w:szCs w:val="18"/>
                <w:lang w:val="en-US"/>
              </w:rPr>
              <w:t>#4</w:t>
            </w:r>
          </w:p>
        </w:tc>
        <w:tc>
          <w:tcPr>
            <w:tcW w:w="887" w:type="dxa"/>
            <w:noWrap/>
            <w:vAlign w:val="center"/>
            <w:hideMark/>
          </w:tcPr>
          <w:p w14:paraId="0A5616BF" w14:textId="528B13C0"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94</w:t>
            </w:r>
            <w:r w:rsidR="0085089D" w:rsidRPr="0026705F">
              <w:rPr>
                <w:sz w:val="18"/>
                <w:szCs w:val="18"/>
                <w:lang w:val="en-US"/>
              </w:rPr>
              <w:t>.</w:t>
            </w:r>
            <w:r w:rsidRPr="0026705F">
              <w:rPr>
                <w:sz w:val="18"/>
                <w:szCs w:val="18"/>
                <w:lang w:val="en-US"/>
              </w:rPr>
              <w:t>74</w:t>
            </w:r>
          </w:p>
        </w:tc>
        <w:tc>
          <w:tcPr>
            <w:tcW w:w="887" w:type="dxa"/>
            <w:noWrap/>
            <w:vAlign w:val="center"/>
            <w:hideMark/>
          </w:tcPr>
          <w:p w14:paraId="23B36518" w14:textId="0F41E7F9"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28</w:t>
            </w:r>
          </w:p>
        </w:tc>
        <w:tc>
          <w:tcPr>
            <w:tcW w:w="887" w:type="dxa"/>
            <w:noWrap/>
            <w:vAlign w:val="center"/>
            <w:hideMark/>
          </w:tcPr>
          <w:p w14:paraId="343A1D0A" w14:textId="0F2E9742"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81</w:t>
            </w:r>
          </w:p>
        </w:tc>
        <w:tc>
          <w:tcPr>
            <w:tcW w:w="887" w:type="dxa"/>
            <w:noWrap/>
            <w:vAlign w:val="center"/>
            <w:hideMark/>
          </w:tcPr>
          <w:p w14:paraId="3478E1E0" w14:textId="5FB46B35"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64</w:t>
            </w:r>
          </w:p>
        </w:tc>
        <w:tc>
          <w:tcPr>
            <w:tcW w:w="887" w:type="dxa"/>
            <w:noWrap/>
            <w:vAlign w:val="center"/>
            <w:hideMark/>
          </w:tcPr>
          <w:p w14:paraId="1C7E0EAA" w14:textId="69F344FD"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69</w:t>
            </w:r>
          </w:p>
        </w:tc>
        <w:tc>
          <w:tcPr>
            <w:tcW w:w="887" w:type="dxa"/>
            <w:noWrap/>
            <w:vAlign w:val="center"/>
            <w:hideMark/>
          </w:tcPr>
          <w:p w14:paraId="2B0563C1" w14:textId="0D889A50"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07</w:t>
            </w:r>
          </w:p>
        </w:tc>
        <w:tc>
          <w:tcPr>
            <w:tcW w:w="948" w:type="dxa"/>
            <w:noWrap/>
            <w:vAlign w:val="center"/>
            <w:hideMark/>
          </w:tcPr>
          <w:p w14:paraId="08D0AE58" w14:textId="416A9C5D"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98</w:t>
            </w:r>
            <w:r w:rsidR="0085089D" w:rsidRPr="0026705F">
              <w:rPr>
                <w:sz w:val="18"/>
                <w:szCs w:val="18"/>
                <w:lang w:val="en-US"/>
              </w:rPr>
              <w:t>.</w:t>
            </w:r>
            <w:r w:rsidRPr="0026705F">
              <w:rPr>
                <w:sz w:val="18"/>
                <w:szCs w:val="18"/>
                <w:lang w:val="en-US"/>
              </w:rPr>
              <w:t>22</w:t>
            </w:r>
          </w:p>
        </w:tc>
        <w:tc>
          <w:tcPr>
            <w:tcW w:w="826" w:type="dxa"/>
            <w:noWrap/>
            <w:vAlign w:val="center"/>
            <w:hideMark/>
          </w:tcPr>
          <w:p w14:paraId="48BD2788" w14:textId="567D1ED8"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1</w:t>
            </w:r>
          </w:p>
        </w:tc>
        <w:tc>
          <w:tcPr>
            <w:tcW w:w="887" w:type="dxa"/>
            <w:noWrap/>
            <w:vAlign w:val="center"/>
            <w:hideMark/>
          </w:tcPr>
          <w:p w14:paraId="1BA263C6" w14:textId="3D33CBD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80</w:t>
            </w:r>
          </w:p>
        </w:tc>
      </w:tr>
      <w:tr w:rsidR="00DF5D78" w:rsidRPr="0026705F" w14:paraId="3628EA60" w14:textId="77777777" w:rsidTr="0085089D">
        <w:trPr>
          <w:trHeight w:val="632"/>
        </w:trPr>
        <w:tc>
          <w:tcPr>
            <w:cnfStyle w:val="001000000000" w:firstRow="0" w:lastRow="0" w:firstColumn="1" w:lastColumn="0" w:oddVBand="0" w:evenVBand="0" w:oddHBand="0" w:evenHBand="0" w:firstRowFirstColumn="0" w:firstRowLastColumn="0" w:lastRowFirstColumn="0" w:lastRowLastColumn="0"/>
            <w:tcW w:w="1243" w:type="dxa"/>
            <w:shd w:val="clear" w:color="auto" w:fill="F2F2F2" w:themeFill="background1" w:themeFillShade="F2"/>
            <w:noWrap/>
            <w:vAlign w:val="center"/>
            <w:hideMark/>
          </w:tcPr>
          <w:p w14:paraId="3AC0B0F3" w14:textId="54B1ED2B" w:rsidR="00DF5D78" w:rsidRPr="0026705F" w:rsidRDefault="00DF5D78" w:rsidP="00A16D4B">
            <w:pPr>
              <w:jc w:val="center"/>
              <w:rPr>
                <w:bCs w:val="0"/>
                <w:caps/>
                <w:sz w:val="18"/>
                <w:szCs w:val="18"/>
                <w:lang w:val="en-US"/>
              </w:rPr>
            </w:pPr>
            <w:r w:rsidRPr="0026705F">
              <w:rPr>
                <w:sz w:val="18"/>
                <w:szCs w:val="18"/>
                <w:lang w:val="en-US"/>
              </w:rPr>
              <w:t>M</w:t>
            </w:r>
            <w:r w:rsidR="00602BEC" w:rsidRPr="0026705F">
              <w:rPr>
                <w:sz w:val="18"/>
                <w:szCs w:val="18"/>
                <w:lang w:val="en-US"/>
              </w:rPr>
              <w:t>ean</w:t>
            </w:r>
            <w:r w:rsidRPr="0026705F">
              <w:rPr>
                <w:sz w:val="18"/>
                <w:szCs w:val="18"/>
                <w:lang w:val="en-US"/>
              </w:rPr>
              <w:t>*</w:t>
            </w:r>
          </w:p>
          <w:p w14:paraId="0D511C25" w14:textId="77777777" w:rsidR="00DF5D78" w:rsidRPr="0026705F" w:rsidRDefault="00DF5D78" w:rsidP="00A16D4B">
            <w:pPr>
              <w:jc w:val="center"/>
              <w:rPr>
                <w:sz w:val="18"/>
                <w:szCs w:val="18"/>
                <w:lang w:val="en-US"/>
              </w:rPr>
            </w:pPr>
            <w:r w:rsidRPr="0026705F">
              <w:rPr>
                <w:sz w:val="18"/>
                <w:szCs w:val="18"/>
                <w:lang w:val="en-US"/>
              </w:rPr>
              <w:t>± SD</w:t>
            </w:r>
          </w:p>
        </w:tc>
        <w:tc>
          <w:tcPr>
            <w:tcW w:w="887" w:type="dxa"/>
            <w:shd w:val="clear" w:color="auto" w:fill="F2F2F2" w:themeFill="background1" w:themeFillShade="F2"/>
            <w:noWrap/>
            <w:vAlign w:val="center"/>
            <w:hideMark/>
          </w:tcPr>
          <w:p w14:paraId="7BB15DF4" w14:textId="50AA99CD"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96</w:t>
            </w:r>
            <w:r w:rsidR="0085089D" w:rsidRPr="0026705F">
              <w:rPr>
                <w:sz w:val="18"/>
                <w:szCs w:val="18"/>
                <w:lang w:val="en-US"/>
              </w:rPr>
              <w:t>.</w:t>
            </w:r>
            <w:r w:rsidRPr="0026705F">
              <w:rPr>
                <w:sz w:val="18"/>
                <w:szCs w:val="18"/>
                <w:lang w:val="en-US"/>
              </w:rPr>
              <w:t>49</w:t>
            </w:r>
          </w:p>
          <w:p w14:paraId="5E6E416A" w14:textId="63D01F17"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90</w:t>
            </w:r>
          </w:p>
        </w:tc>
        <w:tc>
          <w:tcPr>
            <w:tcW w:w="887" w:type="dxa"/>
            <w:shd w:val="clear" w:color="auto" w:fill="F2F2F2" w:themeFill="background1" w:themeFillShade="F2"/>
            <w:noWrap/>
            <w:vAlign w:val="center"/>
            <w:hideMark/>
          </w:tcPr>
          <w:p w14:paraId="46D06F60" w14:textId="662AE092"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98</w:t>
            </w:r>
            <w:r w:rsidR="0085089D" w:rsidRPr="0026705F">
              <w:rPr>
                <w:sz w:val="18"/>
                <w:szCs w:val="18"/>
                <w:lang w:val="en-US"/>
              </w:rPr>
              <w:t>.</w:t>
            </w:r>
            <w:r w:rsidRPr="0026705F">
              <w:rPr>
                <w:sz w:val="18"/>
                <w:szCs w:val="18"/>
                <w:lang w:val="en-US"/>
              </w:rPr>
              <w:t>46</w:t>
            </w:r>
          </w:p>
          <w:p w14:paraId="454D96FB" w14:textId="1E1E73A7"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90</w:t>
            </w:r>
          </w:p>
        </w:tc>
        <w:tc>
          <w:tcPr>
            <w:tcW w:w="887" w:type="dxa"/>
            <w:shd w:val="clear" w:color="auto" w:fill="F2F2F2" w:themeFill="background1" w:themeFillShade="F2"/>
            <w:noWrap/>
            <w:vAlign w:val="center"/>
            <w:hideMark/>
          </w:tcPr>
          <w:p w14:paraId="4CA6049B" w14:textId="497B9EE7"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10</w:t>
            </w:r>
          </w:p>
          <w:p w14:paraId="180B9DF4" w14:textId="6095F853"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30</w:t>
            </w:r>
          </w:p>
        </w:tc>
        <w:tc>
          <w:tcPr>
            <w:tcW w:w="887" w:type="dxa"/>
            <w:shd w:val="clear" w:color="auto" w:fill="F2F2F2" w:themeFill="background1" w:themeFillShade="F2"/>
            <w:noWrap/>
            <w:vAlign w:val="center"/>
            <w:hideMark/>
          </w:tcPr>
          <w:p w14:paraId="10B765D9" w14:textId="2F5975E0"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43</w:t>
            </w:r>
          </w:p>
          <w:p w14:paraId="66CADEE4" w14:textId="6D9E656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50</w:t>
            </w:r>
          </w:p>
        </w:tc>
        <w:tc>
          <w:tcPr>
            <w:tcW w:w="887" w:type="dxa"/>
            <w:shd w:val="clear" w:color="auto" w:fill="F2F2F2" w:themeFill="background1" w:themeFillShade="F2"/>
            <w:noWrap/>
            <w:vAlign w:val="center"/>
            <w:hideMark/>
          </w:tcPr>
          <w:p w14:paraId="0FD5BF5A" w14:textId="1007D5A4"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01</w:t>
            </w:r>
          </w:p>
          <w:p w14:paraId="1416F5F6" w14:textId="7E97F927" w:rsidR="00DF5D78" w:rsidRPr="0026705F" w:rsidRDefault="00DF5D78" w:rsidP="0085089D">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10</w:t>
            </w:r>
          </w:p>
        </w:tc>
        <w:tc>
          <w:tcPr>
            <w:tcW w:w="887" w:type="dxa"/>
            <w:shd w:val="clear" w:color="auto" w:fill="F2F2F2" w:themeFill="background1" w:themeFillShade="F2"/>
            <w:noWrap/>
            <w:vAlign w:val="center"/>
            <w:hideMark/>
          </w:tcPr>
          <w:p w14:paraId="4FE6A0E7" w14:textId="0A6CD3D5"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70</w:t>
            </w:r>
          </w:p>
          <w:p w14:paraId="5DB7A325" w14:textId="682A2735"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70</w:t>
            </w:r>
          </w:p>
        </w:tc>
        <w:tc>
          <w:tcPr>
            <w:tcW w:w="948" w:type="dxa"/>
            <w:shd w:val="clear" w:color="auto" w:fill="F2F2F2" w:themeFill="background1" w:themeFillShade="F2"/>
            <w:noWrap/>
            <w:vAlign w:val="center"/>
            <w:hideMark/>
          </w:tcPr>
          <w:p w14:paraId="68FAAB7D" w14:textId="6528BAB0"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95</w:t>
            </w:r>
            <w:r w:rsidR="0085089D" w:rsidRPr="0026705F">
              <w:rPr>
                <w:sz w:val="18"/>
                <w:szCs w:val="18"/>
                <w:lang w:val="en-US"/>
              </w:rPr>
              <w:t>.</w:t>
            </w:r>
            <w:r w:rsidRPr="0026705F">
              <w:rPr>
                <w:sz w:val="18"/>
                <w:szCs w:val="18"/>
                <w:lang w:val="en-US"/>
              </w:rPr>
              <w:t>08</w:t>
            </w:r>
          </w:p>
          <w:p w14:paraId="7391CD92" w14:textId="14A1641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5</w:t>
            </w:r>
            <w:r w:rsidR="0085089D" w:rsidRPr="0026705F">
              <w:rPr>
                <w:sz w:val="18"/>
                <w:szCs w:val="18"/>
                <w:lang w:val="en-US"/>
              </w:rPr>
              <w:t>.</w:t>
            </w:r>
            <w:r w:rsidRPr="0026705F">
              <w:rPr>
                <w:sz w:val="18"/>
                <w:szCs w:val="18"/>
                <w:lang w:val="en-US"/>
              </w:rPr>
              <w:t>80</w:t>
            </w:r>
          </w:p>
        </w:tc>
        <w:tc>
          <w:tcPr>
            <w:tcW w:w="826" w:type="dxa"/>
            <w:shd w:val="clear" w:color="auto" w:fill="F2F2F2" w:themeFill="background1" w:themeFillShade="F2"/>
            <w:noWrap/>
            <w:vAlign w:val="center"/>
            <w:hideMark/>
          </w:tcPr>
          <w:p w14:paraId="3B886136" w14:textId="5BF33A74"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38</w:t>
            </w:r>
          </w:p>
          <w:p w14:paraId="7A06222A" w14:textId="7E49CA5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40</w:t>
            </w:r>
          </w:p>
        </w:tc>
        <w:tc>
          <w:tcPr>
            <w:tcW w:w="887" w:type="dxa"/>
            <w:shd w:val="clear" w:color="auto" w:fill="F2F2F2" w:themeFill="background1" w:themeFillShade="F2"/>
            <w:noWrap/>
            <w:vAlign w:val="center"/>
            <w:hideMark/>
          </w:tcPr>
          <w:p w14:paraId="5859A562" w14:textId="6A520913"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85</w:t>
            </w:r>
          </w:p>
          <w:p w14:paraId="022A91D3" w14:textId="0B72EADB"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60</w:t>
            </w:r>
          </w:p>
        </w:tc>
      </w:tr>
      <w:tr w:rsidR="00DF5D78" w:rsidRPr="0026705F" w14:paraId="5E2F0F30" w14:textId="77777777" w:rsidTr="0085089D">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5AB42A7C" w14:textId="77777777" w:rsidR="00DF5D78" w:rsidRPr="0026705F" w:rsidRDefault="00DF5D78" w:rsidP="00A16D4B">
            <w:pPr>
              <w:jc w:val="center"/>
              <w:rPr>
                <w:sz w:val="18"/>
                <w:szCs w:val="18"/>
                <w:lang w:val="en-US"/>
              </w:rPr>
            </w:pPr>
            <w:r w:rsidRPr="0026705F">
              <w:rPr>
                <w:sz w:val="18"/>
                <w:szCs w:val="18"/>
                <w:lang w:val="en-US"/>
              </w:rPr>
              <w:t>VASC#1</w:t>
            </w:r>
          </w:p>
        </w:tc>
        <w:tc>
          <w:tcPr>
            <w:tcW w:w="887" w:type="dxa"/>
            <w:noWrap/>
            <w:vAlign w:val="center"/>
            <w:hideMark/>
          </w:tcPr>
          <w:p w14:paraId="4CCEBE13" w14:textId="068409F0"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97</w:t>
            </w:r>
            <w:r w:rsidR="0085089D" w:rsidRPr="0026705F">
              <w:rPr>
                <w:sz w:val="18"/>
                <w:szCs w:val="18"/>
                <w:lang w:val="en-US"/>
              </w:rPr>
              <w:t>.</w:t>
            </w:r>
            <w:r w:rsidRPr="0026705F">
              <w:rPr>
                <w:sz w:val="18"/>
                <w:szCs w:val="18"/>
                <w:lang w:val="en-US"/>
              </w:rPr>
              <w:t>81</w:t>
            </w:r>
          </w:p>
        </w:tc>
        <w:tc>
          <w:tcPr>
            <w:tcW w:w="887" w:type="dxa"/>
            <w:noWrap/>
            <w:vAlign w:val="center"/>
            <w:hideMark/>
          </w:tcPr>
          <w:p w14:paraId="325EAF60" w14:textId="0251562A"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50</w:t>
            </w:r>
          </w:p>
        </w:tc>
        <w:tc>
          <w:tcPr>
            <w:tcW w:w="887" w:type="dxa"/>
            <w:noWrap/>
            <w:vAlign w:val="center"/>
            <w:hideMark/>
          </w:tcPr>
          <w:p w14:paraId="757AD2DC" w14:textId="4E0C9109"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64</w:t>
            </w:r>
          </w:p>
        </w:tc>
        <w:tc>
          <w:tcPr>
            <w:tcW w:w="887" w:type="dxa"/>
            <w:noWrap/>
            <w:vAlign w:val="center"/>
            <w:hideMark/>
          </w:tcPr>
          <w:p w14:paraId="03F82BBA" w14:textId="35CA5919"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46</w:t>
            </w:r>
          </w:p>
        </w:tc>
        <w:tc>
          <w:tcPr>
            <w:tcW w:w="887" w:type="dxa"/>
            <w:noWrap/>
            <w:vAlign w:val="center"/>
            <w:hideMark/>
          </w:tcPr>
          <w:p w14:paraId="62B21DF7" w14:textId="1A36DDC4"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21</w:t>
            </w:r>
          </w:p>
        </w:tc>
        <w:tc>
          <w:tcPr>
            <w:tcW w:w="887" w:type="dxa"/>
            <w:noWrap/>
            <w:vAlign w:val="center"/>
            <w:hideMark/>
          </w:tcPr>
          <w:p w14:paraId="66346AB0" w14:textId="3E79D133"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14</w:t>
            </w:r>
          </w:p>
        </w:tc>
        <w:tc>
          <w:tcPr>
            <w:tcW w:w="948" w:type="dxa"/>
            <w:noWrap/>
            <w:vAlign w:val="center"/>
            <w:hideMark/>
          </w:tcPr>
          <w:p w14:paraId="03EDD99A" w14:textId="720FF10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78</w:t>
            </w:r>
          </w:p>
        </w:tc>
        <w:tc>
          <w:tcPr>
            <w:tcW w:w="826" w:type="dxa"/>
            <w:noWrap/>
            <w:vAlign w:val="center"/>
            <w:hideMark/>
          </w:tcPr>
          <w:p w14:paraId="56C19F7E" w14:textId="4E6147CF"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57</w:t>
            </w:r>
          </w:p>
        </w:tc>
        <w:tc>
          <w:tcPr>
            <w:tcW w:w="887" w:type="dxa"/>
            <w:noWrap/>
            <w:vAlign w:val="center"/>
            <w:hideMark/>
          </w:tcPr>
          <w:p w14:paraId="5D10879A" w14:textId="26F50E92"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87</w:t>
            </w:r>
          </w:p>
        </w:tc>
      </w:tr>
      <w:tr w:rsidR="00DF5D78" w:rsidRPr="0026705F" w14:paraId="7A20372C" w14:textId="77777777" w:rsidTr="0085089D">
        <w:trPr>
          <w:trHeight w:val="406"/>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4E668206" w14:textId="77777777" w:rsidR="00DF5D78" w:rsidRPr="0026705F" w:rsidRDefault="00DF5D78" w:rsidP="00A16D4B">
            <w:pPr>
              <w:jc w:val="center"/>
              <w:rPr>
                <w:sz w:val="18"/>
                <w:szCs w:val="18"/>
                <w:lang w:val="en-US"/>
              </w:rPr>
            </w:pPr>
            <w:r w:rsidRPr="0026705F">
              <w:rPr>
                <w:sz w:val="18"/>
                <w:szCs w:val="18"/>
                <w:lang w:val="en-US"/>
              </w:rPr>
              <w:t>VASC#2</w:t>
            </w:r>
          </w:p>
        </w:tc>
        <w:tc>
          <w:tcPr>
            <w:tcW w:w="887" w:type="dxa"/>
            <w:noWrap/>
            <w:vAlign w:val="center"/>
            <w:hideMark/>
          </w:tcPr>
          <w:p w14:paraId="4D96F4FF" w14:textId="02C7F0CC"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95</w:t>
            </w:r>
            <w:r w:rsidR="0085089D" w:rsidRPr="0026705F">
              <w:rPr>
                <w:sz w:val="18"/>
                <w:szCs w:val="18"/>
                <w:lang w:val="en-US"/>
              </w:rPr>
              <w:t>.</w:t>
            </w:r>
            <w:r w:rsidRPr="0026705F">
              <w:rPr>
                <w:sz w:val="18"/>
                <w:szCs w:val="18"/>
                <w:lang w:val="en-US"/>
              </w:rPr>
              <w:t>56</w:t>
            </w:r>
          </w:p>
        </w:tc>
        <w:tc>
          <w:tcPr>
            <w:tcW w:w="887" w:type="dxa"/>
            <w:noWrap/>
            <w:vAlign w:val="center"/>
            <w:hideMark/>
          </w:tcPr>
          <w:p w14:paraId="3341CC27" w14:textId="4BD5C1B2"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91</w:t>
            </w:r>
            <w:r w:rsidR="0085089D" w:rsidRPr="0026705F">
              <w:rPr>
                <w:sz w:val="18"/>
                <w:szCs w:val="18"/>
                <w:lang w:val="en-US"/>
              </w:rPr>
              <w:t>.</w:t>
            </w:r>
            <w:r w:rsidRPr="0026705F">
              <w:rPr>
                <w:sz w:val="18"/>
                <w:szCs w:val="18"/>
                <w:lang w:val="en-US"/>
              </w:rPr>
              <w:t>87</w:t>
            </w:r>
          </w:p>
        </w:tc>
        <w:tc>
          <w:tcPr>
            <w:tcW w:w="887" w:type="dxa"/>
            <w:noWrap/>
            <w:vAlign w:val="center"/>
            <w:hideMark/>
          </w:tcPr>
          <w:p w14:paraId="7E41D51F" w14:textId="47E1AD6A"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97</w:t>
            </w:r>
            <w:r w:rsidR="0085089D" w:rsidRPr="0026705F">
              <w:rPr>
                <w:sz w:val="18"/>
                <w:szCs w:val="18"/>
                <w:lang w:val="en-US"/>
              </w:rPr>
              <w:t>.</w:t>
            </w:r>
            <w:r w:rsidRPr="0026705F">
              <w:rPr>
                <w:sz w:val="18"/>
                <w:szCs w:val="18"/>
                <w:lang w:val="en-US"/>
              </w:rPr>
              <w:t>70</w:t>
            </w:r>
          </w:p>
        </w:tc>
        <w:tc>
          <w:tcPr>
            <w:tcW w:w="887" w:type="dxa"/>
            <w:noWrap/>
            <w:vAlign w:val="center"/>
            <w:hideMark/>
          </w:tcPr>
          <w:p w14:paraId="3E9A081D" w14:textId="75746F26"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57</w:t>
            </w:r>
          </w:p>
        </w:tc>
        <w:tc>
          <w:tcPr>
            <w:tcW w:w="887" w:type="dxa"/>
            <w:noWrap/>
            <w:vAlign w:val="center"/>
            <w:hideMark/>
          </w:tcPr>
          <w:p w14:paraId="36361222" w14:textId="308BDD11"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3</w:t>
            </w:r>
            <w:r w:rsidR="0085089D" w:rsidRPr="0026705F">
              <w:rPr>
                <w:sz w:val="18"/>
                <w:szCs w:val="18"/>
                <w:lang w:val="en-US"/>
              </w:rPr>
              <w:t>.</w:t>
            </w:r>
            <w:r w:rsidRPr="0026705F">
              <w:rPr>
                <w:sz w:val="18"/>
                <w:szCs w:val="18"/>
                <w:lang w:val="en-US"/>
              </w:rPr>
              <w:t>77</w:t>
            </w:r>
          </w:p>
        </w:tc>
        <w:tc>
          <w:tcPr>
            <w:tcW w:w="887" w:type="dxa"/>
            <w:noWrap/>
            <w:vAlign w:val="center"/>
            <w:hideMark/>
          </w:tcPr>
          <w:p w14:paraId="536274C6" w14:textId="024128A5"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20</w:t>
            </w:r>
          </w:p>
        </w:tc>
        <w:tc>
          <w:tcPr>
            <w:tcW w:w="948" w:type="dxa"/>
            <w:noWrap/>
            <w:vAlign w:val="center"/>
            <w:hideMark/>
          </w:tcPr>
          <w:p w14:paraId="0326A248" w14:textId="2799C4D8"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94</w:t>
            </w:r>
            <w:r w:rsidR="0085089D" w:rsidRPr="0026705F">
              <w:rPr>
                <w:sz w:val="18"/>
                <w:szCs w:val="18"/>
                <w:lang w:val="en-US"/>
              </w:rPr>
              <w:t>.</w:t>
            </w:r>
            <w:r w:rsidRPr="0026705F">
              <w:rPr>
                <w:sz w:val="18"/>
                <w:szCs w:val="18"/>
                <w:lang w:val="en-US"/>
              </w:rPr>
              <w:t>52</w:t>
            </w:r>
          </w:p>
        </w:tc>
        <w:tc>
          <w:tcPr>
            <w:tcW w:w="826" w:type="dxa"/>
            <w:noWrap/>
            <w:vAlign w:val="center"/>
            <w:hideMark/>
          </w:tcPr>
          <w:p w14:paraId="7C2C492B" w14:textId="513D5AC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30</w:t>
            </w:r>
          </w:p>
        </w:tc>
        <w:tc>
          <w:tcPr>
            <w:tcW w:w="887" w:type="dxa"/>
            <w:noWrap/>
            <w:vAlign w:val="center"/>
            <w:hideMark/>
          </w:tcPr>
          <w:p w14:paraId="49FFEC7C" w14:textId="115FC256"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3</w:t>
            </w:r>
            <w:r w:rsidR="0085089D" w:rsidRPr="0026705F">
              <w:rPr>
                <w:sz w:val="18"/>
                <w:szCs w:val="18"/>
                <w:lang w:val="en-US"/>
              </w:rPr>
              <w:t>.</w:t>
            </w:r>
            <w:r w:rsidRPr="0026705F">
              <w:rPr>
                <w:sz w:val="18"/>
                <w:szCs w:val="18"/>
                <w:lang w:val="en-US"/>
              </w:rPr>
              <w:t>93</w:t>
            </w:r>
          </w:p>
        </w:tc>
      </w:tr>
      <w:tr w:rsidR="00DF5D78" w:rsidRPr="0026705F" w14:paraId="539B6334" w14:textId="77777777" w:rsidTr="0085089D">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40F182ED" w14:textId="77777777" w:rsidR="00DF5D78" w:rsidRPr="0026705F" w:rsidRDefault="00DF5D78" w:rsidP="00A16D4B">
            <w:pPr>
              <w:jc w:val="center"/>
              <w:rPr>
                <w:sz w:val="18"/>
                <w:szCs w:val="18"/>
                <w:lang w:val="en-US"/>
              </w:rPr>
            </w:pPr>
            <w:r w:rsidRPr="0026705F">
              <w:rPr>
                <w:sz w:val="18"/>
                <w:szCs w:val="18"/>
                <w:lang w:val="en-US"/>
              </w:rPr>
              <w:t>VASC#3</w:t>
            </w:r>
          </w:p>
        </w:tc>
        <w:tc>
          <w:tcPr>
            <w:tcW w:w="887" w:type="dxa"/>
            <w:noWrap/>
            <w:vAlign w:val="center"/>
            <w:hideMark/>
          </w:tcPr>
          <w:p w14:paraId="0C38A654" w14:textId="42A93D21"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98</w:t>
            </w:r>
            <w:r w:rsidR="0085089D" w:rsidRPr="0026705F">
              <w:rPr>
                <w:sz w:val="18"/>
                <w:szCs w:val="18"/>
                <w:lang w:val="en-US"/>
              </w:rPr>
              <w:t>.</w:t>
            </w:r>
            <w:r w:rsidRPr="0026705F">
              <w:rPr>
                <w:sz w:val="18"/>
                <w:szCs w:val="18"/>
                <w:lang w:val="en-US"/>
              </w:rPr>
              <w:t>72</w:t>
            </w:r>
          </w:p>
        </w:tc>
        <w:tc>
          <w:tcPr>
            <w:tcW w:w="887" w:type="dxa"/>
            <w:noWrap/>
            <w:vAlign w:val="center"/>
            <w:hideMark/>
          </w:tcPr>
          <w:p w14:paraId="74518B07" w14:textId="2E0AA28B"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95</w:t>
            </w:r>
            <w:r w:rsidR="0085089D" w:rsidRPr="0026705F">
              <w:rPr>
                <w:sz w:val="18"/>
                <w:szCs w:val="18"/>
                <w:lang w:val="en-US"/>
              </w:rPr>
              <w:t>.</w:t>
            </w:r>
            <w:r w:rsidRPr="0026705F">
              <w:rPr>
                <w:sz w:val="18"/>
                <w:szCs w:val="18"/>
                <w:lang w:val="en-US"/>
              </w:rPr>
              <w:t>48</w:t>
            </w:r>
          </w:p>
        </w:tc>
        <w:tc>
          <w:tcPr>
            <w:tcW w:w="887" w:type="dxa"/>
            <w:noWrap/>
            <w:vAlign w:val="center"/>
            <w:hideMark/>
          </w:tcPr>
          <w:p w14:paraId="774F7351" w14:textId="58004D24"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45</w:t>
            </w:r>
          </w:p>
        </w:tc>
        <w:tc>
          <w:tcPr>
            <w:tcW w:w="887" w:type="dxa"/>
            <w:noWrap/>
            <w:vAlign w:val="center"/>
            <w:hideMark/>
          </w:tcPr>
          <w:p w14:paraId="3E07DA4B" w14:textId="227D9C82"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20</w:t>
            </w:r>
          </w:p>
        </w:tc>
        <w:tc>
          <w:tcPr>
            <w:tcW w:w="887" w:type="dxa"/>
            <w:noWrap/>
            <w:vAlign w:val="center"/>
            <w:hideMark/>
          </w:tcPr>
          <w:p w14:paraId="4E4E506D" w14:textId="798CB799"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14</w:t>
            </w:r>
          </w:p>
        </w:tc>
        <w:tc>
          <w:tcPr>
            <w:tcW w:w="887" w:type="dxa"/>
            <w:noWrap/>
            <w:vAlign w:val="center"/>
            <w:hideMark/>
          </w:tcPr>
          <w:p w14:paraId="2D7055FE" w14:textId="709AADF4"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26</w:t>
            </w:r>
          </w:p>
        </w:tc>
        <w:tc>
          <w:tcPr>
            <w:tcW w:w="948" w:type="dxa"/>
            <w:noWrap/>
            <w:vAlign w:val="center"/>
            <w:hideMark/>
          </w:tcPr>
          <w:p w14:paraId="499FB66F" w14:textId="05120041"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97</w:t>
            </w:r>
            <w:r w:rsidR="0085089D" w:rsidRPr="0026705F">
              <w:rPr>
                <w:sz w:val="18"/>
                <w:szCs w:val="18"/>
                <w:lang w:val="en-US"/>
              </w:rPr>
              <w:t>.</w:t>
            </w:r>
            <w:r w:rsidRPr="0026705F">
              <w:rPr>
                <w:sz w:val="18"/>
                <w:szCs w:val="18"/>
                <w:lang w:val="en-US"/>
              </w:rPr>
              <w:t>97</w:t>
            </w:r>
          </w:p>
        </w:tc>
        <w:tc>
          <w:tcPr>
            <w:tcW w:w="826" w:type="dxa"/>
            <w:noWrap/>
            <w:vAlign w:val="center"/>
            <w:hideMark/>
          </w:tcPr>
          <w:p w14:paraId="0F268CE7" w14:textId="33383209"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40</w:t>
            </w:r>
          </w:p>
        </w:tc>
        <w:tc>
          <w:tcPr>
            <w:tcW w:w="887" w:type="dxa"/>
            <w:noWrap/>
            <w:vAlign w:val="center"/>
            <w:hideMark/>
          </w:tcPr>
          <w:p w14:paraId="54F845D2" w14:textId="566E7A01"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4</w:t>
            </w:r>
            <w:r w:rsidR="0085089D" w:rsidRPr="0026705F">
              <w:rPr>
                <w:sz w:val="18"/>
                <w:szCs w:val="18"/>
                <w:lang w:val="en-US"/>
              </w:rPr>
              <w:t>.</w:t>
            </w:r>
            <w:r w:rsidRPr="0026705F">
              <w:rPr>
                <w:sz w:val="18"/>
                <w:szCs w:val="18"/>
                <w:lang w:val="en-US"/>
              </w:rPr>
              <w:t>54</w:t>
            </w:r>
          </w:p>
        </w:tc>
      </w:tr>
      <w:tr w:rsidR="00DF5D78" w:rsidRPr="0026705F" w14:paraId="25F035B7" w14:textId="77777777" w:rsidTr="0085089D">
        <w:trPr>
          <w:trHeight w:val="406"/>
        </w:trPr>
        <w:tc>
          <w:tcPr>
            <w:cnfStyle w:val="001000000000" w:firstRow="0" w:lastRow="0" w:firstColumn="1" w:lastColumn="0" w:oddVBand="0" w:evenVBand="0" w:oddHBand="0" w:evenHBand="0" w:firstRowFirstColumn="0" w:firstRowLastColumn="0" w:lastRowFirstColumn="0" w:lastRowLastColumn="0"/>
            <w:tcW w:w="1243" w:type="dxa"/>
            <w:noWrap/>
            <w:vAlign w:val="center"/>
            <w:hideMark/>
          </w:tcPr>
          <w:p w14:paraId="0B399A89" w14:textId="77777777" w:rsidR="00DF5D78" w:rsidRPr="0026705F" w:rsidRDefault="00DF5D78" w:rsidP="00A16D4B">
            <w:pPr>
              <w:jc w:val="center"/>
              <w:rPr>
                <w:sz w:val="18"/>
                <w:szCs w:val="18"/>
                <w:lang w:val="en-US"/>
              </w:rPr>
            </w:pPr>
            <w:r w:rsidRPr="0026705F">
              <w:rPr>
                <w:sz w:val="18"/>
                <w:szCs w:val="18"/>
                <w:lang w:val="en-US"/>
              </w:rPr>
              <w:t>VASC#4</w:t>
            </w:r>
          </w:p>
        </w:tc>
        <w:tc>
          <w:tcPr>
            <w:tcW w:w="887" w:type="dxa"/>
            <w:noWrap/>
            <w:vAlign w:val="center"/>
            <w:hideMark/>
          </w:tcPr>
          <w:p w14:paraId="3BEA28AD" w14:textId="623908F8"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88</w:t>
            </w:r>
            <w:r w:rsidR="0085089D" w:rsidRPr="0026705F">
              <w:rPr>
                <w:sz w:val="18"/>
                <w:szCs w:val="18"/>
                <w:lang w:val="en-US"/>
              </w:rPr>
              <w:t>.</w:t>
            </w:r>
            <w:r w:rsidRPr="0026705F">
              <w:rPr>
                <w:sz w:val="18"/>
                <w:szCs w:val="18"/>
                <w:lang w:val="en-US"/>
              </w:rPr>
              <w:t>47</w:t>
            </w:r>
          </w:p>
        </w:tc>
        <w:tc>
          <w:tcPr>
            <w:tcW w:w="887" w:type="dxa"/>
            <w:noWrap/>
            <w:vAlign w:val="center"/>
            <w:hideMark/>
          </w:tcPr>
          <w:p w14:paraId="21274373" w14:textId="4FD02E72"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98</w:t>
            </w:r>
            <w:r w:rsidR="0085089D" w:rsidRPr="0026705F">
              <w:rPr>
                <w:sz w:val="18"/>
                <w:szCs w:val="18"/>
                <w:lang w:val="en-US"/>
              </w:rPr>
              <w:t>.</w:t>
            </w:r>
            <w:r w:rsidRPr="0026705F">
              <w:rPr>
                <w:sz w:val="18"/>
                <w:szCs w:val="18"/>
                <w:lang w:val="en-US"/>
              </w:rPr>
              <w:t>56</w:t>
            </w:r>
          </w:p>
        </w:tc>
        <w:tc>
          <w:tcPr>
            <w:tcW w:w="887" w:type="dxa"/>
            <w:noWrap/>
            <w:vAlign w:val="center"/>
            <w:hideMark/>
          </w:tcPr>
          <w:p w14:paraId="7A535B01" w14:textId="6C8CA7D9"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88</w:t>
            </w:r>
            <w:r w:rsidR="0085089D" w:rsidRPr="0026705F">
              <w:rPr>
                <w:sz w:val="18"/>
                <w:szCs w:val="18"/>
                <w:lang w:val="en-US"/>
              </w:rPr>
              <w:t>.</w:t>
            </w:r>
            <w:r w:rsidRPr="0026705F">
              <w:rPr>
                <w:sz w:val="18"/>
                <w:szCs w:val="18"/>
                <w:lang w:val="en-US"/>
              </w:rPr>
              <w:t>44</w:t>
            </w:r>
          </w:p>
        </w:tc>
        <w:tc>
          <w:tcPr>
            <w:tcW w:w="887" w:type="dxa"/>
            <w:noWrap/>
            <w:vAlign w:val="center"/>
            <w:hideMark/>
          </w:tcPr>
          <w:p w14:paraId="6AD73976" w14:textId="69FEA0A5"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4</w:t>
            </w:r>
            <w:r w:rsidR="0085089D" w:rsidRPr="0026705F">
              <w:rPr>
                <w:sz w:val="18"/>
                <w:szCs w:val="18"/>
                <w:lang w:val="en-US"/>
              </w:rPr>
              <w:t>.</w:t>
            </w:r>
            <w:r w:rsidRPr="0026705F">
              <w:rPr>
                <w:sz w:val="18"/>
                <w:szCs w:val="18"/>
                <w:lang w:val="en-US"/>
              </w:rPr>
              <w:t>67</w:t>
            </w:r>
          </w:p>
        </w:tc>
        <w:tc>
          <w:tcPr>
            <w:tcW w:w="887" w:type="dxa"/>
            <w:noWrap/>
            <w:vAlign w:val="center"/>
            <w:hideMark/>
          </w:tcPr>
          <w:p w14:paraId="5DC446B2" w14:textId="28DA1A46"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3</w:t>
            </w:r>
            <w:r w:rsidR="0085089D" w:rsidRPr="0026705F">
              <w:rPr>
                <w:sz w:val="18"/>
                <w:szCs w:val="18"/>
                <w:lang w:val="en-US"/>
              </w:rPr>
              <w:t>.</w:t>
            </w:r>
            <w:r w:rsidRPr="0026705F">
              <w:rPr>
                <w:sz w:val="18"/>
                <w:szCs w:val="18"/>
                <w:lang w:val="en-US"/>
              </w:rPr>
              <w:t>51</w:t>
            </w:r>
          </w:p>
        </w:tc>
        <w:tc>
          <w:tcPr>
            <w:tcW w:w="887" w:type="dxa"/>
            <w:noWrap/>
            <w:vAlign w:val="center"/>
            <w:hideMark/>
          </w:tcPr>
          <w:p w14:paraId="4DD90AFB" w14:textId="5163E5CC"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80</w:t>
            </w:r>
          </w:p>
        </w:tc>
        <w:tc>
          <w:tcPr>
            <w:tcW w:w="948" w:type="dxa"/>
            <w:noWrap/>
            <w:vAlign w:val="center"/>
            <w:hideMark/>
          </w:tcPr>
          <w:p w14:paraId="1A8723BD" w14:textId="40963C76"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86</w:t>
            </w:r>
            <w:r w:rsidR="0085089D" w:rsidRPr="0026705F">
              <w:rPr>
                <w:sz w:val="18"/>
                <w:szCs w:val="18"/>
                <w:lang w:val="en-US"/>
              </w:rPr>
              <w:t>.</w:t>
            </w:r>
            <w:r w:rsidRPr="0026705F">
              <w:rPr>
                <w:sz w:val="18"/>
                <w:szCs w:val="18"/>
                <w:lang w:val="en-US"/>
              </w:rPr>
              <w:t>48</w:t>
            </w:r>
          </w:p>
        </w:tc>
        <w:tc>
          <w:tcPr>
            <w:tcW w:w="826" w:type="dxa"/>
            <w:noWrap/>
            <w:vAlign w:val="center"/>
            <w:hideMark/>
          </w:tcPr>
          <w:p w14:paraId="4D72DA5C" w14:textId="0C958FB1"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32</w:t>
            </w:r>
          </w:p>
        </w:tc>
        <w:tc>
          <w:tcPr>
            <w:tcW w:w="887" w:type="dxa"/>
            <w:noWrap/>
            <w:vAlign w:val="center"/>
            <w:hideMark/>
          </w:tcPr>
          <w:p w14:paraId="4A2FC6F3" w14:textId="4F6C88C3"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16</w:t>
            </w:r>
          </w:p>
        </w:tc>
      </w:tr>
      <w:tr w:rsidR="00DF5D78" w:rsidRPr="0026705F" w14:paraId="7647EDCE" w14:textId="77777777" w:rsidTr="0085089D">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243" w:type="dxa"/>
            <w:shd w:val="clear" w:color="auto" w:fill="F2F2F2" w:themeFill="background1" w:themeFillShade="F2"/>
            <w:noWrap/>
            <w:vAlign w:val="center"/>
            <w:hideMark/>
          </w:tcPr>
          <w:p w14:paraId="0B49745E" w14:textId="7D64BCDF" w:rsidR="00DF5D78" w:rsidRPr="0026705F" w:rsidRDefault="00DF5D78" w:rsidP="00A16D4B">
            <w:pPr>
              <w:jc w:val="center"/>
              <w:rPr>
                <w:bCs w:val="0"/>
                <w:caps/>
                <w:sz w:val="18"/>
                <w:szCs w:val="18"/>
                <w:lang w:val="en-US"/>
              </w:rPr>
            </w:pPr>
            <w:r w:rsidRPr="0026705F">
              <w:rPr>
                <w:sz w:val="18"/>
                <w:szCs w:val="18"/>
                <w:lang w:val="en-US"/>
              </w:rPr>
              <w:t>M</w:t>
            </w:r>
            <w:r w:rsidR="00602BEC" w:rsidRPr="0026705F">
              <w:rPr>
                <w:sz w:val="18"/>
                <w:szCs w:val="18"/>
                <w:lang w:val="en-US"/>
              </w:rPr>
              <w:t>ean</w:t>
            </w:r>
            <w:r w:rsidRPr="0026705F">
              <w:rPr>
                <w:sz w:val="18"/>
                <w:szCs w:val="18"/>
                <w:lang w:val="en-US"/>
              </w:rPr>
              <w:t>*</w:t>
            </w:r>
          </w:p>
          <w:p w14:paraId="1C01E72F" w14:textId="77777777" w:rsidR="00DF5D78" w:rsidRPr="0026705F" w:rsidRDefault="00DF5D78" w:rsidP="00A16D4B">
            <w:pPr>
              <w:jc w:val="center"/>
              <w:rPr>
                <w:sz w:val="18"/>
                <w:szCs w:val="18"/>
                <w:lang w:val="en-US"/>
              </w:rPr>
            </w:pPr>
            <w:r w:rsidRPr="0026705F">
              <w:rPr>
                <w:sz w:val="18"/>
                <w:szCs w:val="18"/>
                <w:lang w:val="en-US"/>
              </w:rPr>
              <w:t>± SD</w:t>
            </w:r>
          </w:p>
        </w:tc>
        <w:tc>
          <w:tcPr>
            <w:tcW w:w="887" w:type="dxa"/>
            <w:shd w:val="clear" w:color="auto" w:fill="F2F2F2" w:themeFill="background1" w:themeFillShade="F2"/>
            <w:noWrap/>
            <w:vAlign w:val="center"/>
            <w:hideMark/>
          </w:tcPr>
          <w:p w14:paraId="100EAFEC" w14:textId="1C0F6F65"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95</w:t>
            </w:r>
            <w:r w:rsidR="0085089D" w:rsidRPr="0026705F">
              <w:rPr>
                <w:sz w:val="18"/>
                <w:szCs w:val="18"/>
                <w:lang w:val="en-US"/>
              </w:rPr>
              <w:t>.</w:t>
            </w:r>
            <w:r w:rsidRPr="0026705F">
              <w:rPr>
                <w:sz w:val="18"/>
                <w:szCs w:val="18"/>
                <w:lang w:val="en-US"/>
              </w:rPr>
              <w:t>14</w:t>
            </w:r>
          </w:p>
          <w:p w14:paraId="1E7FACE7" w14:textId="4EFD7C2B"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4</w:t>
            </w:r>
            <w:r w:rsidR="0085089D" w:rsidRPr="0026705F">
              <w:rPr>
                <w:sz w:val="18"/>
                <w:szCs w:val="18"/>
                <w:lang w:val="en-US"/>
              </w:rPr>
              <w:t>.6</w:t>
            </w:r>
            <w:r w:rsidRPr="0026705F">
              <w:rPr>
                <w:sz w:val="18"/>
                <w:szCs w:val="18"/>
                <w:lang w:val="en-US"/>
              </w:rPr>
              <w:t>0</w:t>
            </w:r>
          </w:p>
        </w:tc>
        <w:tc>
          <w:tcPr>
            <w:tcW w:w="887" w:type="dxa"/>
            <w:shd w:val="clear" w:color="auto" w:fill="F2F2F2" w:themeFill="background1" w:themeFillShade="F2"/>
            <w:noWrap/>
            <w:vAlign w:val="center"/>
            <w:hideMark/>
          </w:tcPr>
          <w:p w14:paraId="2318EE4A" w14:textId="0092AA4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96,</w:t>
            </w:r>
            <w:r w:rsidR="0085089D" w:rsidRPr="0026705F">
              <w:rPr>
                <w:sz w:val="18"/>
                <w:szCs w:val="18"/>
                <w:lang w:val="en-US"/>
              </w:rPr>
              <w:t>.</w:t>
            </w:r>
            <w:r w:rsidRPr="0026705F">
              <w:rPr>
                <w:sz w:val="18"/>
                <w:szCs w:val="18"/>
                <w:lang w:val="en-US"/>
              </w:rPr>
              <w:t>35</w:t>
            </w:r>
          </w:p>
          <w:p w14:paraId="0E7A5498" w14:textId="79E60095"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3</w:t>
            </w:r>
            <w:r w:rsidR="0085089D" w:rsidRPr="0026705F">
              <w:rPr>
                <w:sz w:val="18"/>
                <w:szCs w:val="18"/>
                <w:lang w:val="en-US"/>
              </w:rPr>
              <w:t>.</w:t>
            </w:r>
            <w:r w:rsidRPr="0026705F">
              <w:rPr>
                <w:sz w:val="18"/>
                <w:szCs w:val="18"/>
                <w:lang w:val="en-US"/>
              </w:rPr>
              <w:t>40</w:t>
            </w:r>
          </w:p>
        </w:tc>
        <w:tc>
          <w:tcPr>
            <w:tcW w:w="887" w:type="dxa"/>
            <w:shd w:val="clear" w:color="auto" w:fill="F2F2F2" w:themeFill="background1" w:themeFillShade="F2"/>
            <w:noWrap/>
            <w:vAlign w:val="center"/>
            <w:hideMark/>
          </w:tcPr>
          <w:p w14:paraId="060BF82E" w14:textId="6497377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96</w:t>
            </w:r>
            <w:r w:rsidR="0085089D" w:rsidRPr="0026705F">
              <w:rPr>
                <w:sz w:val="18"/>
                <w:szCs w:val="18"/>
                <w:lang w:val="en-US"/>
              </w:rPr>
              <w:t>.</w:t>
            </w:r>
            <w:r w:rsidRPr="0026705F">
              <w:rPr>
                <w:sz w:val="18"/>
                <w:szCs w:val="18"/>
                <w:lang w:val="en-US"/>
              </w:rPr>
              <w:t>31</w:t>
            </w:r>
          </w:p>
          <w:p w14:paraId="143CAF97" w14:textId="2F2490EE"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5</w:t>
            </w:r>
            <w:r w:rsidR="0085089D" w:rsidRPr="0026705F">
              <w:rPr>
                <w:sz w:val="18"/>
                <w:szCs w:val="18"/>
                <w:lang w:val="en-US"/>
              </w:rPr>
              <w:t>.</w:t>
            </w:r>
            <w:r w:rsidRPr="0026705F">
              <w:rPr>
                <w:sz w:val="18"/>
                <w:szCs w:val="18"/>
                <w:lang w:val="en-US"/>
              </w:rPr>
              <w:t>30</w:t>
            </w:r>
          </w:p>
        </w:tc>
        <w:tc>
          <w:tcPr>
            <w:tcW w:w="887" w:type="dxa"/>
            <w:shd w:val="clear" w:color="auto" w:fill="F2F2F2" w:themeFill="background1" w:themeFillShade="F2"/>
            <w:noWrap/>
            <w:vAlign w:val="center"/>
            <w:hideMark/>
          </w:tcPr>
          <w:p w14:paraId="7728F424" w14:textId="6ED7A120"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23</w:t>
            </w:r>
          </w:p>
          <w:p w14:paraId="792B036F" w14:textId="0D1E5E4E"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90</w:t>
            </w:r>
          </w:p>
        </w:tc>
        <w:tc>
          <w:tcPr>
            <w:tcW w:w="887" w:type="dxa"/>
            <w:shd w:val="clear" w:color="auto" w:fill="F2F2F2" w:themeFill="background1" w:themeFillShade="F2"/>
            <w:noWrap/>
            <w:vAlign w:val="center"/>
            <w:hideMark/>
          </w:tcPr>
          <w:p w14:paraId="022FAAFF" w14:textId="6623224D"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16</w:t>
            </w:r>
          </w:p>
          <w:p w14:paraId="79BF9AE0" w14:textId="11CE41B6"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80</w:t>
            </w:r>
          </w:p>
        </w:tc>
        <w:tc>
          <w:tcPr>
            <w:tcW w:w="887" w:type="dxa"/>
            <w:shd w:val="clear" w:color="auto" w:fill="F2F2F2" w:themeFill="background1" w:themeFillShade="F2"/>
            <w:noWrap/>
            <w:vAlign w:val="center"/>
            <w:hideMark/>
          </w:tcPr>
          <w:p w14:paraId="46A583F4" w14:textId="73234FF7"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85</w:t>
            </w:r>
          </w:p>
          <w:p w14:paraId="56C40CDE" w14:textId="4AD954FF"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80</w:t>
            </w:r>
          </w:p>
        </w:tc>
        <w:tc>
          <w:tcPr>
            <w:tcW w:w="948" w:type="dxa"/>
            <w:shd w:val="clear" w:color="auto" w:fill="F2F2F2" w:themeFill="background1" w:themeFillShade="F2"/>
            <w:noWrap/>
            <w:vAlign w:val="center"/>
            <w:hideMark/>
          </w:tcPr>
          <w:p w14:paraId="3A2E89B3" w14:textId="5F43915C"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94</w:t>
            </w:r>
            <w:r w:rsidR="0085089D" w:rsidRPr="0026705F">
              <w:rPr>
                <w:sz w:val="18"/>
                <w:szCs w:val="18"/>
                <w:lang w:val="en-US"/>
              </w:rPr>
              <w:t>.</w:t>
            </w:r>
            <w:r w:rsidRPr="0026705F">
              <w:rPr>
                <w:sz w:val="18"/>
                <w:szCs w:val="18"/>
                <w:lang w:val="en-US"/>
              </w:rPr>
              <w:t>69</w:t>
            </w:r>
          </w:p>
          <w:p w14:paraId="266564D5" w14:textId="3A2ED8C8"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5</w:t>
            </w:r>
            <w:r w:rsidR="0085089D" w:rsidRPr="0026705F">
              <w:rPr>
                <w:sz w:val="18"/>
                <w:szCs w:val="18"/>
                <w:lang w:val="en-US"/>
              </w:rPr>
              <w:t>.9</w:t>
            </w:r>
            <w:r w:rsidRPr="0026705F">
              <w:rPr>
                <w:sz w:val="18"/>
                <w:szCs w:val="18"/>
                <w:lang w:val="en-US"/>
              </w:rPr>
              <w:t>0</w:t>
            </w:r>
          </w:p>
        </w:tc>
        <w:tc>
          <w:tcPr>
            <w:tcW w:w="826" w:type="dxa"/>
            <w:shd w:val="clear" w:color="auto" w:fill="F2F2F2" w:themeFill="background1" w:themeFillShade="F2"/>
            <w:noWrap/>
            <w:vAlign w:val="center"/>
            <w:hideMark/>
          </w:tcPr>
          <w:p w14:paraId="1AD9F9D3" w14:textId="49E608B0"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65</w:t>
            </w:r>
          </w:p>
          <w:p w14:paraId="3751E134" w14:textId="1A64F7FD"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90</w:t>
            </w:r>
          </w:p>
        </w:tc>
        <w:tc>
          <w:tcPr>
            <w:tcW w:w="887" w:type="dxa"/>
            <w:shd w:val="clear" w:color="auto" w:fill="F2F2F2" w:themeFill="background1" w:themeFillShade="F2"/>
            <w:noWrap/>
            <w:vAlign w:val="center"/>
            <w:hideMark/>
          </w:tcPr>
          <w:p w14:paraId="5B3961A7" w14:textId="2BA9232C"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88</w:t>
            </w:r>
          </w:p>
          <w:p w14:paraId="436434BC" w14:textId="1302CDBD"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60</w:t>
            </w:r>
          </w:p>
        </w:tc>
      </w:tr>
      <w:tr w:rsidR="00DF5D78" w:rsidRPr="0026705F" w14:paraId="1838B06F" w14:textId="77777777" w:rsidTr="0085089D">
        <w:trPr>
          <w:trHeight w:val="423"/>
        </w:trPr>
        <w:tc>
          <w:tcPr>
            <w:cnfStyle w:val="001000000000" w:firstRow="0" w:lastRow="0" w:firstColumn="1" w:lastColumn="0" w:oddVBand="0" w:evenVBand="0" w:oddHBand="0" w:evenHBand="0" w:firstRowFirstColumn="0" w:firstRowLastColumn="0" w:lastRowFirstColumn="0" w:lastRowLastColumn="0"/>
            <w:tcW w:w="1243" w:type="dxa"/>
            <w:noWrap/>
            <w:vAlign w:val="center"/>
          </w:tcPr>
          <w:p w14:paraId="407AEC0D" w14:textId="4FB723F3" w:rsidR="00DF5D78" w:rsidRPr="0026705F" w:rsidRDefault="00602BEC" w:rsidP="00A16D4B">
            <w:pPr>
              <w:jc w:val="center"/>
              <w:rPr>
                <w:sz w:val="18"/>
                <w:szCs w:val="18"/>
                <w:lang w:val="en-US"/>
              </w:rPr>
            </w:pPr>
            <w:r w:rsidRPr="0026705F">
              <w:rPr>
                <w:sz w:val="18"/>
                <w:szCs w:val="18"/>
                <w:lang w:val="en-US"/>
              </w:rPr>
              <w:t>FIBRO</w:t>
            </w:r>
            <w:r w:rsidR="00DF5D78" w:rsidRPr="0026705F">
              <w:rPr>
                <w:sz w:val="18"/>
                <w:szCs w:val="18"/>
                <w:lang w:val="en-US"/>
              </w:rPr>
              <w:t>#1</w:t>
            </w:r>
          </w:p>
        </w:tc>
        <w:tc>
          <w:tcPr>
            <w:tcW w:w="887" w:type="dxa"/>
            <w:noWrap/>
            <w:vAlign w:val="center"/>
          </w:tcPr>
          <w:p w14:paraId="46BE7E12" w14:textId="7BF1DA3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90</w:t>
            </w:r>
          </w:p>
        </w:tc>
        <w:tc>
          <w:tcPr>
            <w:tcW w:w="887" w:type="dxa"/>
            <w:noWrap/>
            <w:vAlign w:val="center"/>
          </w:tcPr>
          <w:p w14:paraId="14F76018" w14:textId="36FBF999"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98</w:t>
            </w:r>
          </w:p>
        </w:tc>
        <w:tc>
          <w:tcPr>
            <w:tcW w:w="887" w:type="dxa"/>
            <w:noWrap/>
            <w:vAlign w:val="center"/>
          </w:tcPr>
          <w:p w14:paraId="712E2D3E" w14:textId="1FC8B17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84</w:t>
            </w:r>
          </w:p>
        </w:tc>
        <w:tc>
          <w:tcPr>
            <w:tcW w:w="887" w:type="dxa"/>
            <w:noWrap/>
            <w:vAlign w:val="center"/>
          </w:tcPr>
          <w:p w14:paraId="138A8A07" w14:textId="0014034A"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12</w:t>
            </w:r>
          </w:p>
        </w:tc>
        <w:tc>
          <w:tcPr>
            <w:tcW w:w="887" w:type="dxa"/>
            <w:noWrap/>
            <w:vAlign w:val="center"/>
          </w:tcPr>
          <w:p w14:paraId="44DDF49A" w14:textId="28E047A2"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28</w:t>
            </w:r>
          </w:p>
        </w:tc>
        <w:tc>
          <w:tcPr>
            <w:tcW w:w="887" w:type="dxa"/>
            <w:noWrap/>
            <w:vAlign w:val="center"/>
          </w:tcPr>
          <w:p w14:paraId="11FD8B6B" w14:textId="2A1E020B"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18</w:t>
            </w:r>
          </w:p>
        </w:tc>
        <w:tc>
          <w:tcPr>
            <w:tcW w:w="948" w:type="dxa"/>
            <w:noWrap/>
            <w:vAlign w:val="center"/>
          </w:tcPr>
          <w:p w14:paraId="46DA48AF" w14:textId="3F0313DD"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72</w:t>
            </w:r>
          </w:p>
        </w:tc>
        <w:tc>
          <w:tcPr>
            <w:tcW w:w="826" w:type="dxa"/>
            <w:noWrap/>
            <w:vAlign w:val="center"/>
          </w:tcPr>
          <w:p w14:paraId="3F233FFC" w14:textId="0D0E9866"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10</w:t>
            </w:r>
          </w:p>
        </w:tc>
        <w:tc>
          <w:tcPr>
            <w:tcW w:w="887" w:type="dxa"/>
            <w:noWrap/>
            <w:vAlign w:val="center"/>
          </w:tcPr>
          <w:p w14:paraId="465A7B4A" w14:textId="03717BFC"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44</w:t>
            </w:r>
          </w:p>
        </w:tc>
      </w:tr>
      <w:tr w:rsidR="00DF5D78" w:rsidRPr="0026705F" w14:paraId="24DD2E49" w14:textId="77777777" w:rsidTr="0085089D">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1243" w:type="dxa"/>
            <w:noWrap/>
            <w:vAlign w:val="center"/>
          </w:tcPr>
          <w:p w14:paraId="51D5510A" w14:textId="08A27AFE" w:rsidR="00DF5D78" w:rsidRPr="0026705F" w:rsidRDefault="00602BEC" w:rsidP="00A16D4B">
            <w:pPr>
              <w:jc w:val="center"/>
              <w:rPr>
                <w:sz w:val="18"/>
                <w:szCs w:val="18"/>
                <w:lang w:val="en-US"/>
              </w:rPr>
            </w:pPr>
            <w:r w:rsidRPr="0026705F">
              <w:rPr>
                <w:sz w:val="18"/>
                <w:szCs w:val="18"/>
                <w:lang w:val="en-US"/>
              </w:rPr>
              <w:t>FIBRO</w:t>
            </w:r>
            <w:r w:rsidR="00DF5D78" w:rsidRPr="0026705F">
              <w:rPr>
                <w:sz w:val="18"/>
                <w:szCs w:val="18"/>
                <w:lang w:val="en-US"/>
              </w:rPr>
              <w:t>#2</w:t>
            </w:r>
          </w:p>
        </w:tc>
        <w:tc>
          <w:tcPr>
            <w:tcW w:w="887" w:type="dxa"/>
            <w:noWrap/>
            <w:vAlign w:val="center"/>
          </w:tcPr>
          <w:p w14:paraId="7F92C7BE" w14:textId="45954302"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94</w:t>
            </w:r>
          </w:p>
        </w:tc>
        <w:tc>
          <w:tcPr>
            <w:tcW w:w="887" w:type="dxa"/>
            <w:noWrap/>
            <w:vAlign w:val="center"/>
          </w:tcPr>
          <w:p w14:paraId="3D05BF6E" w14:textId="40BC281F"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98</w:t>
            </w:r>
          </w:p>
        </w:tc>
        <w:tc>
          <w:tcPr>
            <w:tcW w:w="887" w:type="dxa"/>
            <w:noWrap/>
            <w:vAlign w:val="center"/>
          </w:tcPr>
          <w:p w14:paraId="208DBF19" w14:textId="58994D1F"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83</w:t>
            </w:r>
          </w:p>
        </w:tc>
        <w:tc>
          <w:tcPr>
            <w:tcW w:w="887" w:type="dxa"/>
            <w:noWrap/>
            <w:vAlign w:val="center"/>
          </w:tcPr>
          <w:p w14:paraId="78E8D747" w14:textId="380A5696"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55</w:t>
            </w:r>
          </w:p>
        </w:tc>
        <w:tc>
          <w:tcPr>
            <w:tcW w:w="887" w:type="dxa"/>
            <w:noWrap/>
            <w:vAlign w:val="center"/>
          </w:tcPr>
          <w:p w14:paraId="1797BDA6" w14:textId="1BF2E47F"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81</w:t>
            </w:r>
          </w:p>
        </w:tc>
        <w:tc>
          <w:tcPr>
            <w:tcW w:w="887" w:type="dxa"/>
            <w:noWrap/>
            <w:vAlign w:val="center"/>
          </w:tcPr>
          <w:p w14:paraId="335350B6" w14:textId="186F8CD8"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10</w:t>
            </w:r>
          </w:p>
        </w:tc>
        <w:tc>
          <w:tcPr>
            <w:tcW w:w="948" w:type="dxa"/>
            <w:noWrap/>
            <w:vAlign w:val="center"/>
          </w:tcPr>
          <w:p w14:paraId="1E4C33EE" w14:textId="38D7A25E"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99</w:t>
            </w:r>
          </w:p>
        </w:tc>
        <w:tc>
          <w:tcPr>
            <w:tcW w:w="826" w:type="dxa"/>
            <w:noWrap/>
            <w:vAlign w:val="center"/>
          </w:tcPr>
          <w:p w14:paraId="6C70F4D2" w14:textId="0A38D8E4"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15</w:t>
            </w:r>
          </w:p>
        </w:tc>
        <w:tc>
          <w:tcPr>
            <w:tcW w:w="887" w:type="dxa"/>
            <w:noWrap/>
            <w:vAlign w:val="center"/>
          </w:tcPr>
          <w:p w14:paraId="446D0171" w14:textId="385AA3DB"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09</w:t>
            </w:r>
          </w:p>
        </w:tc>
      </w:tr>
      <w:tr w:rsidR="00DF5D78" w:rsidRPr="0026705F" w14:paraId="2AA0F6E1" w14:textId="77777777" w:rsidTr="0085089D">
        <w:trPr>
          <w:trHeight w:val="423"/>
        </w:trPr>
        <w:tc>
          <w:tcPr>
            <w:cnfStyle w:val="001000000000" w:firstRow="0" w:lastRow="0" w:firstColumn="1" w:lastColumn="0" w:oddVBand="0" w:evenVBand="0" w:oddHBand="0" w:evenHBand="0" w:firstRowFirstColumn="0" w:firstRowLastColumn="0" w:lastRowFirstColumn="0" w:lastRowLastColumn="0"/>
            <w:tcW w:w="1243" w:type="dxa"/>
            <w:noWrap/>
            <w:vAlign w:val="center"/>
          </w:tcPr>
          <w:p w14:paraId="54455F04" w14:textId="7DE8C11C" w:rsidR="00DF5D78" w:rsidRPr="0026705F" w:rsidRDefault="00602BEC" w:rsidP="00A16D4B">
            <w:pPr>
              <w:jc w:val="center"/>
              <w:rPr>
                <w:bCs w:val="0"/>
                <w:caps/>
                <w:sz w:val="18"/>
                <w:szCs w:val="18"/>
                <w:lang w:val="en-US"/>
              </w:rPr>
            </w:pPr>
            <w:r w:rsidRPr="0026705F">
              <w:rPr>
                <w:sz w:val="18"/>
                <w:szCs w:val="18"/>
                <w:lang w:val="en-US"/>
              </w:rPr>
              <w:t>FIBRO</w:t>
            </w:r>
            <w:r w:rsidR="00DF5D78" w:rsidRPr="0026705F">
              <w:rPr>
                <w:sz w:val="18"/>
                <w:szCs w:val="18"/>
                <w:lang w:val="en-US"/>
              </w:rPr>
              <w:t>#3</w:t>
            </w:r>
          </w:p>
        </w:tc>
        <w:tc>
          <w:tcPr>
            <w:tcW w:w="887" w:type="dxa"/>
            <w:noWrap/>
            <w:vAlign w:val="center"/>
          </w:tcPr>
          <w:p w14:paraId="045AF4A6" w14:textId="339D9C34"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80</w:t>
            </w:r>
          </w:p>
        </w:tc>
        <w:tc>
          <w:tcPr>
            <w:tcW w:w="887" w:type="dxa"/>
            <w:noWrap/>
            <w:vAlign w:val="center"/>
          </w:tcPr>
          <w:p w14:paraId="30682FC4" w14:textId="1EA04116"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98</w:t>
            </w:r>
            <w:r w:rsidR="0085089D" w:rsidRPr="0026705F">
              <w:rPr>
                <w:sz w:val="18"/>
                <w:szCs w:val="18"/>
                <w:lang w:val="en-US"/>
              </w:rPr>
              <w:t>.</w:t>
            </w:r>
            <w:r w:rsidRPr="0026705F">
              <w:rPr>
                <w:sz w:val="18"/>
                <w:szCs w:val="18"/>
                <w:lang w:val="en-US"/>
              </w:rPr>
              <w:t>59</w:t>
            </w:r>
          </w:p>
        </w:tc>
        <w:tc>
          <w:tcPr>
            <w:tcW w:w="887" w:type="dxa"/>
            <w:noWrap/>
            <w:vAlign w:val="center"/>
          </w:tcPr>
          <w:p w14:paraId="27FD332B" w14:textId="3C36FB34"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75</w:t>
            </w:r>
          </w:p>
        </w:tc>
        <w:tc>
          <w:tcPr>
            <w:tcW w:w="887" w:type="dxa"/>
            <w:noWrap/>
            <w:vAlign w:val="center"/>
          </w:tcPr>
          <w:p w14:paraId="37A0BE9B" w14:textId="53DBE847"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7</w:t>
            </w:r>
            <w:r w:rsidR="0085089D" w:rsidRPr="0026705F">
              <w:rPr>
                <w:sz w:val="18"/>
                <w:szCs w:val="18"/>
                <w:lang w:val="en-US"/>
              </w:rPr>
              <w:t>.</w:t>
            </w:r>
            <w:r w:rsidRPr="0026705F">
              <w:rPr>
                <w:sz w:val="18"/>
                <w:szCs w:val="18"/>
                <w:lang w:val="en-US"/>
              </w:rPr>
              <w:t>36</w:t>
            </w:r>
          </w:p>
        </w:tc>
        <w:tc>
          <w:tcPr>
            <w:tcW w:w="887" w:type="dxa"/>
            <w:noWrap/>
            <w:vAlign w:val="center"/>
          </w:tcPr>
          <w:p w14:paraId="2CBD0CD0" w14:textId="1010D6B0"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37</w:t>
            </w:r>
          </w:p>
        </w:tc>
        <w:tc>
          <w:tcPr>
            <w:tcW w:w="887" w:type="dxa"/>
            <w:noWrap/>
            <w:vAlign w:val="center"/>
          </w:tcPr>
          <w:p w14:paraId="6BA14C7F" w14:textId="614FF022"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94</w:t>
            </w:r>
          </w:p>
        </w:tc>
        <w:tc>
          <w:tcPr>
            <w:tcW w:w="948" w:type="dxa"/>
            <w:noWrap/>
            <w:vAlign w:val="center"/>
          </w:tcPr>
          <w:p w14:paraId="2600822C" w14:textId="23AE93FC"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88</w:t>
            </w:r>
          </w:p>
        </w:tc>
        <w:tc>
          <w:tcPr>
            <w:tcW w:w="826" w:type="dxa"/>
            <w:noWrap/>
            <w:vAlign w:val="center"/>
          </w:tcPr>
          <w:p w14:paraId="7C8EAA52" w14:textId="19011F6C"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09</w:t>
            </w:r>
          </w:p>
        </w:tc>
        <w:tc>
          <w:tcPr>
            <w:tcW w:w="887" w:type="dxa"/>
            <w:noWrap/>
            <w:vAlign w:val="center"/>
          </w:tcPr>
          <w:p w14:paraId="082911EA" w14:textId="0811FAAE" w:rsidR="00DF5D78" w:rsidRPr="0026705F" w:rsidRDefault="00DF5D78" w:rsidP="00A16D4B">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45</w:t>
            </w:r>
          </w:p>
        </w:tc>
      </w:tr>
      <w:tr w:rsidR="00DF5D78" w:rsidRPr="0026705F" w14:paraId="6B002A80" w14:textId="77777777" w:rsidTr="0085089D">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243" w:type="dxa"/>
            <w:shd w:val="clear" w:color="auto" w:fill="F2F2F2" w:themeFill="background1" w:themeFillShade="F2"/>
            <w:noWrap/>
            <w:vAlign w:val="center"/>
          </w:tcPr>
          <w:p w14:paraId="7C2BEA67" w14:textId="73A98251" w:rsidR="00DF5D78" w:rsidRPr="0026705F" w:rsidRDefault="00DF5D78" w:rsidP="00A16D4B">
            <w:pPr>
              <w:jc w:val="center"/>
              <w:rPr>
                <w:bCs w:val="0"/>
                <w:caps/>
                <w:sz w:val="18"/>
                <w:szCs w:val="18"/>
                <w:lang w:val="en-US"/>
              </w:rPr>
            </w:pPr>
            <w:r w:rsidRPr="0026705F">
              <w:rPr>
                <w:sz w:val="18"/>
                <w:szCs w:val="18"/>
                <w:lang w:val="en-US"/>
              </w:rPr>
              <w:t>M</w:t>
            </w:r>
            <w:r w:rsidR="00602BEC" w:rsidRPr="0026705F">
              <w:rPr>
                <w:sz w:val="18"/>
                <w:szCs w:val="18"/>
                <w:lang w:val="en-US"/>
              </w:rPr>
              <w:t>ean</w:t>
            </w:r>
            <w:r w:rsidRPr="0026705F">
              <w:rPr>
                <w:sz w:val="18"/>
                <w:szCs w:val="18"/>
                <w:lang w:val="en-US"/>
              </w:rPr>
              <w:t>*</w:t>
            </w:r>
          </w:p>
          <w:p w14:paraId="3BCC7B5D" w14:textId="77777777" w:rsidR="00DF5D78" w:rsidRPr="0026705F" w:rsidRDefault="00DF5D78" w:rsidP="00A16D4B">
            <w:pPr>
              <w:jc w:val="center"/>
              <w:rPr>
                <w:sz w:val="18"/>
                <w:szCs w:val="18"/>
                <w:lang w:val="en-US"/>
              </w:rPr>
            </w:pPr>
            <w:r w:rsidRPr="0026705F">
              <w:rPr>
                <w:sz w:val="18"/>
                <w:szCs w:val="18"/>
                <w:lang w:val="en-US"/>
              </w:rPr>
              <w:t>± SD</w:t>
            </w:r>
          </w:p>
        </w:tc>
        <w:tc>
          <w:tcPr>
            <w:tcW w:w="887" w:type="dxa"/>
            <w:shd w:val="clear" w:color="auto" w:fill="F2F2F2" w:themeFill="background1" w:themeFillShade="F2"/>
            <w:noWrap/>
            <w:vAlign w:val="center"/>
          </w:tcPr>
          <w:p w14:paraId="2EA561B3" w14:textId="7C40D633"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88</w:t>
            </w:r>
          </w:p>
          <w:p w14:paraId="19A1CB60" w14:textId="16936C61"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07</w:t>
            </w:r>
          </w:p>
        </w:tc>
        <w:tc>
          <w:tcPr>
            <w:tcW w:w="887" w:type="dxa"/>
            <w:shd w:val="clear" w:color="auto" w:fill="F2F2F2" w:themeFill="background1" w:themeFillShade="F2"/>
            <w:noWrap/>
            <w:vAlign w:val="center"/>
          </w:tcPr>
          <w:p w14:paraId="6F03CFF4" w14:textId="2B5630BB"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52</w:t>
            </w:r>
          </w:p>
          <w:p w14:paraId="004DB8AF" w14:textId="01A3B755"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80</w:t>
            </w:r>
          </w:p>
        </w:tc>
        <w:tc>
          <w:tcPr>
            <w:tcW w:w="887" w:type="dxa"/>
            <w:shd w:val="clear" w:color="auto" w:fill="F2F2F2" w:themeFill="background1" w:themeFillShade="F2"/>
            <w:noWrap/>
            <w:vAlign w:val="center"/>
          </w:tcPr>
          <w:p w14:paraId="40B2BA8F" w14:textId="224A2356"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81</w:t>
            </w:r>
          </w:p>
          <w:p w14:paraId="23ABE781" w14:textId="079E7CAC"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05</w:t>
            </w:r>
          </w:p>
        </w:tc>
        <w:tc>
          <w:tcPr>
            <w:tcW w:w="887" w:type="dxa"/>
            <w:shd w:val="clear" w:color="auto" w:fill="F2F2F2" w:themeFill="background1" w:themeFillShade="F2"/>
            <w:noWrap/>
            <w:vAlign w:val="center"/>
          </w:tcPr>
          <w:p w14:paraId="14DD02C7" w14:textId="5832FE9F"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2</w:t>
            </w:r>
            <w:r w:rsidR="0085089D" w:rsidRPr="0026705F">
              <w:rPr>
                <w:sz w:val="18"/>
                <w:szCs w:val="18"/>
                <w:lang w:val="en-US"/>
              </w:rPr>
              <w:t>.</w:t>
            </w:r>
            <w:r w:rsidRPr="0026705F">
              <w:rPr>
                <w:sz w:val="18"/>
                <w:szCs w:val="18"/>
                <w:lang w:val="en-US"/>
              </w:rPr>
              <w:t>68</w:t>
            </w:r>
          </w:p>
          <w:p w14:paraId="7DC047A2" w14:textId="3F72C4A6"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4</w:t>
            </w:r>
            <w:r w:rsidR="0085089D" w:rsidRPr="0026705F">
              <w:rPr>
                <w:sz w:val="18"/>
                <w:szCs w:val="18"/>
                <w:lang w:val="en-US"/>
              </w:rPr>
              <w:t>.</w:t>
            </w:r>
            <w:r w:rsidRPr="0026705F">
              <w:rPr>
                <w:sz w:val="18"/>
                <w:szCs w:val="18"/>
                <w:lang w:val="en-US"/>
              </w:rPr>
              <w:t>06</w:t>
            </w:r>
          </w:p>
        </w:tc>
        <w:tc>
          <w:tcPr>
            <w:tcW w:w="887" w:type="dxa"/>
            <w:shd w:val="clear" w:color="auto" w:fill="F2F2F2" w:themeFill="background1" w:themeFillShade="F2"/>
            <w:noWrap/>
            <w:vAlign w:val="center"/>
          </w:tcPr>
          <w:p w14:paraId="54890CA8" w14:textId="7A0624CC"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49</w:t>
            </w:r>
          </w:p>
          <w:p w14:paraId="28B77E25" w14:textId="24F95D12"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28</w:t>
            </w:r>
          </w:p>
        </w:tc>
        <w:tc>
          <w:tcPr>
            <w:tcW w:w="887" w:type="dxa"/>
            <w:shd w:val="clear" w:color="auto" w:fill="F2F2F2" w:themeFill="background1" w:themeFillShade="F2"/>
            <w:noWrap/>
            <w:vAlign w:val="center"/>
          </w:tcPr>
          <w:p w14:paraId="226F279C" w14:textId="7FDB1C9B"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41</w:t>
            </w:r>
          </w:p>
          <w:p w14:paraId="1D4F612B" w14:textId="6DD296B2"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46</w:t>
            </w:r>
          </w:p>
        </w:tc>
        <w:tc>
          <w:tcPr>
            <w:tcW w:w="948" w:type="dxa"/>
            <w:shd w:val="clear" w:color="auto" w:fill="F2F2F2" w:themeFill="background1" w:themeFillShade="F2"/>
            <w:noWrap/>
            <w:vAlign w:val="center"/>
          </w:tcPr>
          <w:p w14:paraId="094F6BC4" w14:textId="0E3AD721"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99</w:t>
            </w:r>
            <w:r w:rsidR="0085089D" w:rsidRPr="0026705F">
              <w:rPr>
                <w:sz w:val="18"/>
                <w:szCs w:val="18"/>
                <w:lang w:val="en-US"/>
              </w:rPr>
              <w:t>.</w:t>
            </w:r>
            <w:r w:rsidRPr="0026705F">
              <w:rPr>
                <w:sz w:val="18"/>
                <w:szCs w:val="18"/>
                <w:lang w:val="en-US"/>
              </w:rPr>
              <w:t>86</w:t>
            </w:r>
          </w:p>
          <w:p w14:paraId="46E5FA12" w14:textId="17438C44"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14</w:t>
            </w:r>
          </w:p>
        </w:tc>
        <w:tc>
          <w:tcPr>
            <w:tcW w:w="826" w:type="dxa"/>
            <w:shd w:val="clear" w:color="auto" w:fill="F2F2F2" w:themeFill="background1" w:themeFillShade="F2"/>
            <w:noWrap/>
            <w:vAlign w:val="center"/>
          </w:tcPr>
          <w:p w14:paraId="7FB76365" w14:textId="547DCE38"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78</w:t>
            </w:r>
          </w:p>
          <w:p w14:paraId="396D183F" w14:textId="05BBFFA4"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1</w:t>
            </w:r>
            <w:r w:rsidR="0085089D" w:rsidRPr="0026705F">
              <w:rPr>
                <w:sz w:val="18"/>
                <w:szCs w:val="18"/>
                <w:lang w:val="en-US"/>
              </w:rPr>
              <w:t>.</w:t>
            </w:r>
            <w:r w:rsidRPr="0026705F">
              <w:rPr>
                <w:sz w:val="18"/>
                <w:szCs w:val="18"/>
                <w:lang w:val="en-US"/>
              </w:rPr>
              <w:t>13</w:t>
            </w:r>
          </w:p>
        </w:tc>
        <w:tc>
          <w:tcPr>
            <w:tcW w:w="887" w:type="dxa"/>
            <w:shd w:val="clear" w:color="auto" w:fill="F2F2F2" w:themeFill="background1" w:themeFillShade="F2"/>
            <w:noWrap/>
            <w:vAlign w:val="center"/>
          </w:tcPr>
          <w:p w14:paraId="2947FAC9" w14:textId="5AE8EE44"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66</w:t>
            </w:r>
          </w:p>
          <w:p w14:paraId="496CB8F3" w14:textId="47C06FBD" w:rsidR="00DF5D78" w:rsidRPr="0026705F" w:rsidRDefault="00DF5D78" w:rsidP="00A16D4B">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26705F">
              <w:rPr>
                <w:sz w:val="18"/>
                <w:szCs w:val="18"/>
                <w:lang w:val="en-US"/>
              </w:rPr>
              <w:t>0</w:t>
            </w:r>
            <w:r w:rsidR="0085089D" w:rsidRPr="0026705F">
              <w:rPr>
                <w:sz w:val="18"/>
                <w:szCs w:val="18"/>
                <w:lang w:val="en-US"/>
              </w:rPr>
              <w:t>.</w:t>
            </w:r>
            <w:r w:rsidRPr="0026705F">
              <w:rPr>
                <w:sz w:val="18"/>
                <w:szCs w:val="18"/>
                <w:lang w:val="en-US"/>
              </w:rPr>
              <w:t>71</w:t>
            </w:r>
          </w:p>
        </w:tc>
      </w:tr>
      <w:bookmarkEnd w:id="0"/>
    </w:tbl>
    <w:p w14:paraId="39D8BBB0" w14:textId="77777777" w:rsidR="00CE6C3A" w:rsidRPr="0026705F" w:rsidRDefault="00CE6C3A" w:rsidP="00A253EC">
      <w:pPr>
        <w:tabs>
          <w:tab w:val="left" w:pos="2410"/>
        </w:tabs>
        <w:spacing w:line="480" w:lineRule="auto"/>
        <w:rPr>
          <w:b/>
          <w:sz w:val="22"/>
          <w:szCs w:val="22"/>
          <w:lang w:val="en-US"/>
        </w:rPr>
      </w:pPr>
    </w:p>
    <w:p w14:paraId="00000079" w14:textId="77777777" w:rsidR="007F3335" w:rsidRPr="0026705F" w:rsidRDefault="007F3335" w:rsidP="00A253EC">
      <w:pPr>
        <w:tabs>
          <w:tab w:val="left" w:pos="2410"/>
        </w:tabs>
        <w:spacing w:line="480" w:lineRule="auto"/>
        <w:rPr>
          <w:b/>
          <w:sz w:val="22"/>
          <w:szCs w:val="22"/>
          <w:lang w:val="en-US"/>
        </w:rPr>
      </w:pPr>
    </w:p>
    <w:p w14:paraId="0000007A" w14:textId="77777777" w:rsidR="007F3335" w:rsidRPr="0026705F" w:rsidRDefault="007F3335" w:rsidP="00A253EC">
      <w:pPr>
        <w:tabs>
          <w:tab w:val="left" w:pos="2410"/>
        </w:tabs>
        <w:spacing w:line="480" w:lineRule="auto"/>
        <w:rPr>
          <w:b/>
          <w:sz w:val="22"/>
          <w:szCs w:val="22"/>
          <w:lang w:val="en-US"/>
        </w:rPr>
      </w:pPr>
    </w:p>
    <w:p w14:paraId="00000086" w14:textId="67179171" w:rsidR="007F3335" w:rsidRPr="0026705F" w:rsidRDefault="007F3335" w:rsidP="00A253EC">
      <w:pPr>
        <w:tabs>
          <w:tab w:val="left" w:pos="2410"/>
        </w:tabs>
        <w:spacing w:line="480" w:lineRule="auto"/>
        <w:rPr>
          <w:b/>
          <w:sz w:val="22"/>
          <w:szCs w:val="22"/>
          <w:lang w:val="en-US"/>
        </w:rPr>
      </w:pPr>
    </w:p>
    <w:p w14:paraId="68DE9540" w14:textId="585FFFF2" w:rsidR="00A253EC" w:rsidRPr="0026705F" w:rsidRDefault="00BA3DF1" w:rsidP="00A253EC">
      <w:pPr>
        <w:spacing w:line="480" w:lineRule="auto"/>
        <w:rPr>
          <w:sz w:val="22"/>
          <w:szCs w:val="22"/>
          <w:lang w:val="en-US"/>
        </w:rPr>
      </w:pPr>
      <w:r w:rsidRPr="0026705F">
        <w:rPr>
          <w:b/>
          <w:sz w:val="22"/>
          <w:szCs w:val="22"/>
          <w:lang w:val="en-US"/>
        </w:rPr>
        <w:lastRenderedPageBreak/>
        <w:t>Supp. Table S</w:t>
      </w:r>
      <w:r w:rsidR="00A6758E" w:rsidRPr="0026705F">
        <w:rPr>
          <w:b/>
          <w:sz w:val="22"/>
          <w:szCs w:val="22"/>
          <w:lang w:val="en-US"/>
        </w:rPr>
        <w:t>4</w:t>
      </w:r>
      <w:r w:rsidRPr="0026705F">
        <w:rPr>
          <w:b/>
          <w:sz w:val="22"/>
          <w:szCs w:val="22"/>
          <w:lang w:val="en-US"/>
        </w:rPr>
        <w:t xml:space="preserve">. </w:t>
      </w:r>
      <w:r w:rsidRPr="0026705F">
        <w:rPr>
          <w:sz w:val="22"/>
          <w:szCs w:val="22"/>
          <w:lang w:val="en-US"/>
        </w:rPr>
        <w:t xml:space="preserve">Summary of quality control (QC) filtering steps within </w:t>
      </w:r>
      <w:sdt>
        <w:sdtPr>
          <w:rPr>
            <w:lang w:val="en-US"/>
          </w:rPr>
          <w:tag w:val="goog_rdk_4"/>
          <w:id w:val="876204292"/>
        </w:sdtPr>
        <w:sdtContent/>
      </w:sdt>
      <w:r w:rsidRPr="0026705F">
        <w:rPr>
          <w:sz w:val="22"/>
          <w:szCs w:val="22"/>
          <w:lang w:val="en-US"/>
        </w:rPr>
        <w:t xml:space="preserve">Seurat. </w:t>
      </w:r>
    </w:p>
    <w:p w14:paraId="0000008A" w14:textId="77777777" w:rsidR="007F3335" w:rsidRPr="0026705F" w:rsidRDefault="00BA3DF1" w:rsidP="00A253EC">
      <w:pPr>
        <w:spacing w:line="480" w:lineRule="auto"/>
        <w:rPr>
          <w:b/>
          <w:sz w:val="22"/>
          <w:szCs w:val="22"/>
          <w:lang w:val="en-US"/>
        </w:rPr>
      </w:pPr>
      <w:r w:rsidRPr="0026705F">
        <w:rPr>
          <w:b/>
          <w:sz w:val="22"/>
          <w:szCs w:val="22"/>
          <w:lang w:val="en-US"/>
        </w:rPr>
        <w:t>Individual #1</w:t>
      </w:r>
    </w:p>
    <w:p w14:paraId="0000008B" w14:textId="77777777" w:rsidR="007F3335" w:rsidRPr="0026705F" w:rsidRDefault="007F3335">
      <w:pPr>
        <w:rPr>
          <w:sz w:val="22"/>
          <w:szCs w:val="22"/>
          <w:lang w:val="en-US"/>
        </w:rPr>
      </w:pPr>
    </w:p>
    <w:tbl>
      <w:tblPr>
        <w:tblStyle w:val="a0"/>
        <w:tblW w:w="9300" w:type="dxa"/>
        <w:jc w:val="center"/>
        <w:tblInd w:w="0" w:type="dxa"/>
        <w:tblLayout w:type="fixed"/>
        <w:tblLook w:val="0400" w:firstRow="0" w:lastRow="0" w:firstColumn="0" w:lastColumn="0" w:noHBand="0" w:noVBand="1"/>
      </w:tblPr>
      <w:tblGrid>
        <w:gridCol w:w="4387"/>
        <w:gridCol w:w="1637"/>
        <w:gridCol w:w="1638"/>
        <w:gridCol w:w="1638"/>
      </w:tblGrid>
      <w:tr w:rsidR="007F3335" w:rsidRPr="0026705F" w14:paraId="4D7585C5" w14:textId="77777777">
        <w:trPr>
          <w:trHeight w:val="502"/>
          <w:jc w:val="center"/>
        </w:trPr>
        <w:tc>
          <w:tcPr>
            <w:tcW w:w="438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8C" w14:textId="77777777" w:rsidR="007F3335" w:rsidRPr="0026705F" w:rsidRDefault="007F3335">
            <w:pPr>
              <w:spacing w:line="480" w:lineRule="auto"/>
              <w:jc w:val="center"/>
              <w:rPr>
                <w:color w:val="000000"/>
                <w:sz w:val="18"/>
                <w:szCs w:val="18"/>
                <w:lang w:val="en-US"/>
              </w:rPr>
            </w:pPr>
          </w:p>
        </w:tc>
        <w:tc>
          <w:tcPr>
            <w:tcW w:w="163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8D"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SASC#1</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8E"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VASC#1</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8F"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FIBRO#1</w:t>
            </w:r>
          </w:p>
        </w:tc>
      </w:tr>
      <w:tr w:rsidR="007F3335" w:rsidRPr="0026705F" w14:paraId="3099C1CA" w14:textId="77777777">
        <w:trPr>
          <w:trHeight w:val="502"/>
          <w:jc w:val="center"/>
        </w:trPr>
        <w:tc>
          <w:tcPr>
            <w:tcW w:w="438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0"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before QC</w:t>
            </w:r>
          </w:p>
        </w:tc>
        <w:tc>
          <w:tcPr>
            <w:tcW w:w="163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1"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1875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2"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6497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3"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3711 (100%)</w:t>
            </w:r>
          </w:p>
        </w:tc>
      </w:tr>
      <w:tr w:rsidR="007F3335" w:rsidRPr="0026705F" w14:paraId="15AC3974"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4"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&gt;10% of mitochondrial RNA</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5"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271 (14.45%)</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6"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944 (14.53%)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7"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438 (11.80%)</w:t>
            </w:r>
          </w:p>
        </w:tc>
      </w:tr>
      <w:tr w:rsidR="007F3335" w:rsidRPr="0026705F" w14:paraId="0B24CD2B"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8"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&lt;1000 genes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9"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155 (8.27%)</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A"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775 (11.93%)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705 (18.99%)</w:t>
            </w:r>
          </w:p>
        </w:tc>
      </w:tr>
      <w:tr w:rsidR="007F3335" w:rsidRPr="0026705F" w14:paraId="1DDF9CAD"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C" w14:textId="6FCBD11C" w:rsidR="007F3335" w:rsidRPr="0026705F" w:rsidRDefault="00BA3DF1">
            <w:pPr>
              <w:spacing w:line="480" w:lineRule="auto"/>
              <w:jc w:val="center"/>
              <w:rPr>
                <w:color w:val="000000"/>
                <w:sz w:val="18"/>
                <w:szCs w:val="18"/>
                <w:lang w:val="en-US"/>
              </w:rPr>
            </w:pPr>
            <w:r w:rsidRPr="0026705F">
              <w:rPr>
                <w:color w:val="000000"/>
                <w:sz w:val="18"/>
                <w:szCs w:val="18"/>
                <w:lang w:val="en-US"/>
              </w:rPr>
              <w:t xml:space="preserve">Number of cells with </w:t>
            </w:r>
            <w:r w:rsidR="00BD2B12" w:rsidRPr="0026705F">
              <w:rPr>
                <w:color w:val="000000"/>
                <w:sz w:val="18"/>
                <w:szCs w:val="18"/>
                <w:lang w:val="en-US"/>
              </w:rPr>
              <w:t>&lt;</w:t>
            </w:r>
            <w:r w:rsidRPr="0026705F">
              <w:rPr>
                <w:color w:val="000000"/>
                <w:sz w:val="18"/>
                <w:szCs w:val="18"/>
                <w:lang w:val="en-US"/>
              </w:rPr>
              <w:t>2000 reads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D"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100 (5.33%)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E"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632 (9.73%)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9F"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691 (18.62%)</w:t>
            </w:r>
          </w:p>
        </w:tc>
      </w:tr>
      <w:tr w:rsidR="007F3335" w:rsidRPr="0026705F" w14:paraId="268A5937"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0"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Final number of cells after QC</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1"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1557 (83.04%)</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2"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5323 (81.93%)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3"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2759 (74.35%)</w:t>
            </w:r>
          </w:p>
        </w:tc>
      </w:tr>
      <w:tr w:rsidR="007F3335" w:rsidRPr="0026705F" w14:paraId="248D4795"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4"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Total genes detected</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5"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24 290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6"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25 221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A7"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23 434 (100%)</w:t>
            </w:r>
          </w:p>
        </w:tc>
      </w:tr>
      <w:tr w:rsidR="007F3335" w:rsidRPr="0026705F" w14:paraId="5AFFE63C" w14:textId="77777777">
        <w:trPr>
          <w:trHeight w:val="502"/>
          <w:jc w:val="center"/>
        </w:trPr>
        <w:tc>
          <w:tcPr>
            <w:tcW w:w="438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A8"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genes expressed in &gt;2 cells</w:t>
            </w:r>
          </w:p>
        </w:tc>
        <w:tc>
          <w:tcPr>
            <w:tcW w:w="163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A9"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22 026 (90.68%)</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AA"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23 083 (91.52%)</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A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21 117 (90.11%)</w:t>
            </w:r>
          </w:p>
        </w:tc>
      </w:tr>
    </w:tbl>
    <w:p w14:paraId="000000AD" w14:textId="77777777" w:rsidR="007F3335" w:rsidRPr="0026705F" w:rsidRDefault="007F3335" w:rsidP="00A253EC">
      <w:pPr>
        <w:spacing w:line="480" w:lineRule="auto"/>
        <w:rPr>
          <w:b/>
          <w:sz w:val="22"/>
          <w:szCs w:val="22"/>
          <w:lang w:val="en-US"/>
        </w:rPr>
      </w:pPr>
    </w:p>
    <w:p w14:paraId="000000AE" w14:textId="77777777" w:rsidR="007F3335" w:rsidRPr="0026705F" w:rsidRDefault="00BA3DF1" w:rsidP="00A253EC">
      <w:pPr>
        <w:spacing w:line="480" w:lineRule="auto"/>
        <w:rPr>
          <w:b/>
          <w:sz w:val="22"/>
          <w:szCs w:val="22"/>
          <w:lang w:val="en-US"/>
        </w:rPr>
      </w:pPr>
      <w:r w:rsidRPr="0026705F">
        <w:rPr>
          <w:b/>
          <w:sz w:val="22"/>
          <w:szCs w:val="22"/>
          <w:lang w:val="en-US"/>
        </w:rPr>
        <w:t>Individual #2</w:t>
      </w:r>
    </w:p>
    <w:p w14:paraId="000000AF" w14:textId="77777777" w:rsidR="007F3335" w:rsidRPr="0026705F" w:rsidRDefault="007F3335">
      <w:pPr>
        <w:rPr>
          <w:sz w:val="22"/>
          <w:szCs w:val="22"/>
          <w:lang w:val="en-US"/>
        </w:rPr>
      </w:pPr>
    </w:p>
    <w:tbl>
      <w:tblPr>
        <w:tblStyle w:val="a1"/>
        <w:tblW w:w="9300" w:type="dxa"/>
        <w:jc w:val="center"/>
        <w:tblInd w:w="0" w:type="dxa"/>
        <w:tblLayout w:type="fixed"/>
        <w:tblLook w:val="0400" w:firstRow="0" w:lastRow="0" w:firstColumn="0" w:lastColumn="0" w:noHBand="0" w:noVBand="1"/>
      </w:tblPr>
      <w:tblGrid>
        <w:gridCol w:w="4387"/>
        <w:gridCol w:w="1637"/>
        <w:gridCol w:w="1638"/>
        <w:gridCol w:w="1638"/>
      </w:tblGrid>
      <w:tr w:rsidR="007F3335" w:rsidRPr="0026705F" w14:paraId="26307419" w14:textId="77777777">
        <w:trPr>
          <w:trHeight w:val="502"/>
          <w:jc w:val="center"/>
        </w:trPr>
        <w:tc>
          <w:tcPr>
            <w:tcW w:w="438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B0" w14:textId="77777777" w:rsidR="007F3335" w:rsidRPr="0026705F" w:rsidRDefault="007F3335">
            <w:pPr>
              <w:spacing w:line="480" w:lineRule="auto"/>
              <w:jc w:val="center"/>
              <w:rPr>
                <w:color w:val="000000"/>
                <w:sz w:val="18"/>
                <w:szCs w:val="18"/>
                <w:lang w:val="en-US"/>
              </w:rPr>
            </w:pPr>
          </w:p>
        </w:tc>
        <w:tc>
          <w:tcPr>
            <w:tcW w:w="163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B1"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SASC#2</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B2"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VASC#2</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B3"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FIBRO#2</w:t>
            </w:r>
          </w:p>
        </w:tc>
      </w:tr>
      <w:tr w:rsidR="007F3335" w:rsidRPr="0026705F" w14:paraId="2BE2B6EE" w14:textId="77777777">
        <w:trPr>
          <w:trHeight w:val="502"/>
          <w:jc w:val="center"/>
        </w:trPr>
        <w:tc>
          <w:tcPr>
            <w:tcW w:w="438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4"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before QC</w:t>
            </w:r>
          </w:p>
        </w:tc>
        <w:tc>
          <w:tcPr>
            <w:tcW w:w="163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5"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4072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6"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4369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7"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5279 (100%)</w:t>
            </w:r>
          </w:p>
        </w:tc>
      </w:tr>
      <w:tr w:rsidR="007F3335" w:rsidRPr="0026705F" w14:paraId="339085C1"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8"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&gt;10% of mitochondrial RNA</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9"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1144 (28.09%)</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A"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1197 (27.40%)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1919 (36.35%)</w:t>
            </w:r>
          </w:p>
        </w:tc>
      </w:tr>
      <w:tr w:rsidR="007F3335" w:rsidRPr="0026705F" w14:paraId="4A6806EB"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C"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&lt;1000 genes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D"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721 (17.71%)</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E"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932 (21.33%)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BF"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646 (12.24%)</w:t>
            </w:r>
          </w:p>
        </w:tc>
      </w:tr>
      <w:tr w:rsidR="007F3335" w:rsidRPr="0026705F" w14:paraId="13DE3BFE"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0" w14:textId="7743A705" w:rsidR="007F3335" w:rsidRPr="0026705F" w:rsidRDefault="00BA3DF1">
            <w:pPr>
              <w:spacing w:line="480" w:lineRule="auto"/>
              <w:jc w:val="center"/>
              <w:rPr>
                <w:color w:val="000000"/>
                <w:sz w:val="18"/>
                <w:szCs w:val="18"/>
                <w:lang w:val="en-US"/>
              </w:rPr>
            </w:pPr>
            <w:r w:rsidRPr="0026705F">
              <w:rPr>
                <w:color w:val="000000"/>
                <w:sz w:val="18"/>
                <w:szCs w:val="18"/>
                <w:lang w:val="en-US"/>
              </w:rPr>
              <w:t xml:space="preserve">Number of cells with </w:t>
            </w:r>
            <w:r w:rsidR="00BD2B12" w:rsidRPr="0026705F">
              <w:rPr>
                <w:color w:val="000000"/>
                <w:sz w:val="18"/>
                <w:szCs w:val="18"/>
                <w:lang w:val="en-US"/>
              </w:rPr>
              <w:t>&lt;</w:t>
            </w:r>
            <w:r w:rsidRPr="0026705F">
              <w:rPr>
                <w:color w:val="000000"/>
                <w:sz w:val="18"/>
                <w:szCs w:val="18"/>
                <w:lang w:val="en-US"/>
              </w:rPr>
              <w:t>2000 reads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1"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664 (16.31%)</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2"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863 (19.75%)</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3"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526 (9.96%)</w:t>
            </w:r>
          </w:p>
        </w:tc>
      </w:tr>
      <w:tr w:rsidR="007F3335" w:rsidRPr="0026705F" w14:paraId="4FB031D9"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4"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Final number of cells after QC</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5"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2527 (62.06%)</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6"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2667 (61.04%)</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7"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3098 (58.69%)</w:t>
            </w:r>
          </w:p>
        </w:tc>
      </w:tr>
      <w:tr w:rsidR="007F3335" w:rsidRPr="0026705F" w14:paraId="357542FA"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8"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Total genes detected</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9"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24 361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A"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24 973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C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24 432 (100%)</w:t>
            </w:r>
          </w:p>
        </w:tc>
      </w:tr>
      <w:tr w:rsidR="007F3335" w:rsidRPr="0026705F" w14:paraId="6E972EEF" w14:textId="77777777">
        <w:trPr>
          <w:trHeight w:val="502"/>
          <w:jc w:val="center"/>
        </w:trPr>
        <w:tc>
          <w:tcPr>
            <w:tcW w:w="438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CC"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genes expressed in &gt;2 cells</w:t>
            </w:r>
          </w:p>
        </w:tc>
        <w:tc>
          <w:tcPr>
            <w:tcW w:w="163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CD"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22 031 (90.44%)</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CE"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22 606 (90.52%)</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CF"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22 108 (90.49%)</w:t>
            </w:r>
          </w:p>
        </w:tc>
      </w:tr>
    </w:tbl>
    <w:p w14:paraId="000000D0" w14:textId="77777777" w:rsidR="007F3335" w:rsidRPr="0026705F" w:rsidRDefault="007F3335">
      <w:pPr>
        <w:rPr>
          <w:sz w:val="22"/>
          <w:szCs w:val="22"/>
          <w:lang w:val="en-US"/>
        </w:rPr>
      </w:pPr>
    </w:p>
    <w:p w14:paraId="000000D1" w14:textId="77777777" w:rsidR="007F3335" w:rsidRPr="0026705F" w:rsidRDefault="00BA3DF1" w:rsidP="00A253EC">
      <w:pPr>
        <w:spacing w:line="480" w:lineRule="auto"/>
        <w:rPr>
          <w:b/>
          <w:sz w:val="22"/>
          <w:szCs w:val="22"/>
          <w:lang w:val="en-US"/>
        </w:rPr>
      </w:pPr>
      <w:r w:rsidRPr="0026705F">
        <w:rPr>
          <w:lang w:val="en-US"/>
        </w:rPr>
        <w:br w:type="page"/>
      </w:r>
      <w:r w:rsidRPr="0026705F">
        <w:rPr>
          <w:b/>
          <w:sz w:val="22"/>
          <w:szCs w:val="22"/>
          <w:lang w:val="en-US"/>
        </w:rPr>
        <w:lastRenderedPageBreak/>
        <w:t>Individual #3</w:t>
      </w:r>
    </w:p>
    <w:p w14:paraId="000000D2" w14:textId="77777777" w:rsidR="007F3335" w:rsidRPr="0026705F" w:rsidRDefault="007F3335">
      <w:pPr>
        <w:rPr>
          <w:sz w:val="22"/>
          <w:szCs w:val="22"/>
          <w:lang w:val="en-US"/>
        </w:rPr>
      </w:pPr>
    </w:p>
    <w:tbl>
      <w:tblPr>
        <w:tblStyle w:val="a2"/>
        <w:tblW w:w="9300" w:type="dxa"/>
        <w:jc w:val="center"/>
        <w:tblInd w:w="0" w:type="dxa"/>
        <w:tblLayout w:type="fixed"/>
        <w:tblLook w:val="0400" w:firstRow="0" w:lastRow="0" w:firstColumn="0" w:lastColumn="0" w:noHBand="0" w:noVBand="1"/>
      </w:tblPr>
      <w:tblGrid>
        <w:gridCol w:w="4387"/>
        <w:gridCol w:w="1637"/>
        <w:gridCol w:w="1638"/>
        <w:gridCol w:w="1638"/>
      </w:tblGrid>
      <w:tr w:rsidR="007F3335" w:rsidRPr="0026705F" w14:paraId="38F076EB" w14:textId="77777777">
        <w:trPr>
          <w:trHeight w:val="502"/>
          <w:jc w:val="center"/>
        </w:trPr>
        <w:tc>
          <w:tcPr>
            <w:tcW w:w="438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D3" w14:textId="77777777" w:rsidR="007F3335" w:rsidRPr="0026705F" w:rsidRDefault="007F3335">
            <w:pPr>
              <w:spacing w:line="480" w:lineRule="auto"/>
              <w:jc w:val="center"/>
              <w:rPr>
                <w:color w:val="000000"/>
                <w:sz w:val="18"/>
                <w:szCs w:val="18"/>
                <w:lang w:val="en-US"/>
              </w:rPr>
            </w:pPr>
          </w:p>
        </w:tc>
        <w:tc>
          <w:tcPr>
            <w:tcW w:w="163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D4"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SASC#3</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D5"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VASC#3</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D6"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FIBRO#3</w:t>
            </w:r>
          </w:p>
        </w:tc>
      </w:tr>
      <w:tr w:rsidR="007F3335" w:rsidRPr="0026705F" w14:paraId="7C0EE504" w14:textId="77777777">
        <w:trPr>
          <w:trHeight w:val="502"/>
          <w:jc w:val="center"/>
        </w:trPr>
        <w:tc>
          <w:tcPr>
            <w:tcW w:w="438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7"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before QC</w:t>
            </w:r>
          </w:p>
        </w:tc>
        <w:tc>
          <w:tcPr>
            <w:tcW w:w="163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8"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3004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9"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3935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A"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2162 (100%)</w:t>
            </w:r>
          </w:p>
        </w:tc>
      </w:tr>
      <w:tr w:rsidR="007F3335" w:rsidRPr="0026705F" w14:paraId="6274CDE0"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&gt;10% of mitochondrial RNA</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C"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181 (6.03%)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D"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1002 (25.46%)</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E"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285 (13.18%)</w:t>
            </w:r>
          </w:p>
        </w:tc>
      </w:tr>
      <w:tr w:rsidR="007F3335" w:rsidRPr="0026705F" w14:paraId="360AFB4B"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DF"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&lt;1000 genes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0"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133 (4.43%)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1"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1659 (42.16%)</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2"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312 (14.43%)</w:t>
            </w:r>
          </w:p>
        </w:tc>
      </w:tr>
      <w:tr w:rsidR="007F3335" w:rsidRPr="0026705F" w14:paraId="5E573BD2"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3" w14:textId="298AE9D7" w:rsidR="007F3335" w:rsidRPr="0026705F" w:rsidRDefault="00BA3DF1">
            <w:pPr>
              <w:spacing w:line="480" w:lineRule="auto"/>
              <w:jc w:val="center"/>
              <w:rPr>
                <w:color w:val="000000"/>
                <w:sz w:val="18"/>
                <w:szCs w:val="18"/>
                <w:lang w:val="en-US"/>
              </w:rPr>
            </w:pPr>
            <w:r w:rsidRPr="0026705F">
              <w:rPr>
                <w:color w:val="000000"/>
                <w:sz w:val="18"/>
                <w:szCs w:val="18"/>
                <w:lang w:val="en-US"/>
              </w:rPr>
              <w:t xml:space="preserve">Number of cells with </w:t>
            </w:r>
            <w:r w:rsidR="00BD2B12" w:rsidRPr="0026705F">
              <w:rPr>
                <w:color w:val="000000"/>
                <w:sz w:val="18"/>
                <w:szCs w:val="18"/>
                <w:lang w:val="en-US"/>
              </w:rPr>
              <w:t>&lt;</w:t>
            </w:r>
            <w:r w:rsidRPr="0026705F">
              <w:rPr>
                <w:color w:val="000000"/>
                <w:sz w:val="18"/>
                <w:szCs w:val="18"/>
                <w:lang w:val="en-US"/>
              </w:rPr>
              <w:t>2000 reads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4"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113 (3.76%)</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5"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1574 (40.00%)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6"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285 (13.18%)</w:t>
            </w:r>
          </w:p>
        </w:tc>
      </w:tr>
      <w:tr w:rsidR="007F3335" w:rsidRPr="0026705F" w14:paraId="539EBD61"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7"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Final number of cells after QC</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8"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2766 (92.08%)</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9"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1897 (48.21%)</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A"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1653 (76.46%)</w:t>
            </w:r>
          </w:p>
        </w:tc>
      </w:tr>
      <w:tr w:rsidR="007F3335" w:rsidRPr="0026705F" w14:paraId="0BD42721"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Total genes detected</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C"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24 838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D"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23 963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EE"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23 255 (100%)</w:t>
            </w:r>
          </w:p>
        </w:tc>
      </w:tr>
      <w:tr w:rsidR="007F3335" w:rsidRPr="0026705F" w14:paraId="64EDDE40" w14:textId="77777777">
        <w:trPr>
          <w:trHeight w:val="502"/>
          <w:jc w:val="center"/>
        </w:trPr>
        <w:tc>
          <w:tcPr>
            <w:tcW w:w="438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EF"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genes expressed in &gt;2 cells</w:t>
            </w:r>
          </w:p>
        </w:tc>
        <w:tc>
          <w:tcPr>
            <w:tcW w:w="163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F0"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22 537 (90.74%)</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F1"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21 534 (89.86%)</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F2"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20 931 (90.01%)</w:t>
            </w:r>
          </w:p>
        </w:tc>
      </w:tr>
    </w:tbl>
    <w:p w14:paraId="000000F4" w14:textId="77777777" w:rsidR="007F3335" w:rsidRPr="0026705F" w:rsidRDefault="007F3335" w:rsidP="00A253EC">
      <w:pPr>
        <w:spacing w:line="480" w:lineRule="auto"/>
        <w:rPr>
          <w:b/>
          <w:sz w:val="22"/>
          <w:szCs w:val="22"/>
          <w:lang w:val="en-US"/>
        </w:rPr>
      </w:pPr>
    </w:p>
    <w:p w14:paraId="000000F5" w14:textId="77777777" w:rsidR="007F3335" w:rsidRPr="0026705F" w:rsidRDefault="00BA3DF1" w:rsidP="00A253EC">
      <w:pPr>
        <w:spacing w:line="480" w:lineRule="auto"/>
        <w:rPr>
          <w:b/>
          <w:sz w:val="22"/>
          <w:szCs w:val="22"/>
          <w:lang w:val="en-US"/>
        </w:rPr>
      </w:pPr>
      <w:r w:rsidRPr="0026705F">
        <w:rPr>
          <w:b/>
          <w:sz w:val="22"/>
          <w:szCs w:val="22"/>
          <w:lang w:val="en-US"/>
        </w:rPr>
        <w:t>Individual #4</w:t>
      </w:r>
    </w:p>
    <w:p w14:paraId="000000F6" w14:textId="77777777" w:rsidR="007F3335" w:rsidRPr="0026705F" w:rsidRDefault="007F3335" w:rsidP="00A253EC">
      <w:pPr>
        <w:spacing w:line="480" w:lineRule="auto"/>
        <w:rPr>
          <w:sz w:val="22"/>
          <w:szCs w:val="22"/>
          <w:lang w:val="en-US"/>
        </w:rPr>
      </w:pPr>
    </w:p>
    <w:tbl>
      <w:tblPr>
        <w:tblStyle w:val="a3"/>
        <w:tblW w:w="9300" w:type="dxa"/>
        <w:jc w:val="center"/>
        <w:tblInd w:w="0" w:type="dxa"/>
        <w:tblLayout w:type="fixed"/>
        <w:tblLook w:val="0400" w:firstRow="0" w:lastRow="0" w:firstColumn="0" w:lastColumn="0" w:noHBand="0" w:noVBand="1"/>
      </w:tblPr>
      <w:tblGrid>
        <w:gridCol w:w="4387"/>
        <w:gridCol w:w="1637"/>
        <w:gridCol w:w="1638"/>
        <w:gridCol w:w="1638"/>
      </w:tblGrid>
      <w:tr w:rsidR="007F3335" w:rsidRPr="0026705F" w14:paraId="14741F1C" w14:textId="77777777">
        <w:trPr>
          <w:trHeight w:val="502"/>
          <w:jc w:val="center"/>
        </w:trPr>
        <w:tc>
          <w:tcPr>
            <w:tcW w:w="438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F7" w14:textId="77777777" w:rsidR="007F3335" w:rsidRPr="0026705F" w:rsidRDefault="007F3335">
            <w:pPr>
              <w:spacing w:line="480" w:lineRule="auto"/>
              <w:jc w:val="center"/>
              <w:rPr>
                <w:color w:val="000000"/>
                <w:sz w:val="18"/>
                <w:szCs w:val="18"/>
                <w:lang w:val="en-US"/>
              </w:rPr>
            </w:pPr>
          </w:p>
        </w:tc>
        <w:tc>
          <w:tcPr>
            <w:tcW w:w="1637"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F8"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SASC#4</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F9"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VASC#4</w:t>
            </w:r>
          </w:p>
        </w:tc>
        <w:tc>
          <w:tcPr>
            <w:tcW w:w="1638" w:type="dxa"/>
            <w:tcBorders>
              <w:top w:val="single" w:sz="12"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0FA" w14:textId="77777777" w:rsidR="007F3335" w:rsidRPr="0026705F" w:rsidRDefault="00BA3DF1">
            <w:pPr>
              <w:spacing w:line="480" w:lineRule="auto"/>
              <w:jc w:val="center"/>
              <w:rPr>
                <w:color w:val="000000"/>
                <w:sz w:val="18"/>
                <w:szCs w:val="18"/>
                <w:lang w:val="en-US"/>
              </w:rPr>
            </w:pPr>
            <w:r w:rsidRPr="0026705F">
              <w:rPr>
                <w:b/>
                <w:color w:val="000000"/>
                <w:sz w:val="18"/>
                <w:szCs w:val="18"/>
                <w:lang w:val="en-US"/>
              </w:rPr>
              <w:t>FIBRO#4</w:t>
            </w:r>
          </w:p>
        </w:tc>
      </w:tr>
      <w:tr w:rsidR="007F3335" w:rsidRPr="0026705F" w14:paraId="45DA3130" w14:textId="77777777">
        <w:trPr>
          <w:trHeight w:val="502"/>
          <w:jc w:val="center"/>
        </w:trPr>
        <w:tc>
          <w:tcPr>
            <w:tcW w:w="438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F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before QC</w:t>
            </w:r>
          </w:p>
        </w:tc>
        <w:tc>
          <w:tcPr>
            <w:tcW w:w="1637"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FC"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2434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FD"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1801 (100%)</w:t>
            </w:r>
          </w:p>
        </w:tc>
        <w:tc>
          <w:tcPr>
            <w:tcW w:w="1638" w:type="dxa"/>
            <w:tcBorders>
              <w:top w:val="single" w:sz="12"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FE"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NA</w:t>
            </w:r>
          </w:p>
        </w:tc>
      </w:tr>
      <w:tr w:rsidR="007F3335" w:rsidRPr="0026705F" w14:paraId="5E9DEB3B"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0FF"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&gt;10% of mitochondrial RNA</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0"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324 (13.31%)</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1"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332 (18.43%)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tcPr>
          <w:p w14:paraId="00000102"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NA</w:t>
            </w:r>
          </w:p>
        </w:tc>
      </w:tr>
      <w:tr w:rsidR="007F3335" w:rsidRPr="0026705F" w14:paraId="6B562CBE"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3"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cells with &lt;1000 genes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4"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383 (15.74%)</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5"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246 (13.66%)</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tcPr>
          <w:p w14:paraId="00000106"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NA</w:t>
            </w:r>
          </w:p>
        </w:tc>
      </w:tr>
      <w:tr w:rsidR="007F3335" w:rsidRPr="0026705F" w14:paraId="63FF6DF5"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7" w14:textId="2BCACF01" w:rsidR="007F3335" w:rsidRPr="0026705F" w:rsidRDefault="00BA3DF1">
            <w:pPr>
              <w:spacing w:line="480" w:lineRule="auto"/>
              <w:jc w:val="center"/>
              <w:rPr>
                <w:color w:val="000000"/>
                <w:sz w:val="18"/>
                <w:szCs w:val="18"/>
                <w:lang w:val="en-US"/>
              </w:rPr>
            </w:pPr>
            <w:r w:rsidRPr="0026705F">
              <w:rPr>
                <w:color w:val="000000"/>
                <w:sz w:val="18"/>
                <w:szCs w:val="18"/>
                <w:lang w:val="en-US"/>
              </w:rPr>
              <w:t xml:space="preserve">Number of cells with </w:t>
            </w:r>
            <w:r w:rsidR="00BD2B12" w:rsidRPr="0026705F">
              <w:rPr>
                <w:color w:val="000000"/>
                <w:sz w:val="18"/>
                <w:szCs w:val="18"/>
                <w:lang w:val="en-US"/>
              </w:rPr>
              <w:t>&lt;</w:t>
            </w:r>
            <w:r w:rsidRPr="0026705F">
              <w:rPr>
                <w:color w:val="000000"/>
                <w:sz w:val="18"/>
                <w:szCs w:val="18"/>
                <w:lang w:val="en-US"/>
              </w:rPr>
              <w:t>2000 reads</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8"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337 (13.85%)</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9"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199 (11.05%)</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tcPr>
          <w:p w14:paraId="0000010A"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NA</w:t>
            </w:r>
          </w:p>
        </w:tc>
      </w:tr>
      <w:tr w:rsidR="007F3335" w:rsidRPr="0026705F" w14:paraId="592A306F"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B"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Final number of cells after QC</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C"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1890 (77.65%)</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D"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1400 (77.73%)</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tcPr>
          <w:p w14:paraId="0000010E"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NA</w:t>
            </w:r>
          </w:p>
        </w:tc>
      </w:tr>
      <w:tr w:rsidR="007F3335" w:rsidRPr="0026705F" w14:paraId="429109C3" w14:textId="77777777">
        <w:trPr>
          <w:trHeight w:val="502"/>
          <w:jc w:val="center"/>
        </w:trPr>
        <w:tc>
          <w:tcPr>
            <w:tcW w:w="438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0F"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Total genes detected</w:t>
            </w:r>
          </w:p>
        </w:tc>
        <w:tc>
          <w:tcPr>
            <w:tcW w:w="1637"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10"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24 793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vAlign w:val="center"/>
          </w:tcPr>
          <w:p w14:paraId="00000111"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25 261 (100%)</w:t>
            </w:r>
          </w:p>
        </w:tc>
        <w:tc>
          <w:tcPr>
            <w:tcW w:w="1638" w:type="dxa"/>
            <w:tcBorders>
              <w:top w:val="dotted" w:sz="8" w:space="0" w:color="000000"/>
              <w:left w:val="single" w:sz="6" w:space="0" w:color="FFFFFF"/>
              <w:bottom w:val="dotted" w:sz="8" w:space="0" w:color="000000"/>
              <w:right w:val="single" w:sz="6" w:space="0" w:color="FFFFFF"/>
            </w:tcBorders>
            <w:shd w:val="clear" w:color="auto" w:fill="auto"/>
            <w:tcMar>
              <w:top w:w="15" w:type="dxa"/>
              <w:left w:w="108" w:type="dxa"/>
              <w:bottom w:w="0" w:type="dxa"/>
              <w:right w:w="108" w:type="dxa"/>
            </w:tcMar>
          </w:tcPr>
          <w:p w14:paraId="00000112"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NA</w:t>
            </w:r>
          </w:p>
        </w:tc>
      </w:tr>
      <w:tr w:rsidR="007F3335" w:rsidRPr="0026705F" w14:paraId="513045D8" w14:textId="77777777">
        <w:trPr>
          <w:trHeight w:val="502"/>
          <w:jc w:val="center"/>
        </w:trPr>
        <w:tc>
          <w:tcPr>
            <w:tcW w:w="438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113"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Number of genes expressed in &gt;2 cells</w:t>
            </w:r>
          </w:p>
        </w:tc>
        <w:tc>
          <w:tcPr>
            <w:tcW w:w="1637"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114"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22 552 (90.96%)</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vAlign w:val="center"/>
          </w:tcPr>
          <w:p w14:paraId="00000115"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22 970 (90.93%)</w:t>
            </w:r>
          </w:p>
        </w:tc>
        <w:tc>
          <w:tcPr>
            <w:tcW w:w="1638" w:type="dxa"/>
            <w:tcBorders>
              <w:top w:val="dotted" w:sz="8" w:space="0" w:color="000000"/>
              <w:left w:val="single" w:sz="6" w:space="0" w:color="FFFFFF"/>
              <w:bottom w:val="single" w:sz="12" w:space="0" w:color="000000"/>
              <w:right w:val="single" w:sz="6" w:space="0" w:color="FFFFFF"/>
            </w:tcBorders>
            <w:shd w:val="clear" w:color="auto" w:fill="FFFFFF"/>
            <w:tcMar>
              <w:top w:w="15" w:type="dxa"/>
              <w:left w:w="108" w:type="dxa"/>
              <w:bottom w:w="0" w:type="dxa"/>
              <w:right w:w="108" w:type="dxa"/>
            </w:tcMar>
          </w:tcPr>
          <w:p w14:paraId="00000116" w14:textId="77777777" w:rsidR="007F3335" w:rsidRPr="0026705F" w:rsidRDefault="00BA3DF1">
            <w:pPr>
              <w:spacing w:line="480" w:lineRule="auto"/>
              <w:jc w:val="center"/>
              <w:rPr>
                <w:color w:val="000000"/>
                <w:sz w:val="18"/>
                <w:szCs w:val="18"/>
                <w:lang w:val="en-US"/>
              </w:rPr>
            </w:pPr>
            <w:r w:rsidRPr="0026705F">
              <w:rPr>
                <w:color w:val="000000"/>
                <w:sz w:val="18"/>
                <w:szCs w:val="18"/>
                <w:lang w:val="en-US"/>
              </w:rPr>
              <w:t>NA</w:t>
            </w:r>
          </w:p>
        </w:tc>
      </w:tr>
    </w:tbl>
    <w:p w14:paraId="00000117" w14:textId="77777777" w:rsidR="007F3335" w:rsidRPr="0026705F" w:rsidRDefault="007F3335" w:rsidP="00A253EC">
      <w:pPr>
        <w:spacing w:line="480" w:lineRule="auto"/>
        <w:rPr>
          <w:sz w:val="22"/>
          <w:szCs w:val="22"/>
          <w:lang w:val="en-US"/>
        </w:rPr>
      </w:pPr>
    </w:p>
    <w:p w14:paraId="69DFBB32" w14:textId="77777777" w:rsidR="00A6758E" w:rsidRPr="0026705F" w:rsidRDefault="00A6758E" w:rsidP="00A253EC">
      <w:pPr>
        <w:spacing w:line="480" w:lineRule="auto"/>
        <w:rPr>
          <w:b/>
          <w:bCs/>
          <w:sz w:val="22"/>
          <w:szCs w:val="22"/>
          <w:lang w:val="en-US"/>
        </w:rPr>
      </w:pPr>
    </w:p>
    <w:p w14:paraId="1C2BE2D6" w14:textId="5ABC2687" w:rsidR="007F3335" w:rsidRPr="0026705F" w:rsidRDefault="00526778">
      <w:pPr>
        <w:rPr>
          <w:sz w:val="22"/>
          <w:szCs w:val="22"/>
          <w:lang w:val="en-US"/>
        </w:rPr>
      </w:pPr>
      <w:r w:rsidRPr="0026705F">
        <w:rPr>
          <w:sz w:val="22"/>
          <w:szCs w:val="22"/>
          <w:lang w:val="en-US"/>
        </w:rPr>
        <w:br w:type="page"/>
      </w:r>
    </w:p>
    <w:p w14:paraId="75682736" w14:textId="3218FEEC" w:rsidR="00146762" w:rsidRPr="0026705F" w:rsidRDefault="00146762" w:rsidP="003D7094">
      <w:pPr>
        <w:spacing w:line="480" w:lineRule="auto"/>
        <w:jc w:val="both"/>
        <w:rPr>
          <w:bCs/>
          <w:sz w:val="22"/>
          <w:szCs w:val="22"/>
          <w:lang w:val="en-US"/>
        </w:rPr>
      </w:pPr>
      <w:r w:rsidRPr="0026705F">
        <w:rPr>
          <w:b/>
          <w:sz w:val="22"/>
          <w:szCs w:val="22"/>
          <w:lang w:val="en-US"/>
        </w:rPr>
        <w:lastRenderedPageBreak/>
        <w:t xml:space="preserve">Supp. Table S5. </w:t>
      </w:r>
      <w:r w:rsidRPr="0026705F">
        <w:rPr>
          <w:bCs/>
          <w:sz w:val="22"/>
          <w:szCs w:val="22"/>
          <w:lang w:val="en-US"/>
        </w:rPr>
        <w:t xml:space="preserve">List of differentially expressed genes (DEGs) between SASC and VASC. </w:t>
      </w:r>
    </w:p>
    <w:p w14:paraId="78A72C12" w14:textId="3952CD3A" w:rsidR="0089042D" w:rsidRPr="0026705F" w:rsidRDefault="0089042D" w:rsidP="003D7094">
      <w:pPr>
        <w:spacing w:line="480" w:lineRule="auto"/>
        <w:jc w:val="both"/>
        <w:rPr>
          <w:bCs/>
          <w:sz w:val="22"/>
          <w:szCs w:val="22"/>
          <w:lang w:val="en-US"/>
        </w:rPr>
      </w:pPr>
      <w:r w:rsidRPr="0026705F">
        <w:rPr>
          <w:b/>
          <w:sz w:val="22"/>
          <w:szCs w:val="22"/>
          <w:lang w:val="en-US"/>
        </w:rPr>
        <w:t>Note:</w:t>
      </w:r>
      <w:r w:rsidRPr="0026705F">
        <w:rPr>
          <w:bCs/>
          <w:sz w:val="22"/>
          <w:szCs w:val="22"/>
          <w:lang w:val="en-US"/>
        </w:rPr>
        <w:t xml:space="preserve"> Supp. Table S5 is provided as a separate Excel file.</w:t>
      </w:r>
    </w:p>
    <w:p w14:paraId="0BA09F7A" w14:textId="11277035" w:rsidR="00146762" w:rsidRPr="0026705F" w:rsidRDefault="00146762" w:rsidP="003D7094">
      <w:pPr>
        <w:spacing w:line="480" w:lineRule="auto"/>
        <w:jc w:val="both"/>
        <w:rPr>
          <w:bCs/>
          <w:sz w:val="22"/>
          <w:szCs w:val="22"/>
          <w:lang w:val="en-US"/>
        </w:rPr>
      </w:pPr>
      <w:r w:rsidRPr="0026705F">
        <w:rPr>
          <w:bCs/>
          <w:sz w:val="22"/>
          <w:szCs w:val="22"/>
          <w:lang w:val="en-US"/>
        </w:rPr>
        <w:t xml:space="preserve">Five genes demonstrating at least 1-fold difference in their geometrical mean expression - </w:t>
      </w:r>
      <w:r w:rsidRPr="0026705F">
        <w:rPr>
          <w:bCs/>
          <w:i/>
          <w:iCs/>
          <w:sz w:val="22"/>
          <w:szCs w:val="22"/>
          <w:lang w:val="en-US"/>
        </w:rPr>
        <w:t xml:space="preserve">SERPINE2 </w:t>
      </w:r>
      <w:r w:rsidRPr="0026705F">
        <w:rPr>
          <w:bCs/>
          <w:sz w:val="22"/>
          <w:szCs w:val="22"/>
          <w:lang w:val="en-US"/>
        </w:rPr>
        <w:t xml:space="preserve">(serpin family E member 2) and </w:t>
      </w:r>
      <w:r w:rsidRPr="0026705F">
        <w:rPr>
          <w:bCs/>
          <w:i/>
          <w:iCs/>
          <w:sz w:val="22"/>
          <w:szCs w:val="22"/>
          <w:lang w:val="en-US"/>
        </w:rPr>
        <w:t>KRT18</w:t>
      </w:r>
      <w:r w:rsidRPr="0026705F">
        <w:rPr>
          <w:bCs/>
          <w:sz w:val="22"/>
          <w:szCs w:val="22"/>
          <w:lang w:val="en-US"/>
        </w:rPr>
        <w:t xml:space="preserve"> (keratin 18), which were upregulated, and </w:t>
      </w:r>
      <w:r w:rsidRPr="0026705F">
        <w:rPr>
          <w:bCs/>
          <w:i/>
          <w:iCs/>
          <w:sz w:val="22"/>
          <w:szCs w:val="22"/>
          <w:lang w:val="en-US"/>
        </w:rPr>
        <w:t>PI16, CCN5, STMN2</w:t>
      </w:r>
      <w:r w:rsidRPr="0026705F">
        <w:rPr>
          <w:bCs/>
          <w:sz w:val="22"/>
          <w:szCs w:val="22"/>
          <w:lang w:val="en-US"/>
        </w:rPr>
        <w:t xml:space="preserve">, which were downregulated - are </w:t>
      </w:r>
      <w:r w:rsidR="00A44101" w:rsidRPr="0026705F">
        <w:rPr>
          <w:bCs/>
          <w:sz w:val="22"/>
          <w:szCs w:val="22"/>
          <w:lang w:val="en-US"/>
        </w:rPr>
        <w:t xml:space="preserve">presented in bold </w:t>
      </w:r>
      <w:r w:rsidRPr="0026705F">
        <w:rPr>
          <w:bCs/>
          <w:sz w:val="22"/>
          <w:szCs w:val="22"/>
          <w:lang w:val="en-US"/>
        </w:rPr>
        <w:t>in column 1.</w:t>
      </w:r>
    </w:p>
    <w:p w14:paraId="1EC78374" w14:textId="77777777" w:rsidR="00146762" w:rsidRPr="0026705F" w:rsidRDefault="00146762" w:rsidP="003D7094">
      <w:pPr>
        <w:spacing w:line="480" w:lineRule="auto"/>
        <w:jc w:val="both"/>
        <w:rPr>
          <w:bCs/>
          <w:sz w:val="22"/>
          <w:szCs w:val="22"/>
          <w:lang w:val="en-US"/>
        </w:rPr>
      </w:pPr>
    </w:p>
    <w:p w14:paraId="540288E5" w14:textId="242CA93B" w:rsidR="00146762" w:rsidRPr="0026705F" w:rsidRDefault="00146762" w:rsidP="003D7094">
      <w:pPr>
        <w:spacing w:line="480" w:lineRule="auto"/>
        <w:jc w:val="both"/>
        <w:rPr>
          <w:bCs/>
          <w:sz w:val="22"/>
          <w:szCs w:val="22"/>
          <w:lang w:val="en-US"/>
        </w:rPr>
      </w:pPr>
      <w:r w:rsidRPr="0026705F">
        <w:rPr>
          <w:b/>
          <w:sz w:val="22"/>
          <w:szCs w:val="22"/>
          <w:lang w:val="en-US"/>
        </w:rPr>
        <w:t xml:space="preserve">Supp. Table S6. </w:t>
      </w:r>
      <w:r w:rsidRPr="0026705F">
        <w:rPr>
          <w:bCs/>
          <w:sz w:val="22"/>
          <w:szCs w:val="22"/>
          <w:lang w:val="en-US"/>
        </w:rPr>
        <w:t xml:space="preserve">List of differentially expressed genes (DEGs) between clusters in SASC. </w:t>
      </w:r>
    </w:p>
    <w:p w14:paraId="7FA00D34" w14:textId="77777777" w:rsidR="0089042D" w:rsidRPr="0026705F" w:rsidRDefault="0089042D" w:rsidP="0089042D">
      <w:pPr>
        <w:spacing w:line="480" w:lineRule="auto"/>
        <w:jc w:val="both"/>
        <w:rPr>
          <w:bCs/>
          <w:sz w:val="22"/>
          <w:szCs w:val="22"/>
          <w:lang w:val="en-US"/>
        </w:rPr>
      </w:pPr>
      <w:r w:rsidRPr="0026705F">
        <w:rPr>
          <w:b/>
          <w:sz w:val="22"/>
          <w:szCs w:val="22"/>
          <w:lang w:val="en-US"/>
        </w:rPr>
        <w:t>Note:</w:t>
      </w:r>
      <w:r w:rsidRPr="0026705F">
        <w:rPr>
          <w:bCs/>
          <w:sz w:val="22"/>
          <w:szCs w:val="22"/>
          <w:lang w:val="en-US"/>
        </w:rPr>
        <w:t xml:space="preserve"> Supp. Table S6 is provided as a separate Excel file.</w:t>
      </w:r>
    </w:p>
    <w:p w14:paraId="76DD81C0" w14:textId="4EFFD389" w:rsidR="00146762" w:rsidRPr="0026705F" w:rsidRDefault="0089042D" w:rsidP="003D7094">
      <w:pPr>
        <w:spacing w:line="480" w:lineRule="auto"/>
        <w:jc w:val="both"/>
        <w:rPr>
          <w:bCs/>
          <w:sz w:val="22"/>
          <w:szCs w:val="22"/>
          <w:lang w:val="en-US"/>
        </w:rPr>
      </w:pPr>
      <w:r w:rsidRPr="0026705F">
        <w:rPr>
          <w:bCs/>
          <w:sz w:val="22"/>
          <w:szCs w:val="22"/>
          <w:lang w:val="en-US"/>
        </w:rPr>
        <w:t>List of references cited in Suppl. Table S6 are provided in the Reference section in the Supplementary Information.</w:t>
      </w:r>
    </w:p>
    <w:p w14:paraId="171B9A93" w14:textId="77777777" w:rsidR="0089042D" w:rsidRPr="0026705F" w:rsidRDefault="0089042D" w:rsidP="003D7094">
      <w:pPr>
        <w:spacing w:line="480" w:lineRule="auto"/>
        <w:jc w:val="both"/>
        <w:rPr>
          <w:b/>
          <w:sz w:val="22"/>
          <w:szCs w:val="22"/>
          <w:lang w:val="en-US"/>
        </w:rPr>
      </w:pPr>
    </w:p>
    <w:p w14:paraId="3BA9418F" w14:textId="4038B57E" w:rsidR="0089042D" w:rsidRPr="0026705F" w:rsidRDefault="0089042D" w:rsidP="003D7094">
      <w:pPr>
        <w:spacing w:line="480" w:lineRule="auto"/>
        <w:jc w:val="both"/>
        <w:rPr>
          <w:bCs/>
          <w:sz w:val="22"/>
          <w:szCs w:val="22"/>
          <w:lang w:val="en-US"/>
        </w:rPr>
      </w:pPr>
      <w:r w:rsidRPr="0026705F">
        <w:rPr>
          <w:b/>
          <w:sz w:val="22"/>
          <w:szCs w:val="22"/>
          <w:lang w:val="en-US"/>
        </w:rPr>
        <w:t xml:space="preserve">Supp. Table S7. </w:t>
      </w:r>
      <w:r w:rsidRPr="0026705F">
        <w:rPr>
          <w:bCs/>
          <w:sz w:val="22"/>
          <w:szCs w:val="22"/>
          <w:lang w:val="en-US"/>
        </w:rPr>
        <w:t xml:space="preserve">Gene Ontology analysis in SASC clusters. </w:t>
      </w:r>
    </w:p>
    <w:p w14:paraId="32733182" w14:textId="16624FC2" w:rsidR="0089042D" w:rsidRPr="0026705F" w:rsidRDefault="0089042D" w:rsidP="0089042D">
      <w:pPr>
        <w:spacing w:line="480" w:lineRule="auto"/>
        <w:jc w:val="both"/>
        <w:rPr>
          <w:bCs/>
          <w:sz w:val="22"/>
          <w:szCs w:val="22"/>
          <w:lang w:val="en-US"/>
        </w:rPr>
      </w:pPr>
      <w:r w:rsidRPr="0026705F">
        <w:rPr>
          <w:b/>
          <w:sz w:val="22"/>
          <w:szCs w:val="22"/>
          <w:lang w:val="en-US"/>
        </w:rPr>
        <w:t>Note:</w:t>
      </w:r>
      <w:r w:rsidRPr="0026705F">
        <w:rPr>
          <w:bCs/>
          <w:sz w:val="22"/>
          <w:szCs w:val="22"/>
          <w:lang w:val="en-US"/>
        </w:rPr>
        <w:t xml:space="preserve"> Supp. Table S7 is provided as a separate Excel file.</w:t>
      </w:r>
    </w:p>
    <w:p w14:paraId="03CAAE84" w14:textId="77777777" w:rsidR="0089042D" w:rsidRPr="0026705F" w:rsidRDefault="0089042D" w:rsidP="003D7094">
      <w:pPr>
        <w:spacing w:line="480" w:lineRule="auto"/>
        <w:jc w:val="both"/>
        <w:rPr>
          <w:bCs/>
          <w:sz w:val="22"/>
          <w:szCs w:val="22"/>
          <w:lang w:val="en-US"/>
        </w:rPr>
      </w:pPr>
    </w:p>
    <w:p w14:paraId="7F98FA0F" w14:textId="01C9BF7F" w:rsidR="0089042D" w:rsidRPr="0026705F" w:rsidRDefault="0089042D" w:rsidP="0089042D">
      <w:pPr>
        <w:spacing w:line="480" w:lineRule="auto"/>
        <w:jc w:val="both"/>
        <w:rPr>
          <w:bCs/>
          <w:sz w:val="22"/>
          <w:szCs w:val="22"/>
          <w:lang w:val="en-US"/>
        </w:rPr>
      </w:pPr>
      <w:r w:rsidRPr="0026705F">
        <w:rPr>
          <w:b/>
          <w:sz w:val="22"/>
          <w:szCs w:val="22"/>
          <w:lang w:val="en-US"/>
        </w:rPr>
        <w:t xml:space="preserve">Supp. Table S8. </w:t>
      </w:r>
      <w:r w:rsidRPr="0026705F">
        <w:rPr>
          <w:bCs/>
          <w:sz w:val="22"/>
          <w:szCs w:val="22"/>
          <w:lang w:val="en-US"/>
        </w:rPr>
        <w:t xml:space="preserve">List of differentially expressed genes (DEGs) between clusters in VASC. </w:t>
      </w:r>
    </w:p>
    <w:p w14:paraId="72F3FB6B" w14:textId="77777777" w:rsidR="0089042D" w:rsidRPr="0026705F" w:rsidRDefault="0089042D" w:rsidP="0089042D">
      <w:pPr>
        <w:spacing w:line="480" w:lineRule="auto"/>
        <w:jc w:val="both"/>
        <w:rPr>
          <w:bCs/>
          <w:sz w:val="22"/>
          <w:szCs w:val="22"/>
          <w:lang w:val="en-US"/>
        </w:rPr>
      </w:pPr>
      <w:r w:rsidRPr="0026705F">
        <w:rPr>
          <w:b/>
          <w:sz w:val="22"/>
          <w:szCs w:val="22"/>
          <w:lang w:val="en-US"/>
        </w:rPr>
        <w:t>Note:</w:t>
      </w:r>
      <w:r w:rsidRPr="0026705F">
        <w:rPr>
          <w:bCs/>
          <w:sz w:val="22"/>
          <w:szCs w:val="22"/>
          <w:lang w:val="en-US"/>
        </w:rPr>
        <w:t xml:space="preserve"> Supp. Table S8 is provided as a separate Excel file.</w:t>
      </w:r>
    </w:p>
    <w:p w14:paraId="59AB386B" w14:textId="77777777" w:rsidR="0089042D" w:rsidRPr="0026705F" w:rsidRDefault="0089042D" w:rsidP="0089042D">
      <w:pPr>
        <w:spacing w:line="480" w:lineRule="auto"/>
        <w:jc w:val="both"/>
        <w:rPr>
          <w:bCs/>
          <w:sz w:val="22"/>
          <w:szCs w:val="22"/>
          <w:lang w:val="en-US"/>
        </w:rPr>
      </w:pPr>
      <w:r w:rsidRPr="0026705F">
        <w:rPr>
          <w:bCs/>
          <w:sz w:val="22"/>
          <w:szCs w:val="22"/>
          <w:lang w:val="en-US"/>
        </w:rPr>
        <w:t>Refence by Vijay et al. (2020) [PMID: 25068904] was cited in Supp. Table S8.</w:t>
      </w:r>
    </w:p>
    <w:p w14:paraId="4DD604EE" w14:textId="77777777" w:rsidR="0089042D" w:rsidRPr="0026705F" w:rsidRDefault="0089042D" w:rsidP="0089042D">
      <w:pPr>
        <w:spacing w:line="480" w:lineRule="auto"/>
        <w:jc w:val="both"/>
        <w:rPr>
          <w:bCs/>
          <w:sz w:val="22"/>
          <w:szCs w:val="22"/>
          <w:lang w:val="en-US"/>
        </w:rPr>
      </w:pPr>
    </w:p>
    <w:p w14:paraId="22433E29" w14:textId="3BE6AE98" w:rsidR="0089042D" w:rsidRPr="0026705F" w:rsidRDefault="0089042D" w:rsidP="0089042D">
      <w:pPr>
        <w:spacing w:line="480" w:lineRule="auto"/>
        <w:jc w:val="both"/>
        <w:rPr>
          <w:bCs/>
          <w:sz w:val="22"/>
          <w:szCs w:val="22"/>
          <w:lang w:val="en-US"/>
        </w:rPr>
      </w:pPr>
      <w:r w:rsidRPr="0026705F">
        <w:rPr>
          <w:b/>
          <w:sz w:val="22"/>
          <w:szCs w:val="22"/>
          <w:lang w:val="en-US"/>
        </w:rPr>
        <w:t xml:space="preserve">Supp. Table S9. </w:t>
      </w:r>
      <w:r w:rsidRPr="0026705F">
        <w:rPr>
          <w:bCs/>
          <w:sz w:val="22"/>
          <w:szCs w:val="22"/>
          <w:lang w:val="en-US"/>
        </w:rPr>
        <w:t xml:space="preserve">Gene Ontology analysis in VASC clusters. </w:t>
      </w:r>
    </w:p>
    <w:p w14:paraId="08B47394" w14:textId="0CE5D45F" w:rsidR="0089042D" w:rsidRPr="0026705F" w:rsidRDefault="0089042D" w:rsidP="0089042D">
      <w:pPr>
        <w:spacing w:line="480" w:lineRule="auto"/>
        <w:jc w:val="both"/>
        <w:rPr>
          <w:bCs/>
          <w:sz w:val="22"/>
          <w:szCs w:val="22"/>
          <w:lang w:val="en-US"/>
        </w:rPr>
      </w:pPr>
      <w:r w:rsidRPr="0026705F">
        <w:rPr>
          <w:b/>
          <w:sz w:val="22"/>
          <w:szCs w:val="22"/>
          <w:lang w:val="en-US"/>
        </w:rPr>
        <w:t>Note:</w:t>
      </w:r>
      <w:r w:rsidRPr="0026705F">
        <w:rPr>
          <w:bCs/>
          <w:sz w:val="22"/>
          <w:szCs w:val="22"/>
          <w:lang w:val="en-US"/>
        </w:rPr>
        <w:t xml:space="preserve"> Supp. Table S9 is provided as a separate Excel file.</w:t>
      </w:r>
    </w:p>
    <w:p w14:paraId="62C6D902" w14:textId="77777777" w:rsidR="0089042D" w:rsidRPr="0026705F" w:rsidRDefault="0089042D" w:rsidP="0089042D">
      <w:pPr>
        <w:spacing w:line="480" w:lineRule="auto"/>
        <w:jc w:val="both"/>
        <w:rPr>
          <w:bCs/>
          <w:sz w:val="22"/>
          <w:szCs w:val="22"/>
          <w:lang w:val="en-US"/>
        </w:rPr>
      </w:pPr>
    </w:p>
    <w:p w14:paraId="7A813A9B" w14:textId="152CEBFE" w:rsidR="0089042D" w:rsidRPr="0026705F" w:rsidRDefault="0089042D" w:rsidP="0089042D">
      <w:pPr>
        <w:spacing w:line="480" w:lineRule="auto"/>
        <w:jc w:val="both"/>
        <w:rPr>
          <w:bCs/>
          <w:sz w:val="22"/>
          <w:szCs w:val="22"/>
          <w:lang w:val="en-US"/>
        </w:rPr>
      </w:pPr>
      <w:r w:rsidRPr="0026705F">
        <w:rPr>
          <w:b/>
          <w:sz w:val="22"/>
          <w:szCs w:val="22"/>
          <w:lang w:val="en-US"/>
        </w:rPr>
        <w:t xml:space="preserve">Supp. Table S10. </w:t>
      </w:r>
      <w:r w:rsidRPr="0026705F">
        <w:rPr>
          <w:bCs/>
          <w:sz w:val="22"/>
          <w:szCs w:val="22"/>
          <w:lang w:val="en-US"/>
        </w:rPr>
        <w:t xml:space="preserve">List of differentially expressed genes (DEGs) between fibroblasts and SASC/VASC identified in this study. </w:t>
      </w:r>
    </w:p>
    <w:p w14:paraId="36B7DD8C" w14:textId="601CC92B" w:rsidR="0089042D" w:rsidRPr="0026705F" w:rsidRDefault="0089042D" w:rsidP="0089042D">
      <w:pPr>
        <w:spacing w:line="480" w:lineRule="auto"/>
        <w:jc w:val="both"/>
        <w:rPr>
          <w:bCs/>
          <w:sz w:val="22"/>
          <w:szCs w:val="22"/>
          <w:lang w:val="en-US"/>
        </w:rPr>
      </w:pPr>
      <w:r w:rsidRPr="0026705F">
        <w:rPr>
          <w:b/>
          <w:sz w:val="22"/>
          <w:szCs w:val="22"/>
          <w:lang w:val="en-US"/>
        </w:rPr>
        <w:t>Note:</w:t>
      </w:r>
      <w:r w:rsidRPr="0026705F">
        <w:rPr>
          <w:bCs/>
          <w:sz w:val="22"/>
          <w:szCs w:val="22"/>
          <w:lang w:val="en-US"/>
        </w:rPr>
        <w:t xml:space="preserve"> Supp. Table S10 is provided as a separate Excel file.</w:t>
      </w:r>
    </w:p>
    <w:p w14:paraId="55213F19" w14:textId="77777777" w:rsidR="0089042D" w:rsidRPr="0026705F" w:rsidRDefault="0089042D" w:rsidP="003D7094">
      <w:pPr>
        <w:spacing w:line="480" w:lineRule="auto"/>
        <w:jc w:val="both"/>
        <w:rPr>
          <w:bCs/>
          <w:sz w:val="22"/>
          <w:szCs w:val="22"/>
          <w:lang w:val="en-US"/>
        </w:rPr>
      </w:pPr>
    </w:p>
    <w:p w14:paraId="53566A5E" w14:textId="77777777" w:rsidR="0089042D" w:rsidRPr="0026705F" w:rsidRDefault="0089042D" w:rsidP="003D7094">
      <w:pPr>
        <w:spacing w:line="480" w:lineRule="auto"/>
        <w:jc w:val="both"/>
        <w:rPr>
          <w:bCs/>
          <w:sz w:val="22"/>
          <w:szCs w:val="22"/>
          <w:lang w:val="en-US"/>
        </w:rPr>
      </w:pPr>
    </w:p>
    <w:p w14:paraId="4B78528E" w14:textId="77777777" w:rsidR="0089042D" w:rsidRPr="0026705F" w:rsidRDefault="0089042D" w:rsidP="003D7094">
      <w:pPr>
        <w:spacing w:line="480" w:lineRule="auto"/>
        <w:jc w:val="both"/>
        <w:rPr>
          <w:bCs/>
          <w:sz w:val="22"/>
          <w:szCs w:val="22"/>
          <w:lang w:val="en-US"/>
        </w:rPr>
      </w:pPr>
    </w:p>
    <w:p w14:paraId="00000128" w14:textId="377F7ACC" w:rsidR="007F3335" w:rsidRPr="0026705F" w:rsidRDefault="00BA3DF1" w:rsidP="003D7094">
      <w:pPr>
        <w:spacing w:line="480" w:lineRule="auto"/>
        <w:jc w:val="both"/>
        <w:rPr>
          <w:sz w:val="22"/>
          <w:szCs w:val="22"/>
          <w:lang w:val="en-US"/>
        </w:rPr>
      </w:pPr>
      <w:r w:rsidRPr="0026705F">
        <w:rPr>
          <w:b/>
          <w:sz w:val="22"/>
          <w:szCs w:val="22"/>
          <w:lang w:val="en-US"/>
        </w:rPr>
        <w:lastRenderedPageBreak/>
        <w:t xml:space="preserve">Supp. Table </w:t>
      </w:r>
      <w:sdt>
        <w:sdtPr>
          <w:rPr>
            <w:lang w:val="en-US"/>
          </w:rPr>
          <w:tag w:val="goog_rdk_5"/>
          <w:id w:val="-2014830144"/>
        </w:sdtPr>
        <w:sdtContent/>
      </w:sdt>
      <w:r w:rsidRPr="0026705F">
        <w:rPr>
          <w:b/>
          <w:sz w:val="22"/>
          <w:szCs w:val="22"/>
          <w:lang w:val="en-US"/>
        </w:rPr>
        <w:t>S1</w:t>
      </w:r>
      <w:r w:rsidR="00144A78" w:rsidRPr="0026705F">
        <w:rPr>
          <w:b/>
          <w:sz w:val="22"/>
          <w:szCs w:val="22"/>
          <w:lang w:val="en-US"/>
        </w:rPr>
        <w:t>1</w:t>
      </w:r>
      <w:r w:rsidRPr="0026705F">
        <w:rPr>
          <w:b/>
          <w:sz w:val="22"/>
          <w:szCs w:val="22"/>
          <w:lang w:val="en-US"/>
        </w:rPr>
        <w:t xml:space="preserve">. </w:t>
      </w:r>
      <w:r w:rsidRPr="0026705F">
        <w:rPr>
          <w:sz w:val="22"/>
          <w:szCs w:val="22"/>
          <w:lang w:val="en-US"/>
        </w:rPr>
        <w:t xml:space="preserve">Detailed description of </w:t>
      </w:r>
      <w:r w:rsidR="00FD1BB2" w:rsidRPr="0026705F">
        <w:rPr>
          <w:sz w:val="22"/>
          <w:szCs w:val="22"/>
          <w:lang w:val="en-US"/>
        </w:rPr>
        <w:t xml:space="preserve">the </w:t>
      </w:r>
      <w:r w:rsidRPr="0026705F">
        <w:rPr>
          <w:sz w:val="22"/>
          <w:szCs w:val="22"/>
          <w:lang w:val="en-US"/>
        </w:rPr>
        <w:t>top differentially expressed genes (DEGs) from SASC, VASC and dermal fibroblasts.</w:t>
      </w:r>
    </w:p>
    <w:p w14:paraId="7DCE173D" w14:textId="77777777" w:rsidR="00A253EC" w:rsidRPr="0026705F" w:rsidRDefault="00A253EC" w:rsidP="00A253EC">
      <w:pPr>
        <w:spacing w:line="360" w:lineRule="auto"/>
        <w:jc w:val="both"/>
        <w:rPr>
          <w:sz w:val="22"/>
          <w:szCs w:val="22"/>
          <w:lang w:val="en-US"/>
        </w:rPr>
      </w:pPr>
    </w:p>
    <w:tbl>
      <w:tblPr>
        <w:tblStyle w:val="a4"/>
        <w:tblW w:w="9488"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684"/>
        <w:gridCol w:w="5670"/>
        <w:gridCol w:w="1134"/>
      </w:tblGrid>
      <w:tr w:rsidR="005A43FA" w:rsidRPr="0026705F" w14:paraId="4F4AABEE" w14:textId="00CD1374" w:rsidTr="003B34ED">
        <w:trPr>
          <w:trHeight w:val="217"/>
          <w:jc w:val="center"/>
        </w:trPr>
        <w:tc>
          <w:tcPr>
            <w:tcW w:w="2684" w:type="dxa"/>
            <w:shd w:val="clear" w:color="auto" w:fill="auto"/>
            <w:tcMar>
              <w:top w:w="100" w:type="dxa"/>
              <w:left w:w="100" w:type="dxa"/>
              <w:bottom w:w="100" w:type="dxa"/>
              <w:right w:w="100" w:type="dxa"/>
            </w:tcMar>
          </w:tcPr>
          <w:p w14:paraId="00000129" w14:textId="77777777" w:rsidR="005A43FA" w:rsidRPr="0026705F" w:rsidRDefault="005A43FA">
            <w:pPr>
              <w:widowControl w:val="0"/>
              <w:pBdr>
                <w:top w:val="nil"/>
                <w:left w:val="nil"/>
                <w:bottom w:val="nil"/>
                <w:right w:val="nil"/>
                <w:between w:val="nil"/>
              </w:pBdr>
              <w:rPr>
                <w:b/>
                <w:sz w:val="18"/>
                <w:szCs w:val="18"/>
                <w:lang w:val="en-US"/>
              </w:rPr>
            </w:pPr>
            <w:r w:rsidRPr="0026705F">
              <w:rPr>
                <w:b/>
                <w:sz w:val="18"/>
                <w:szCs w:val="18"/>
                <w:lang w:val="en-US"/>
              </w:rPr>
              <w:t>Gene (symbol)</w:t>
            </w:r>
          </w:p>
        </w:tc>
        <w:tc>
          <w:tcPr>
            <w:tcW w:w="5670" w:type="dxa"/>
            <w:shd w:val="clear" w:color="auto" w:fill="auto"/>
            <w:tcMar>
              <w:top w:w="100" w:type="dxa"/>
              <w:left w:w="100" w:type="dxa"/>
              <w:bottom w:w="100" w:type="dxa"/>
              <w:right w:w="100" w:type="dxa"/>
            </w:tcMar>
          </w:tcPr>
          <w:p w14:paraId="0000012A" w14:textId="77777777" w:rsidR="005A43FA" w:rsidRPr="0026705F" w:rsidRDefault="005A43FA">
            <w:pPr>
              <w:widowControl w:val="0"/>
              <w:pBdr>
                <w:top w:val="nil"/>
                <w:left w:val="nil"/>
                <w:bottom w:val="nil"/>
                <w:right w:val="nil"/>
                <w:between w:val="nil"/>
              </w:pBdr>
              <w:rPr>
                <w:b/>
                <w:sz w:val="18"/>
                <w:szCs w:val="18"/>
                <w:lang w:val="en-US"/>
              </w:rPr>
            </w:pPr>
            <w:r w:rsidRPr="0026705F">
              <w:rPr>
                <w:b/>
                <w:sz w:val="18"/>
                <w:szCs w:val="18"/>
                <w:lang w:val="en-US"/>
              </w:rPr>
              <w:t>Description</w:t>
            </w:r>
          </w:p>
        </w:tc>
        <w:tc>
          <w:tcPr>
            <w:tcW w:w="1134" w:type="dxa"/>
          </w:tcPr>
          <w:p w14:paraId="566FFBF1" w14:textId="1F2C03E5" w:rsidR="005A43FA" w:rsidRPr="0026705F" w:rsidRDefault="005A43FA">
            <w:pPr>
              <w:widowControl w:val="0"/>
              <w:pBdr>
                <w:top w:val="nil"/>
                <w:left w:val="nil"/>
                <w:bottom w:val="nil"/>
                <w:right w:val="nil"/>
                <w:between w:val="nil"/>
              </w:pBdr>
              <w:rPr>
                <w:b/>
                <w:sz w:val="18"/>
                <w:szCs w:val="18"/>
                <w:lang w:val="en-US"/>
              </w:rPr>
            </w:pPr>
            <w:r w:rsidRPr="0026705F">
              <w:rPr>
                <w:b/>
                <w:sz w:val="18"/>
                <w:szCs w:val="18"/>
                <w:lang w:val="en-US"/>
              </w:rPr>
              <w:t>References</w:t>
            </w:r>
          </w:p>
        </w:tc>
      </w:tr>
      <w:tr w:rsidR="005A43FA" w:rsidRPr="0026705F" w14:paraId="7EB2B55B" w14:textId="21212C3D" w:rsidTr="003B34ED">
        <w:trPr>
          <w:trHeight w:val="1201"/>
          <w:jc w:val="center"/>
        </w:trPr>
        <w:tc>
          <w:tcPr>
            <w:tcW w:w="2684" w:type="dxa"/>
            <w:shd w:val="clear" w:color="auto" w:fill="auto"/>
            <w:tcMar>
              <w:top w:w="100" w:type="dxa"/>
              <w:left w:w="100" w:type="dxa"/>
              <w:bottom w:w="100" w:type="dxa"/>
              <w:right w:w="100" w:type="dxa"/>
            </w:tcMar>
          </w:tcPr>
          <w:p w14:paraId="0000012B" w14:textId="77777777" w:rsidR="005A43FA" w:rsidRPr="0026705F" w:rsidRDefault="005A43FA">
            <w:pPr>
              <w:widowControl w:val="0"/>
              <w:pBdr>
                <w:top w:val="nil"/>
                <w:left w:val="nil"/>
                <w:bottom w:val="nil"/>
                <w:right w:val="nil"/>
                <w:between w:val="nil"/>
              </w:pBdr>
              <w:rPr>
                <w:sz w:val="18"/>
                <w:szCs w:val="18"/>
                <w:lang w:val="en-US"/>
              </w:rPr>
            </w:pPr>
            <w:r w:rsidRPr="0026705F">
              <w:rPr>
                <w:i/>
                <w:sz w:val="18"/>
                <w:szCs w:val="18"/>
                <w:lang w:val="en-US"/>
              </w:rPr>
              <w:t>Peptidase Inhibitor 16 (PI16)</w:t>
            </w:r>
          </w:p>
        </w:tc>
        <w:tc>
          <w:tcPr>
            <w:tcW w:w="5670" w:type="dxa"/>
            <w:shd w:val="clear" w:color="auto" w:fill="auto"/>
            <w:tcMar>
              <w:top w:w="100" w:type="dxa"/>
              <w:left w:w="100" w:type="dxa"/>
              <w:bottom w:w="100" w:type="dxa"/>
              <w:right w:w="100" w:type="dxa"/>
            </w:tcMar>
          </w:tcPr>
          <w:p w14:paraId="0000012C"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PI16 belongs to the catabolite activator protein (CAP). Associated with the extracellular matrix (ECM), inhibits peptidase activity and the growth of cells involved in myocardial development. It is also a type 2 metalloproteinase inhibitor under conditions of inflammation and high shear forces.</w:t>
            </w:r>
          </w:p>
        </w:tc>
        <w:tc>
          <w:tcPr>
            <w:tcW w:w="1134" w:type="dxa"/>
          </w:tcPr>
          <w:p w14:paraId="10AADD61" w14:textId="4EA0C01D" w:rsidR="005A43FA" w:rsidRPr="0026705F" w:rsidRDefault="005A43FA">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{"citationID":"edJUit5i","properties":{"formattedCitation":"[7,8]","plainCitation":"[7,8]","noteIndex":0},"citationItems":[{"id":"yYDU4LE6/sk47HmZD","uris":["http://zotero.org/users/local/FCDre8wk/items/4BMTY6AM"],"itemData":{"id":763,"type":"article-journal","abstract":"Raised endothelial shear stress is protective against atherosclerosis but such protection may be lost at sites of inflammation. We found that four splice variants of the peptidase inhibitor 16 (PI16) mRNA are among the most highly shear stress regulated transcripts in human coronary artery endothelial cells (HCAECs), in vitro but that expression is reduced by inflammatory mediators TNFα and IL-1β. Immunohistochemistry demonstrated that PI16 is expressed in human coronary endothelium and in a subset of neointimal cells and medial smooth muscle cells. Adenovirus-mediated PI16 overexpression inhibits HCAEC migration and secreted matrix metalloproteinase (MMP) activity. Moreover, PI16 inhibits MMP2 in part by binding an exposed peptide loop above the active site. Our results imply that, at high endothelial shear stress, PI16 contributes to inhibition of protease activity; protection that can be reversed during inflammation.","container-title":"Scientific Reports","DOI":"10.1038/srep39553","ISSN":"2045-2322","issue":"1","journalAbbreviation":"Sci Rep","language":"en","license":"2016 The Author(s)","note":"number: 1\npublisher: Nature Publishing Group","page":"39553","source":"www.nature.com","title":"PI16 is a shear stress and inflammation-regulated inhibitor of MMP2","volume":"6","author":[{"family":"Hazell","given":"Georgina G. J."},{"family":"Peachey","given":"Alasdair M. G."},{"family":"Teasdale","given":"Jack E."},{"family":"Sala-Newby","given":"Graciela B."},{"family":"Angelini","given":"Gianni D."},{"family":"Newby","given":"Andrew C."},{"family":"White","given":"Stephen J."}],"issued":{"date-parts":[["2016",12,20]]}}},{"id":"yYDU4LE6/SWgSDDC0","uris":["http://zotero.org/users/local/FCDre8wk/items/ZHU948YP"],"itemData":{"id":765,"type":"article-journal","abstract":"A key response of the myocardium to stress is the secretion of factors with paracrine or endocrine function. Intriguing in this respect is peptidase inhibitor 16 (PI16), a member of the CAP family of proteins which we found to be highly upregulated in cardiac disease. Up to this point, the mechanism of action and physiological function of PI16 remained elusive. Here, we show that PI16 is predominantly expressed by cardiac fibroblasts, which expose PI16 to the interstitium via a glycophosphatidylinositol (-GPI) membrane anchor. Based on a reported genetic association of PI16 and plasma levels of the chemokine chemerin, we investigated whether PI16 regulates post-translational processing of its precursor pro-chemerin. PI16-deficient mice were engineered and found to generate higher levels of processed chemerin than wildtype mice. Purified recombinant PI16 efficiently inhibited cathepsin K, a chemerin-activating protease, in vitro. Moreover, we show that conditioned medium from PI16-overexpressing cells impaired the activation of pro-chemerin. Together, our data indicate that PI16 suppresses chemerin activation in the myocardium and suggest that this circuit may be part of the cardiac stress response.","container-title":"Journal of Molecular and Cellular Cardiology","DOI":"10.1016/j.yjmcc.2016.08.010","ISSN":"0022-2828","journalAbbreviation":"Journal of Molecular and Cellular Cardiology","page":"57-64","source":"ScienceDirect","title":"Peptidase inhibitor 16 is a membrane-tethered regulator of chemerin processing in the myocardium","volume":"99","author":[{"family":"Regn","given":"Michael"},{"family":"Laggerbauer","given":"Bernhard"},{"family":"Jentzsch","given":"Claudia"},{"family":"Ramanujam","given":"Deepak"},{"family":"Ahles","given":"Andrea"},{"family":"Sichler","given":"Sonja"},{"family":"Calzada-Wack","given":"Julia"},{"family":"Koenen","given":"Rory R."},{"family":"Braun","given":"Attila"},{"family":"Nieswandt","given":"Bernhard"},{"family":"Engelhardt","given":"Stefan"}],"issued":{"date-parts":[["2016",10,1]]}}}],"schema":"https://github.com/citation-style-language/schema/raw/master/csl-citation.json"} </w:instrText>
            </w:r>
            <w:r w:rsidRPr="0026705F">
              <w:rPr>
                <w:sz w:val="18"/>
                <w:szCs w:val="18"/>
                <w:lang w:val="en-US"/>
              </w:rPr>
              <w:fldChar w:fldCharType="separate"/>
            </w:r>
            <w:r w:rsidR="00873504" w:rsidRPr="0026705F">
              <w:rPr>
                <w:sz w:val="18"/>
                <w:lang w:val="en-US"/>
              </w:rPr>
              <w:t>[7,8]</w:t>
            </w:r>
            <w:r w:rsidRPr="0026705F">
              <w:rPr>
                <w:sz w:val="18"/>
                <w:szCs w:val="18"/>
                <w:lang w:val="en-US"/>
              </w:rPr>
              <w:fldChar w:fldCharType="end"/>
            </w:r>
          </w:p>
        </w:tc>
      </w:tr>
      <w:tr w:rsidR="005A43FA" w:rsidRPr="0026705F" w14:paraId="28E4537B" w14:textId="05FB9514" w:rsidTr="003B34ED">
        <w:trPr>
          <w:trHeight w:val="711"/>
          <w:jc w:val="center"/>
        </w:trPr>
        <w:tc>
          <w:tcPr>
            <w:tcW w:w="2684" w:type="dxa"/>
            <w:shd w:val="clear" w:color="auto" w:fill="auto"/>
            <w:tcMar>
              <w:top w:w="100" w:type="dxa"/>
              <w:left w:w="100" w:type="dxa"/>
              <w:bottom w:w="100" w:type="dxa"/>
              <w:right w:w="100" w:type="dxa"/>
            </w:tcMar>
          </w:tcPr>
          <w:p w14:paraId="0000012D" w14:textId="77777777" w:rsidR="005A43FA" w:rsidRPr="0026705F" w:rsidRDefault="005A43FA">
            <w:pPr>
              <w:widowControl w:val="0"/>
              <w:spacing w:after="160" w:line="256" w:lineRule="auto"/>
              <w:rPr>
                <w:i/>
                <w:sz w:val="18"/>
                <w:szCs w:val="18"/>
                <w:lang w:val="en-US"/>
              </w:rPr>
            </w:pPr>
            <w:r w:rsidRPr="0026705F">
              <w:rPr>
                <w:i/>
                <w:sz w:val="18"/>
                <w:szCs w:val="18"/>
                <w:lang w:val="en-US"/>
              </w:rPr>
              <w:t xml:space="preserve">Cartilage Oligomeric Matrix Protein (COMP) </w:t>
            </w:r>
          </w:p>
          <w:p w14:paraId="0000012E" w14:textId="77777777" w:rsidR="005A43FA" w:rsidRPr="0026705F" w:rsidRDefault="005A43FA">
            <w:pPr>
              <w:widowControl w:val="0"/>
              <w:spacing w:after="160" w:line="256" w:lineRule="auto"/>
              <w:rPr>
                <w:sz w:val="18"/>
                <w:szCs w:val="18"/>
                <w:lang w:val="en-US"/>
              </w:rPr>
            </w:pPr>
            <w:r w:rsidRPr="0026705F">
              <w:rPr>
                <w:sz w:val="18"/>
                <w:szCs w:val="18"/>
                <w:lang w:val="en-US"/>
              </w:rPr>
              <w:t>(MIM *600310)</w:t>
            </w:r>
          </w:p>
        </w:tc>
        <w:tc>
          <w:tcPr>
            <w:tcW w:w="5670" w:type="dxa"/>
            <w:shd w:val="clear" w:color="auto" w:fill="auto"/>
            <w:tcMar>
              <w:top w:w="100" w:type="dxa"/>
              <w:left w:w="100" w:type="dxa"/>
              <w:bottom w:w="100" w:type="dxa"/>
              <w:right w:w="100" w:type="dxa"/>
            </w:tcMar>
          </w:tcPr>
          <w:p w14:paraId="0000012F" w14:textId="77777777" w:rsidR="005A43FA" w:rsidRPr="0026705F" w:rsidRDefault="005A43FA" w:rsidP="006A4790">
            <w:pPr>
              <w:widowControl w:val="0"/>
              <w:shd w:val="clear" w:color="auto" w:fill="FFFFFF"/>
              <w:spacing w:after="160" w:line="256" w:lineRule="auto"/>
              <w:rPr>
                <w:sz w:val="18"/>
                <w:szCs w:val="18"/>
                <w:lang w:val="en-US"/>
              </w:rPr>
            </w:pPr>
            <w:r w:rsidRPr="0026705F">
              <w:rPr>
                <w:sz w:val="18"/>
                <w:szCs w:val="18"/>
                <w:lang w:val="en-US"/>
              </w:rPr>
              <w:t>Extracellular matrix protein, takes part in collagen folding and fibril formation. Involved in chondrogenesis, mechanical stress resistance, and thrombin inhibition.</w:t>
            </w:r>
          </w:p>
        </w:tc>
        <w:tc>
          <w:tcPr>
            <w:tcW w:w="1134" w:type="dxa"/>
          </w:tcPr>
          <w:p w14:paraId="1F92D4A5" w14:textId="5E5E29AB" w:rsidR="005A43FA" w:rsidRPr="0026705F" w:rsidRDefault="005A43FA">
            <w:pPr>
              <w:widowControl w:val="0"/>
              <w:shd w:val="clear" w:color="auto" w:fill="FFFFFF"/>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{"citationID":"LRFyz9ve","properties":{"formattedCitation":"[9,10]","plainCitation":"[9,10]","noteIndex":0},"citationItems":[{"id":"yYDU4LE6/Q7gYGyhA","uris":["http://zotero.org/users/local/FCDre8wk/items/496SJDWI"],"itemData":{"id":770,"type":"article-journal","abstract":"We have previously reported that COMP (cartilage oligomeric matrix protein) is prominent in cartilage but is also present in tendon and binds to collagens I and II with high affinity. Here we show that COMP influences the fibril formation of these collagens. Fibril formation in the presence of pentameric COMP was much faster, and the amount of collagen in fibrillar form was markedly increased. Monomeric COMP, lacking the N-terminal coiled-coil linker domain, decelerated fibrillogenesis. The data show that stimulation of collagen fibrillogenesis depends on the pentameric nature of COMP and not only on collagen binding. COMP interacts primarily with free collagen I and II molecules, bringing several molecules to close proximity, apparently promoting further assembly. These assemblies further join in discrete steps to a narrow distribution of completed fibril diameters of 149 +/- 16 nm with a banding pattern of 67 nm. COMP is not found associated with the mature fibril and dissociates from the collagen molecules or their early assemblies. However, a few COMP molecules are found bound to more loosely associated molecules at the tip/end of the growing fibril. Thus, COMP appears to catalyze the fibril formation by promoting early association of collagen molecules leading to increased rate of fibrillogenesis and more distinct organization of the fibrils.","container-title":"The Journal of Biological Chemistry","DOI":"10.1074/jbc.M705735200","ISSN":"0021-9258","issue":"43","journalAbbreviation":"J Biol Chem","language":"eng","note":"PMID: 17716974","page":"31166-31173","source":"PubMed","title":"COMP acts as a catalyst in collagen fibrillogenesis","volume":"282","author":[{"family":"Halász","given":"Krisztina"},{"family":"Kassner","given":"Anja"},{"family":"Mörgelin","given":"Matthias"},{"family":"Heinegård","given":"Dick"}],"issued":{"date-parts":[["2007",10,26]]}}},{"id":"yYDU4LE6/omywnPKq","uris":["http://zotero.org/users/local/FCDre8wk/items/DC2RVP8Y"],"itemData":{"id":767,"type":"article-journal","abstract":"Cartilage oligomeric matrix protein (COMP) is a large pentameric glycoprotein that interacts with multiple extracellular matrix proteins in cartilage and other tissues. While, COMP is known to play a role in collagen secretion and fibrillogenesis, chondrocyte proliferation and mechanical strength of tendons, the complete range of COMP functions remains to be defined. COMPopathies describe pseudoachondroplasia (PSACH) and multiple epiphyseal dysplasia (MED), two skeletal dysplasias caused by autosomal dominant COMP mutations. The majority of the mutations are in the calcium binding domains and compromise protein folding. COMPopathies are ER storage disorders in which the retention of COMP in the chondrocyte ER stimulates overwhelming cellular stress. The retention causes oxidative and inflammation processes leading to chondrocyte death and loss of long bone growth. In contrast, dysregulation of wild-type COMP expression is found in numerous diseases including: fibrosis, cardiomyopathy and breast and prostate cancers. The most exciting clinical application is the use of COMP as a biomarker for idiopathic pulmonary fibrosis and cartilage degeneration associated osteoarthritis and rheumatoid and, as a prognostic marker for joint injury. The ever expanding roles of COMP in single gene disorders and multifactorial diseases will lead to a better understanding of its functions in ECM and tissue homeostasis towards the goal of developing new therapeutic avenues.","container-title":"Matrix Biology: Journal of the International Society for Matrix Biology","DOI":"10.1016/j.matbio.2018.02.023","ISSN":"1569-1802","journalAbbreviation":"Matrix Biol","language":"eng","note":"PMID: 29530484\nPMCID: PMC6129439","page":"161-173","source":"PubMed","title":"Cartilage oligomeric matrix protein: COMPopathies and beyond","title-short":"Cartilage oligomeric matrix protein","volume":"71-72","author":[{"family":"Posey","given":"Karen L."},{"family":"Coustry","given":"Francoise"},{"family":"Hecht","given":"Jacqueline T."}],"issued":{"date-parts":[["2018",10]]}}}],"schema":"https://github.com/citation-style-language/schema/raw/master/csl-citation.json"} </w:instrText>
            </w:r>
            <w:r w:rsidRPr="0026705F">
              <w:rPr>
                <w:sz w:val="18"/>
                <w:szCs w:val="18"/>
                <w:lang w:val="en-US"/>
              </w:rPr>
              <w:fldChar w:fldCharType="separate"/>
            </w:r>
            <w:r w:rsidR="00873504" w:rsidRPr="0026705F">
              <w:rPr>
                <w:sz w:val="18"/>
                <w:lang w:val="en-US"/>
              </w:rPr>
              <w:t>[9,10]</w:t>
            </w:r>
            <w:r w:rsidRPr="0026705F">
              <w:rPr>
                <w:sz w:val="18"/>
                <w:szCs w:val="18"/>
                <w:lang w:val="en-US"/>
              </w:rPr>
              <w:fldChar w:fldCharType="end"/>
            </w:r>
          </w:p>
        </w:tc>
      </w:tr>
      <w:tr w:rsidR="005A43FA" w:rsidRPr="0026705F" w14:paraId="5A634D0E" w14:textId="5EF47024" w:rsidTr="003B34ED">
        <w:trPr>
          <w:trHeight w:val="1210"/>
          <w:jc w:val="center"/>
        </w:trPr>
        <w:tc>
          <w:tcPr>
            <w:tcW w:w="2684" w:type="dxa"/>
            <w:shd w:val="clear" w:color="auto" w:fill="auto"/>
            <w:tcMar>
              <w:top w:w="100" w:type="dxa"/>
              <w:left w:w="100" w:type="dxa"/>
              <w:bottom w:w="100" w:type="dxa"/>
              <w:right w:w="100" w:type="dxa"/>
            </w:tcMar>
          </w:tcPr>
          <w:p w14:paraId="00000130" w14:textId="77777777" w:rsidR="005A43FA" w:rsidRPr="0026705F" w:rsidRDefault="005A43FA">
            <w:pPr>
              <w:widowControl w:val="0"/>
              <w:spacing w:after="160" w:line="256" w:lineRule="auto"/>
              <w:rPr>
                <w:i/>
                <w:sz w:val="18"/>
                <w:szCs w:val="18"/>
                <w:lang w:val="en-US"/>
              </w:rPr>
            </w:pPr>
            <w:r w:rsidRPr="0026705F">
              <w:rPr>
                <w:i/>
                <w:sz w:val="18"/>
                <w:szCs w:val="18"/>
                <w:lang w:val="en-US"/>
              </w:rPr>
              <w:t>Cytokine Receptor-Like Factor 1 (CRLF1)</w:t>
            </w:r>
          </w:p>
          <w:p w14:paraId="00000131"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*604237)</w:t>
            </w:r>
          </w:p>
        </w:tc>
        <w:tc>
          <w:tcPr>
            <w:tcW w:w="5670" w:type="dxa"/>
            <w:shd w:val="clear" w:color="auto" w:fill="auto"/>
            <w:tcMar>
              <w:top w:w="100" w:type="dxa"/>
              <w:left w:w="100" w:type="dxa"/>
              <w:bottom w:w="100" w:type="dxa"/>
              <w:right w:w="100" w:type="dxa"/>
            </w:tcMar>
          </w:tcPr>
          <w:p w14:paraId="00000132"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Participates in the ciliary neurotrophic factor receptor pathway. Associated with the inflammatory response. Its levels are increased by pro-inflammatory cytokines. Is expressed in the thymus, heart, bone marrow, and spleen. In addition, circular CRLF1 negatively regulates adipogenesis.</w:t>
            </w:r>
          </w:p>
        </w:tc>
        <w:tc>
          <w:tcPr>
            <w:tcW w:w="1134" w:type="dxa"/>
          </w:tcPr>
          <w:p w14:paraId="627F09BD" w14:textId="3E1B730F" w:rsidR="005A43FA" w:rsidRPr="0026705F" w:rsidRDefault="005A43FA">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RlGQjxo0","properties":{"formattedCitation":"[11,12]","plainCitation":"[11,12]","noteIndex":0},"citationItems":[{"id":"yYDU4LE6/pw9i8GAz","uris":["http://zotero.org/users/local/FCDre8wk/items/BTLHJ2S7"],"itemData":{"id":773,"type":"article-journal","abstract":"Cytokines and their receptors have a vital function in regulating various processes such as immune function, inflammation, haematopoiesis, cell growth and differentiation. The interaction between a cytokine and its specific receptor triggers intracellular signalling cascades that lead to altered gene expression in the target cell and consequent changes in its proliferation, differentiation, or activation. In this review, we highlight the role of the soluble type I cytokine receptor CRLF1 (cytokine receptor-like factor-1) and the Interleukin (IL)-6 cytokine CLCF1 (cardiotrophin-like cytokine factor 1) during development in physiological and pathological conditions with particular emphasis on Crisponi/cold-induced sweating syndrome (CS/CISS) and discuss new insights, challenges and possibilities arising from recent studies.","container-title":"International Journal of Molecular Sciences","DOI":"10.3390/ijms23020992","ISSN":"1422-0067","issue":"2","language":"en","license":"http://creativecommons.org/licenses/by/3.0/","note":"number: 2\npublisher: Multidisciplinary Digital Publishing Institute","page":"992","source":"www.mdpi.com","title":"CRLF1 and CLCF1 in Development, Health and Disease","volume":"23","author":[{"family":"Crisponi","given":"Laura"},{"family":"Buers","given":"Insa"},{"family":"Rutsch","given":"Frank"}],"issued":{"date-parts":[["2022",1]]}}},{"id":"yYDU4LE6/sD0A55zU","uris":["http://zotero.org/users/local/FCDre8wk/items/M4PKHNE2"],"itemData":{"id":774,"type":"article-journal","abstract":"The balance between osteogenesis and adipogenesis of mesenchymal stem cells (MSCs) is critical to skeletal development and diseases. As a research hotspot, circular RNAs (circRNAs) have expanded our understanding of a hidden layer of the transcriptome. Yet, their roles during adipo-osteogenesis remain poorly described.","container-title":"Stem Cell Research &amp; Therapy","DOI":"10.1186/s13287-022-02792-5","ISSN":"1757-6512","issue":"1","journalAbbreviation":"Stem Cell Research &amp; Therapy","page":"106","source":"BioMed Central","title":"Integrative analysis reveals a lineage-specific circular RNA landscape for adipo-osteogenesis of human mesenchymal stem cells","volume":"13","author":[{"family":"Huang","given":"Hai-Bo"},{"family":"Luo","given":"Hai-Tao"},{"family":"Wei","given":"Na-Na"},{"family":"Liu","given":"Miao-Ling"},{"family":"He","given":"Fei"},{"family":"Yang","given":"Wei"},{"family":"Dong","given":"Jun"},{"family":"Yang","given":"Xiao-Fei"},{"family":"Li","given":"Fu-Rong"}],"issued":{"date-parts":[["2022",3,12]]}}}],"schema":"https://github.com/citation-style-language/schema/raw/master/csl-citation.json"} </w:instrText>
            </w:r>
            <w:r w:rsidRPr="0026705F">
              <w:rPr>
                <w:sz w:val="18"/>
                <w:szCs w:val="18"/>
                <w:lang w:val="en-US"/>
              </w:rPr>
              <w:fldChar w:fldCharType="separate"/>
            </w:r>
            <w:r w:rsidR="00873504" w:rsidRPr="0026705F">
              <w:rPr>
                <w:sz w:val="18"/>
                <w:lang w:val="en-US"/>
              </w:rPr>
              <w:t>[11,12]</w:t>
            </w:r>
            <w:r w:rsidRPr="0026705F">
              <w:rPr>
                <w:sz w:val="18"/>
                <w:szCs w:val="18"/>
                <w:lang w:val="en-US"/>
              </w:rPr>
              <w:fldChar w:fldCharType="end"/>
            </w:r>
          </w:p>
        </w:tc>
      </w:tr>
      <w:tr w:rsidR="005A43FA" w:rsidRPr="0026705F" w14:paraId="2E8FF4D8" w14:textId="3EA590BF" w:rsidTr="003B34ED">
        <w:trPr>
          <w:trHeight w:val="407"/>
          <w:jc w:val="center"/>
        </w:trPr>
        <w:tc>
          <w:tcPr>
            <w:tcW w:w="2684" w:type="dxa"/>
            <w:shd w:val="clear" w:color="auto" w:fill="auto"/>
            <w:tcMar>
              <w:top w:w="100" w:type="dxa"/>
              <w:left w:w="100" w:type="dxa"/>
              <w:bottom w:w="100" w:type="dxa"/>
              <w:right w:w="100" w:type="dxa"/>
            </w:tcMar>
          </w:tcPr>
          <w:p w14:paraId="00000133" w14:textId="77777777" w:rsidR="005A43FA" w:rsidRPr="0026705F" w:rsidRDefault="005A43FA">
            <w:pPr>
              <w:widowControl w:val="0"/>
              <w:spacing w:after="160" w:line="256" w:lineRule="auto"/>
              <w:rPr>
                <w:i/>
                <w:sz w:val="18"/>
                <w:szCs w:val="18"/>
                <w:lang w:val="en-US"/>
              </w:rPr>
            </w:pPr>
            <w:r w:rsidRPr="0026705F">
              <w:rPr>
                <w:i/>
                <w:sz w:val="18"/>
                <w:szCs w:val="18"/>
                <w:lang w:val="en-US"/>
              </w:rPr>
              <w:t>Imprinted Maternally Expressed Noncoding Transcript (H19)</w:t>
            </w:r>
          </w:p>
          <w:p w14:paraId="00000134"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*103280)</w:t>
            </w:r>
          </w:p>
        </w:tc>
        <w:tc>
          <w:tcPr>
            <w:tcW w:w="5670" w:type="dxa"/>
            <w:shd w:val="clear" w:color="auto" w:fill="auto"/>
            <w:tcMar>
              <w:top w:w="100" w:type="dxa"/>
              <w:left w:w="100" w:type="dxa"/>
              <w:bottom w:w="100" w:type="dxa"/>
              <w:right w:w="100" w:type="dxa"/>
            </w:tcMar>
          </w:tcPr>
          <w:p w14:paraId="00000135"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Long non-coding RNA, shows higher levels of expression in various cancers including breast, bladder, and oral squamous cell carcinoma. Associated with aging and inflammation. Participates in osteogenic differentiation.</w:t>
            </w:r>
          </w:p>
        </w:tc>
        <w:tc>
          <w:tcPr>
            <w:tcW w:w="1134" w:type="dxa"/>
          </w:tcPr>
          <w:p w14:paraId="70AEB73E" w14:textId="7737416A" w:rsidR="005A43FA" w:rsidRPr="0026705F" w:rsidRDefault="005A43FA">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A1xqmn6R","properties":{"formattedCitation":"[13,14]","plainCitation":"[13,14]","noteIndex":0},"citationItems":[{"id":"yYDU4LE6/k5ziuvBh","uris":["http://zotero.org/users/local/FCDre8wk/items/TUSHIIQW"],"itemData":{"id":780,"type":"article-journal","abstract":"Accumulating evidence suggests that long non-coding RNA H19 correlates with several aging processes. However, the role of H19 in aging remains unclear. Many studies have elucidated a close connection between H19 and inflammatory genes. Chronic systemic inflammation is an established factor associated with various diseases during aging. Thus, H19 might participate in the development of age-related diseases by interplay with inflammation and therefore provide a protective function against age-related diseases. We investigated the inflammatory gene network of H19 to understand its regulatory mechanisms. H19 usually controls gene expression by acting as a microRNA sponge, or through mir-675, or by leading various protein complexes to genes at the chromosome level. The regulatory gene network has been intensively studied, whereas the biogenesis of H19 remains largely unknown. This literature review found that the epithelial-mesenchymal transition (EMT) and an imprinting gene network (IGN) might link H19 with inflammation. Evidence indicates that EMT and IGN are also tightly controlled by environmental stress. We propose that H19 is a stress-induced long non-coding RNA. Because environmental stress is a recognized age-related factor, inflammation and H19 might serve as a therapeutic axis to fight against age-related diseases.","container-title":"Frontiers in Immunology","ISSN":"1664-3224","source":"Frontiers","title":"The Roles of H19 in Regulating Inflammation and Aging","URL":"https://www.frontiersin.org/articles/10.3389/fimmu.2020.579687","volume":"11","author":[{"family":"Wang","given":"Bin"},{"family":"Suen","given":"Chun Wai"},{"family":"Ma","given":"Haibin"},{"family":"Wang","given":"Yan"},{"family":"Kong","given":"Ling"},{"family":"Qin","given":"Dajiang"},{"family":"Lee","given":"Yuk Wai Wayne"},{"family":"Li","given":"Gang"}],"accessed":{"date-parts":[["2023",10,11]]},"issued":{"date-parts":[["2020"]]}}},{"id":"yYDU4LE6/hlCquSZW","uris":["http://zotero.org/users/local/FCDre8wk/items/BZJQDL2Y"],"itemData":{"id":778,"type":"article-journal","abstract":"Osteogenic differentiation and bone regeneration are complex processes involving multiple genes and multiple steps. In this review, we summarize the effects of the long noncoding RNA (lncRNA) H19 on osteogenic differentiation.","container-title":"Stem Cell Research &amp; Therapy","DOI":"10.1186/s13287-021-02149-4","ISSN":"1757-6512","issue":"1","journalAbbreviation":"Stem Cell Research &amp; Therapy","page":"74","source":"BioMed Central","title":"Involvement of the long noncoding RNA H19 in osteogenic differentiation and bone regeneration","volume":"12","author":[{"family":"Zhou","given":"Zimo"},{"family":"Hossain","given":"Mohammad Showkat"},{"family":"Liu","given":"Da"}],"issued":{"date-parts":[["2021",1,21]]}}}],"schema":"https://github.com/citation-style-language/schema/raw/master/csl-citation.json"} </w:instrText>
            </w:r>
            <w:r w:rsidRPr="0026705F">
              <w:rPr>
                <w:sz w:val="18"/>
                <w:szCs w:val="18"/>
                <w:lang w:val="en-US"/>
              </w:rPr>
              <w:fldChar w:fldCharType="separate"/>
            </w:r>
            <w:r w:rsidR="00873504" w:rsidRPr="0026705F">
              <w:rPr>
                <w:sz w:val="18"/>
                <w:lang w:val="en-US"/>
              </w:rPr>
              <w:t>[13,14]</w:t>
            </w:r>
            <w:r w:rsidRPr="0026705F">
              <w:rPr>
                <w:sz w:val="18"/>
                <w:szCs w:val="18"/>
                <w:lang w:val="en-US"/>
              </w:rPr>
              <w:fldChar w:fldCharType="end"/>
            </w:r>
          </w:p>
        </w:tc>
      </w:tr>
      <w:tr w:rsidR="005A43FA" w:rsidRPr="0026705F" w14:paraId="63B0C561" w14:textId="79B8A6C7" w:rsidTr="003B34ED">
        <w:trPr>
          <w:trHeight w:val="949"/>
          <w:jc w:val="center"/>
        </w:trPr>
        <w:tc>
          <w:tcPr>
            <w:tcW w:w="2684" w:type="dxa"/>
            <w:shd w:val="clear" w:color="auto" w:fill="auto"/>
            <w:tcMar>
              <w:top w:w="100" w:type="dxa"/>
              <w:left w:w="100" w:type="dxa"/>
              <w:bottom w:w="100" w:type="dxa"/>
              <w:right w:w="100" w:type="dxa"/>
            </w:tcMar>
          </w:tcPr>
          <w:p w14:paraId="00000136" w14:textId="77777777" w:rsidR="005A43FA" w:rsidRPr="0026705F" w:rsidRDefault="005A43FA">
            <w:pPr>
              <w:widowControl w:val="0"/>
              <w:spacing w:after="160" w:line="256" w:lineRule="auto"/>
              <w:rPr>
                <w:i/>
                <w:sz w:val="18"/>
                <w:szCs w:val="18"/>
                <w:lang w:val="en-US"/>
              </w:rPr>
            </w:pPr>
            <w:r w:rsidRPr="0026705F">
              <w:rPr>
                <w:i/>
                <w:sz w:val="18"/>
                <w:szCs w:val="18"/>
                <w:lang w:val="en-US"/>
              </w:rPr>
              <w:t>Elastin (ELN)</w:t>
            </w:r>
          </w:p>
          <w:p w14:paraId="00000137"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*130160)</w:t>
            </w:r>
          </w:p>
        </w:tc>
        <w:tc>
          <w:tcPr>
            <w:tcW w:w="5670" w:type="dxa"/>
            <w:shd w:val="clear" w:color="auto" w:fill="auto"/>
            <w:tcMar>
              <w:top w:w="100" w:type="dxa"/>
              <w:left w:w="100" w:type="dxa"/>
              <w:bottom w:w="100" w:type="dxa"/>
              <w:right w:w="100" w:type="dxa"/>
            </w:tcMar>
          </w:tcPr>
          <w:p w14:paraId="00000138" w14:textId="2CD8ABD4" w:rsidR="005A43FA" w:rsidRPr="0026705F" w:rsidRDefault="005A43FA" w:rsidP="006A4790">
            <w:pPr>
              <w:widowControl w:val="0"/>
              <w:spacing w:after="160" w:line="256" w:lineRule="auto"/>
              <w:rPr>
                <w:sz w:val="18"/>
                <w:szCs w:val="18"/>
                <w:lang w:val="en-US"/>
              </w:rPr>
            </w:pPr>
            <w:r w:rsidRPr="0026705F">
              <w:rPr>
                <w:sz w:val="18"/>
                <w:szCs w:val="18"/>
                <w:lang w:val="en-US"/>
              </w:rPr>
              <w:t>ELN proliferates mainly during prenatal development. In adulthood, its synthesis is inhibited. Elastin monomer-</w:t>
            </w:r>
            <w:proofErr w:type="spellStart"/>
            <w:r w:rsidR="006A4790" w:rsidRPr="0026705F">
              <w:rPr>
                <w:sz w:val="18"/>
                <w:szCs w:val="18"/>
                <w:lang w:val="en-US"/>
              </w:rPr>
              <w:t>t</w:t>
            </w:r>
            <w:r w:rsidRPr="0026705F">
              <w:rPr>
                <w:sz w:val="18"/>
                <w:szCs w:val="18"/>
                <w:lang w:val="en-US"/>
              </w:rPr>
              <w:t>ropoelastin</w:t>
            </w:r>
            <w:proofErr w:type="spellEnd"/>
            <w:r w:rsidRPr="0026705F">
              <w:rPr>
                <w:sz w:val="18"/>
                <w:szCs w:val="18"/>
                <w:lang w:val="en-US"/>
              </w:rPr>
              <w:t xml:space="preserve"> builds elastic fibers. Responsible for vascular smooth muscle proliferation and organization. It is found in the aorta, lungs, or ligaments.</w:t>
            </w:r>
          </w:p>
        </w:tc>
        <w:tc>
          <w:tcPr>
            <w:tcW w:w="1134" w:type="dxa"/>
          </w:tcPr>
          <w:p w14:paraId="3BE317CE" w14:textId="4E9DD053" w:rsidR="005A43FA" w:rsidRPr="0026705F" w:rsidRDefault="00B53BCB">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zZU2dJCb","properties":{"formattedCitation":"[15,16]","plainCitation":"[15,16]","noteIndex":0},"citationItems":[{"id":"yYDU4LE6/dqgiK75X","uris":["http://zotero.org/users/local/FCDre8wk/items/X4NSTH63"],"itemData":{"id":785,"type":"article-journal","container-title":"Molecular Therapy - Nucleic Acids","DOI":"10.1016/j.omtn.2018.03.013","ISSN":"2162-2531","journalAbbreviation":"Molecular Therapy - Nucleic Acids","language":"English","note":"publisher: Elsevier\nPMID: 29858082","page":"475-484","source":"www.cell.com","title":"De Novo Synthesis of Elastin by Exogenous Delivery of Synthetic Modified mRNA into Skin and Elastin-Deficient Cells","volume":"11","author":[{"family":"Lescan","given":"Mario"},{"family":"Perl","given":"Regine Mariette"},{"family":"Golombek","given":"Sonia"},{"family":"Pilz","given":"Martin"},{"family":"Hann","given":"Ludmilla"},{"family":"Yasmin","given":"Mahua"},{"family":"Behring","given":"Andreas"},{"family":"Keller","given":"Timea"},{"family":"Nolte","given":"Andrea"},{"family":"Gruhn","given":"Franziska"},{"family":"Kochba","given":"Efrat"},{"family":"Levin","given":"Yotam"},{"family":"Schlensak","given":"Christian"},{"family":"Wendel","given":"Hans Peter"},{"family":"Avci-Adali","given":"Meltem"}],"issued":{"date-parts":[["2018",6,1]]}}},{"id":"yYDU4LE6/dcASC7w9","uris":["http://zotero.org/users/local/FCDre8wk/items/4WZIYR4W"],"itemData":{"id":783,"type":"article-journal","abstract":"Elastic fibers are an important component of the extracellular matrix, providing stretch, resilience, and cell interactivity to a broad range of elastic tissues. Elastin makes up the majority of elastic fibers and is formed by the hierarchical assembly of its monomer, tropoelastin. Our understanding of key aspects of the assembly process have been unclear due to the intrinsic properties of elastin and tropoelastin that render them difficult to study. This review focuses on recent developments that have shaped our current knowledge of elastin assembly through understanding the relationship between tropoelastin’s structure and function.","container-title":"Frontiers in Bioengineering and Biotechnology","ISSN":"2296-4185","source":"Frontiers","title":"Tropoelastin and Elastin Assembly","URL":"https://www.frontiersin.org/articles/10.3389/fbioe.2021.643110","volume":"9","author":[{"family":"Ozsvar","given":"Jazmin"},{"family":"Yang","given":"Chengeng"},{"family":"Cain","given":"Stuart A."},{"family":"Baldock","given":"Clair"},{"family":"Tarakanova","given":"Anna"},{"family":"Weiss","given":"Anthony S."}],"accessed":{"date-parts":[["2023",10,11]]},"issued":{"date-parts":[["2021"]]}}}],"schema":"https://github.com/citation-style-language/schema/raw/master/csl-citation.json"} </w:instrText>
            </w:r>
            <w:r w:rsidRPr="0026705F">
              <w:rPr>
                <w:sz w:val="18"/>
                <w:szCs w:val="18"/>
                <w:lang w:val="en-US"/>
              </w:rPr>
              <w:fldChar w:fldCharType="separate"/>
            </w:r>
            <w:r w:rsidR="00873504" w:rsidRPr="0026705F">
              <w:rPr>
                <w:sz w:val="18"/>
                <w:lang w:val="en-US"/>
              </w:rPr>
              <w:t>[15,16]</w:t>
            </w:r>
            <w:r w:rsidRPr="0026705F">
              <w:rPr>
                <w:sz w:val="18"/>
                <w:szCs w:val="18"/>
                <w:lang w:val="en-US"/>
              </w:rPr>
              <w:fldChar w:fldCharType="end"/>
            </w:r>
          </w:p>
        </w:tc>
      </w:tr>
      <w:tr w:rsidR="005A43FA" w:rsidRPr="0026705F" w14:paraId="0F90FBF3" w14:textId="121508E3" w:rsidTr="003B34ED">
        <w:trPr>
          <w:trHeight w:val="966"/>
          <w:jc w:val="center"/>
        </w:trPr>
        <w:tc>
          <w:tcPr>
            <w:tcW w:w="2684" w:type="dxa"/>
            <w:shd w:val="clear" w:color="auto" w:fill="auto"/>
            <w:tcMar>
              <w:top w:w="100" w:type="dxa"/>
              <w:left w:w="100" w:type="dxa"/>
              <w:bottom w:w="100" w:type="dxa"/>
              <w:right w:w="100" w:type="dxa"/>
            </w:tcMar>
          </w:tcPr>
          <w:p w14:paraId="00000139" w14:textId="77777777" w:rsidR="005A43FA" w:rsidRPr="0026705F" w:rsidRDefault="005A43FA">
            <w:pPr>
              <w:widowControl w:val="0"/>
              <w:spacing w:after="160" w:line="256" w:lineRule="auto"/>
              <w:rPr>
                <w:i/>
                <w:sz w:val="18"/>
                <w:szCs w:val="18"/>
                <w:lang w:val="en-US"/>
              </w:rPr>
            </w:pPr>
            <w:r w:rsidRPr="0026705F">
              <w:rPr>
                <w:i/>
                <w:sz w:val="18"/>
                <w:szCs w:val="18"/>
                <w:lang w:val="en-US"/>
              </w:rPr>
              <w:t>Microfibrillar-Associated Protein 5 (MFAP5)</w:t>
            </w:r>
          </w:p>
          <w:p w14:paraId="0000013A"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*601103)</w:t>
            </w:r>
          </w:p>
        </w:tc>
        <w:tc>
          <w:tcPr>
            <w:tcW w:w="5670" w:type="dxa"/>
            <w:shd w:val="clear" w:color="auto" w:fill="auto"/>
            <w:tcMar>
              <w:top w:w="100" w:type="dxa"/>
              <w:left w:w="100" w:type="dxa"/>
              <w:bottom w:w="100" w:type="dxa"/>
              <w:right w:w="100" w:type="dxa"/>
            </w:tcMar>
          </w:tcPr>
          <w:p w14:paraId="0000013B"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 xml:space="preserve">MFAP5 is present in the microfibrils of the elastin crosslink in various tissues including adipose tissue. Is highly expressed in osteoblasts. Associated with cell signaling in microfibril assembling, </w:t>
            </w:r>
            <w:proofErr w:type="spellStart"/>
            <w:r w:rsidRPr="0026705F">
              <w:rPr>
                <w:sz w:val="18"/>
                <w:szCs w:val="18"/>
                <w:lang w:val="en-US"/>
              </w:rPr>
              <w:t>elastogenesis</w:t>
            </w:r>
            <w:proofErr w:type="spellEnd"/>
            <w:r w:rsidRPr="0026705F">
              <w:rPr>
                <w:sz w:val="18"/>
                <w:szCs w:val="18"/>
                <w:lang w:val="en-US"/>
              </w:rPr>
              <w:t>, and cell viability. Furthermore, MFAP5 has pro-angiogenic effects.</w:t>
            </w:r>
          </w:p>
        </w:tc>
        <w:tc>
          <w:tcPr>
            <w:tcW w:w="1134" w:type="dxa"/>
          </w:tcPr>
          <w:p w14:paraId="4C02B824" w14:textId="5557D5D0" w:rsidR="005A43FA" w:rsidRPr="0026705F" w:rsidRDefault="00B53BCB">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J25qlJVZ","properties":{"formattedCitation":"[17,18]","plainCitation":"[17,18]","noteIndex":0},"citationItems":[{"id":"yYDU4LE6/pjaZgP67","uris":["http://zotero.org/users/local/FCDre8wk/items/GP6FACX7"],"itemData":{"id":790,"type":"article-journal","abstract":"Dysfunctional osteogenesis of bone marrow mesenchymal stem cells (BMSCs) plays an important role in osteoporosis occurrence and development. However, the molecular mechanisms of osteogenic differentiation remain unclear. This study explored whether microfibrillar-associated protein 5 (MFAP5) regulated BMSCs osteogenic differentiation.","container-title":"Molecular Medicine","DOI":"10.1186/s10020-021-00413-0","ISSN":"1528-3658","issue":"1","journalAbbreviation":"Molecular Medicine","page":"153","source":"BioMed Central","title":"Microfibrillar-associated protein 5 regulates osteogenic differentiation by modulating the Wnt/β-catenin and AMPK signaling pathways","volume":"27","author":[{"family":"Li","given":"Haoran"},{"family":"Zhou","given":"Wuling"},{"family":"Sun","given":"Shiwei"},{"family":"Zhang","given":"Tianlong"},{"family":"Zhang","given":"Tieqi"},{"family":"Huang","given":"Haitian"},{"family":"Wang","given":"Minghai"}],"issued":{"date-parts":[["2021",12,5]]}}},{"id":"yYDU4LE6/txbThZqe","uris":["http://zotero.org/users/local/FCDre8wk/items/PFFXHH2L"],"itemData":{"id":788,"type":"article-journal","abstract":"Objective Low-grade inflammation is involved in adipose tissue (AT) and extracellular matrix (ECM) remodeling and induces deposition of ECM proteins in AT. We have previously shown that MFAP5 (microfibrillar-associated protein 5) expression decreases in AT after weight loss. The aim of this study was to investigate MFAP5 localization in human AT and gene expression in adipocytes and the role of MFAP5 in adipocyte metabolism and inflammation. Methods MFAP5 protein localization and gene expression were studied with immunohistochemistry and quantitative reverse transcriptase PCR (RT-qPCR) in human subcutaneous AT and cultured Simpson-Golabi-Behmel syndrome (SGBS) adipocytes, respectively. The effect of MFAP5 knock-down by siRNA on gene expression and insulin action was examined with RT-qPCR, western blot, and insulin-stimulated glucose uptake. The effect of different cytokines on MFAP5 gene and protein expression was investigated in cultured human SGBS preadipocytes. Results MFAP5 protein was highly expressed in AT, and gene expression decreased during adipocyte differentiation in SGBS cells. Treatment of preadipocytes with TNFα and TGFβ1 increased MFAP5 gene and protein expression. Furthermore, MFAP5 knock-down decreased the expression of genes involved in inflammation. Conclusions Our results demonstrate that factors involving low-grade inflammation modulate MFAP5 expression and that the modified expression of MFAP5 may further regulate AT inflammation.","container-title":"Obesity","DOI":"10.1002/oby.21103","ISSN":"1930-739X","issue":"7","language":"en","license":"© 2015 The Obesity Society","note":"_eprint: https://onlinelibrary.wiley.com/doi/pdf/10.1002/oby.21103","page":"1371-1378","source":"Wiley Online Library","title":"MFAP5 is related to obesity-associated adipose tissue and extracellular matrix remodeling and inflammation","volume":"23","author":[{"family":"Vaittinen","given":"Maija"},{"family":"Kolehmainen","given":"Marjukka"},{"family":"Rydén","given":"Mikael"},{"family":"Eskelinen","given":"Matti"},{"family":"Wabitsch","given":"Martin"},{"family":"Pihlajamäki","given":"Jussi"},{"family":"Uusitupa","given":"Matti"},{"family":"Pulkkinen","given":"Leena"}],"issued":{"date-parts":[["2015"]]}}}],"schema":"https://github.com/citation-style-language/schema/raw/master/csl-citation.json"} </w:instrText>
            </w:r>
            <w:r w:rsidRPr="0026705F">
              <w:rPr>
                <w:sz w:val="18"/>
                <w:szCs w:val="18"/>
                <w:lang w:val="en-US"/>
              </w:rPr>
              <w:fldChar w:fldCharType="separate"/>
            </w:r>
            <w:r w:rsidR="00873504" w:rsidRPr="0026705F">
              <w:rPr>
                <w:sz w:val="18"/>
                <w:lang w:val="en-US"/>
              </w:rPr>
              <w:t>[17,18]</w:t>
            </w:r>
            <w:r w:rsidRPr="0026705F">
              <w:rPr>
                <w:sz w:val="18"/>
                <w:szCs w:val="18"/>
                <w:lang w:val="en-US"/>
              </w:rPr>
              <w:fldChar w:fldCharType="end"/>
            </w:r>
          </w:p>
        </w:tc>
      </w:tr>
      <w:tr w:rsidR="005A43FA" w:rsidRPr="0026705F" w14:paraId="481E475C" w14:textId="1F5F2874" w:rsidTr="003B34ED">
        <w:trPr>
          <w:trHeight w:val="145"/>
          <w:jc w:val="center"/>
        </w:trPr>
        <w:tc>
          <w:tcPr>
            <w:tcW w:w="2684" w:type="dxa"/>
            <w:shd w:val="clear" w:color="auto" w:fill="auto"/>
            <w:tcMar>
              <w:top w:w="100" w:type="dxa"/>
              <w:left w:w="100" w:type="dxa"/>
              <w:bottom w:w="100" w:type="dxa"/>
              <w:right w:w="100" w:type="dxa"/>
            </w:tcMar>
          </w:tcPr>
          <w:p w14:paraId="0000013C" w14:textId="77777777" w:rsidR="005A43FA" w:rsidRPr="0026705F" w:rsidRDefault="005A43FA">
            <w:pPr>
              <w:widowControl w:val="0"/>
              <w:spacing w:after="160" w:line="256" w:lineRule="auto"/>
              <w:rPr>
                <w:i/>
                <w:sz w:val="18"/>
                <w:szCs w:val="18"/>
                <w:lang w:val="en-US"/>
              </w:rPr>
            </w:pPr>
            <w:r w:rsidRPr="0026705F">
              <w:rPr>
                <w:i/>
                <w:sz w:val="18"/>
                <w:szCs w:val="18"/>
                <w:lang w:val="en-US"/>
              </w:rPr>
              <w:t>Small Nucleolar RNA Host Gene 5 (SNHG5)</w:t>
            </w:r>
          </w:p>
          <w:p w14:paraId="0000013D"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*613263)</w:t>
            </w:r>
          </w:p>
        </w:tc>
        <w:tc>
          <w:tcPr>
            <w:tcW w:w="5670" w:type="dxa"/>
            <w:shd w:val="clear" w:color="auto" w:fill="auto"/>
            <w:tcMar>
              <w:top w:w="100" w:type="dxa"/>
              <w:left w:w="100" w:type="dxa"/>
              <w:bottom w:w="100" w:type="dxa"/>
              <w:right w:w="100" w:type="dxa"/>
            </w:tcMar>
          </w:tcPr>
          <w:p w14:paraId="0000013E"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Long non-coding RNA.  Present in various disorders such as melanoma, gastric cancer, and colorectal cancer. Oncogene in the formation of liver cancers.</w:t>
            </w:r>
          </w:p>
        </w:tc>
        <w:tc>
          <w:tcPr>
            <w:tcW w:w="1134" w:type="dxa"/>
          </w:tcPr>
          <w:p w14:paraId="209FA8C8" w14:textId="5B2E58CD" w:rsidR="005A43FA" w:rsidRPr="0026705F" w:rsidRDefault="00B53BCB">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XC7NCpXS","properties":{"formattedCitation":"[19,20]","plainCitation":"[19,20]","noteIndex":0},"citationItems":[{"id":"yYDU4LE6/1vdTSqr1","uris":["http://zotero.org/users/local/FCDre8wk/items/P4RTYEDS"],"itemData":{"id":794,"type":"article-journal","abstract":"Latest Advances of Long Non-Coding RNA SNHG5 in Human Cancers","container-title":"OncoTargets and Therapy","DOI":"10.2147/OTT.S252750","journalAbbreviation":"OTT","language":"English","note":"publisher: Dove Press","page":"6393-6403","source":"www.dovepress.com","title":"&lt;p&gt;Latest Advances of Long Non-Coding RNA SNHG5 in Human Cancers&lt;/p&gt;","volume":"13","author":[{"family":"Han","given":"Wei"},{"family":"Shi","given":"Jia"},{"family":"Cao","given":"Jiachao"},{"family":"Dong","given":"Bo"},{"family":"Guan","given":"Wei"}],"issued":{"date-parts":[["2020",7,1]]}}},{"id":"yYDU4LE6/tO8gLy9B","uris":["http://zotero.org/users/local/FCDre8wk/items/93826HBS"],"itemData":{"id":793,"type":"article-journal","abstract":"Accumulating evidence have suggested that long non-coding RNAs (lncRNAs) had malfunctioning roles in the development of human cancers. The present study aimed to investigate the role of lncRNA small nucleolar RNA host gene 5 (SNHG5) in hepatocellular carcinoma (HCC) progression using human tissues and cell lines. The quantitative real-time PCR results showed that SNHG5 was up-regulated in both HCC tissues and hepatoma cell lines and was closely associated with tumor size, hepatitis B virus infection, histologic grade, TNM stage, and portal vein tumor thrombus (PVTT) in HCC patients. Knockdown of SNHG5 induced apoptosis and repressed cell cycle progression, cell growth, and metastasis in hepatoma cell lines, whereas overexpression of SNHG5 had the opposite effects. In vivo functional assay, xenograft tumors grown from SNHG5-knockdown cells had smaller mean volumes than the tumors grown from negative control cells. Further investigations showed that SNHG5 may act as a competing endogenous RNA by competitively binding miR-26a-5p and thereby modulating the derepression of downstream target GSK3β, which were further confirmed by luciferase reporter assay. Functionally, SNHG5 promotes tumor growth and metastasis by activating Wnt/β-catenin pathway and inducing epithelial to mesenchymal transition (EMT). Taken together, SNHG5 promotes HCC progression by competitively binding miR-26a-5p and regulating GSK3β and Wnt/β-catenin signal pathway.","container-title":"Cell Death &amp; Disease","DOI":"10.1038/s41419-018-0882-5","ISSN":"2041-4889","issue":"9","journalAbbreviation":"Cell Death Dis","language":"en","license":"2018 The Author(s)","note":"number: 9\npublisher: Nature Publishing Group","page":"1-15","source":"www.nature.com","title":"Long non-coding RNA SNHG5 promotes human hepatocellular carcinoma progression by regulating miR-26a-5p/GSK3β signal pathway","volume":"9","author":[{"family":"Li","given":"Yarui"},{"family":"Guo","given":"Dan"},{"family":"Zhao","given":"Yan"},{"family":"Ren","given":"Mudan"},{"family":"Lu","given":"Guifang"},{"family":"Wang","given":"Yun"},{"family":"Zhang","given":"Juan"},{"family":"Mi","given":"Chen"},{"family":"He","given":"Shuixiang"},{"family":"Lu","given":"Xinlan"}],"issued":{"date-parts":[["2018",8,30]]}}}],"schema":"https://github.com/citation-style-language/schema/raw/master/csl-citation.json"} </w:instrText>
            </w:r>
            <w:r w:rsidRPr="0026705F">
              <w:rPr>
                <w:sz w:val="18"/>
                <w:szCs w:val="18"/>
                <w:lang w:val="en-US"/>
              </w:rPr>
              <w:fldChar w:fldCharType="separate"/>
            </w:r>
            <w:r w:rsidR="00873504" w:rsidRPr="0026705F">
              <w:rPr>
                <w:sz w:val="18"/>
                <w:lang w:val="en-US"/>
              </w:rPr>
              <w:t>[19,20]</w:t>
            </w:r>
            <w:r w:rsidRPr="0026705F">
              <w:rPr>
                <w:sz w:val="18"/>
                <w:szCs w:val="18"/>
                <w:lang w:val="en-US"/>
              </w:rPr>
              <w:fldChar w:fldCharType="end"/>
            </w:r>
          </w:p>
        </w:tc>
      </w:tr>
      <w:tr w:rsidR="005A43FA" w:rsidRPr="0026705F" w14:paraId="4CA46319" w14:textId="281AD4CD" w:rsidTr="003B34ED">
        <w:trPr>
          <w:trHeight w:val="145"/>
          <w:jc w:val="center"/>
        </w:trPr>
        <w:tc>
          <w:tcPr>
            <w:tcW w:w="2684" w:type="dxa"/>
            <w:shd w:val="clear" w:color="auto" w:fill="auto"/>
            <w:tcMar>
              <w:top w:w="100" w:type="dxa"/>
              <w:left w:w="100" w:type="dxa"/>
              <w:bottom w:w="100" w:type="dxa"/>
              <w:right w:w="100" w:type="dxa"/>
            </w:tcMar>
          </w:tcPr>
          <w:p w14:paraId="0000013F" w14:textId="77777777" w:rsidR="005A43FA" w:rsidRPr="0026705F" w:rsidRDefault="005A43FA">
            <w:pPr>
              <w:widowControl w:val="0"/>
              <w:spacing w:after="160" w:line="256" w:lineRule="auto"/>
              <w:rPr>
                <w:i/>
                <w:sz w:val="18"/>
                <w:szCs w:val="18"/>
                <w:lang w:val="en-US"/>
              </w:rPr>
            </w:pPr>
            <w:proofErr w:type="spellStart"/>
            <w:r w:rsidRPr="0026705F">
              <w:rPr>
                <w:i/>
                <w:sz w:val="18"/>
                <w:szCs w:val="18"/>
                <w:lang w:val="en-US"/>
              </w:rPr>
              <w:t>Periostin</w:t>
            </w:r>
            <w:proofErr w:type="spellEnd"/>
            <w:r w:rsidRPr="0026705F">
              <w:rPr>
                <w:i/>
                <w:sz w:val="18"/>
                <w:szCs w:val="18"/>
                <w:lang w:val="en-US"/>
              </w:rPr>
              <w:t xml:space="preserve"> (POSTN)</w:t>
            </w:r>
          </w:p>
          <w:p w14:paraId="00000140"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*608777)</w:t>
            </w:r>
          </w:p>
        </w:tc>
        <w:tc>
          <w:tcPr>
            <w:tcW w:w="5670" w:type="dxa"/>
            <w:shd w:val="clear" w:color="auto" w:fill="auto"/>
            <w:tcMar>
              <w:top w:w="100" w:type="dxa"/>
              <w:left w:w="100" w:type="dxa"/>
              <w:bottom w:w="100" w:type="dxa"/>
              <w:right w:w="100" w:type="dxa"/>
            </w:tcMar>
          </w:tcPr>
          <w:p w14:paraId="00000141"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Associated with the extracellular matrix, it affects the differentiation and survival of osteoblasts. Found in bones, skin, and tendons. Predictive factor associated with poor prognosis in solid tumors.</w:t>
            </w:r>
          </w:p>
        </w:tc>
        <w:tc>
          <w:tcPr>
            <w:tcW w:w="1134" w:type="dxa"/>
          </w:tcPr>
          <w:p w14:paraId="286295A4" w14:textId="02AE8C32" w:rsidR="005A43FA" w:rsidRPr="0026705F" w:rsidRDefault="00B53BCB" w:rsidP="00873504">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ogVR0AdM","properties":{"formattedCitation":"[21\\uc0\\u8211{}23]","plainCitation":"[21–23]","noteIndex":0},"citationItems":[{"id":"yYDU4LE6/T9QYDcI6","uris":["http://zotero.org/users/local/FCDre8wk/items/F4VWKW6U"],"itemData":{"id":801,"type":"article-journal","abstract":"Tumor microenvironment is considered nowadays as one of the main players in cancer development and progression. Tumor microenvironment is highly complex and consists of non-tumor cells (i.e., cancer-associated fibroblast, endothelial cells, or infiltrating leukocytes) and a large list of extracellular matrix proteins and soluble factors. The way that microenvironment components interact among them and with the tumor cells is very complex and only partially understood. However, it is now clear that these interactions govern and modulate many of the cancer hallmarks such as cell proliferation, the resistance to death, the differentiation state of tumor cells, their ability to migrate and metastasize, and the immune response against tumor cells. One of the microenvironment components that have emerged in the last years with strength is a heterogeneous group of multifaceted proteins grouped under the name of matricellular proteins. Matricellular proteins are a family of non-structural matrix proteins that regulate a variety of biological processes in normal and pathological situations. Many components of this family such as periostin (POSTN), osteopontin (SPP1), or the CNN family of proteins have been shown to regulate key aspect of tumor biology, including proliferation, invasion, matrix remodeling, and dissemination to pre-metastatic niches in distant organs. Matricellular proteins can be produced by tumor cells themselves or by tumor-associated cells, and their synthesis can be affected by intrinsic and/or extrinsic tumor cell factors. In this review, we will focus on the role of POSTN in the development and progression of cancer. We will describe their functions in normal tissues and the mechanisms involved in their regulation. We will analyze the tumors in which their expression is altered and their usefulness as a biomarker of tumor progression. Finally, we will speculate about future directions for research and therapeutic approaches targeting POSTN.","container-title":"Frontiers in Oncology","ISSN":"2234-943X","source":"Frontiers","title":"Periostin: A Matricellular Protein With Multiple Functions in Cancer Development and Progression","title-short":"Periostin","URL":"https://www.frontiersin.org/articles/10.3389/fonc.2018.00225","volume":"8","author":[{"family":"González-González","given":"Laura"},{"family":"Alonso","given":"Javier"}],"accessed":{"date-parts":[["2023",10,11]]},"issued":{"date-parts":[["2018"]]}}},{"id":"yYDU4LE6/So6Z9mzA","uris":["http://zotero.org/users/local/FCDre8wk/items/CPHLEPX6"],"itemData":{"id":800,"type":"article-journal","abstract":"Steroid-induced osteonecrosis of femoral head (SONFH) is a common and serious complication caused by long-term and/or excessive use of glucocorticoids (GCs). The decreased activity and abnormal differentiation of bone marrow mesenchymal stem cells (BMSCs) are considered to be one of the major reasons for the onset and progression of this disease. Periostin (POSTN) is a matricellular protein which plays an important role in regulating osteoblast function and bone formation. Sclerostin (SOST) is a secreted antagonist of Wnt signaling that is mainly expressed in osteocytes to inhibit bone formation. However, the exact role of POSTN and SOST in SONFH has not been reported yet. Therefore, we detected the differential expression of POSTN and SOST in BMSCs of SONFH Group patients, and Control Group was patients with traumatic ONFH (TONFH) and developmental dysplasia of the hip (DDH). Furthermore, we used lentiviral transfection to knockdown POSTN expression in BMSCs of patients with SONFH to study the effect of POSTN knockdown on the SOST expression and osteogenic differentiation of BMSCs. The results indicated that the endogenous expression of POSTN and SOST in BMSCs of SONFH Group was upregulated, compared with Control Group. POSTN was upregulated gradually while SOST was downregulated gradually at days 0, 3, and 7 of osteogenic differentiation of BMSCs in Control Group. Contrarily, POSTN was gradually downregulated while SOST was gradually upregulated during osteogenic differentiation of BMSCs in SONFH Group. This could be due to increased expression of SOST in BMSCs, which was caused by excessive GCs. In turn, the increased expression of POSTN in BMSCs may play a role in antagonizing the continuous rising of SOST during the osteogenic differentiation of BMSCs in patients with SONFH. POSTN knockdown significantly attenuated osteo-specific gene expression, alkaline phosphatase activity, and calcium nodule formation in vitro; thus inhibiting the osteogenic differentiation of BMSCs in patients with SONFH. Besides, POSTN knockdown upregulated SOST expression, increased GSK-3β activity, and downregulated β-catenin. These findings suggest that POSTN have an essential role in regulating the expression of SOST and osteogenic differentiation of BMSCs in patients with SONFH, and POSTN knockdown suppresses osteogenic differentiation by upregulating SOST and partially inactivating Wnt/β-catenin signaling pathway. Therefore, targeting POSTN and SOST may serve as a promising therapeutic target for the prevention and treatment of SONFH.","container-title":"Frontiers in Cell and Developmental Biology","ISSN":"2296-634X","source":"Frontiers","title":"Knockdown of POSTN Inhibits Osteogenic Differentiation of Mesenchymal Stem Cells From Patients With Steroid-Induced Osteonecrosis","URL":"https://www.frontiersin.org/articles/10.3389/fcell.2020.606289","volume":"8","author":[{"family":"Han","given":"Lizhi"},{"family":"Gong","given":"Song"},{"family":"Wang","given":"Ruoyu"},{"family":"Liu","given":"Shaokai"},{"family":"Wang","given":"Bo"},{"family":"Chen","given":"Guo"},{"family":"Gong","given":"Tianlun"},{"family":"Xu","given":"Weihua"}],"accessed":{"date-parts":[["2023",10,11]]},"issued":{"date-parts":[["2020"]]}}},{"id":"yYDU4LE6/0jy2qUsv","uris":["http://zotero.org/users/local/FCDre8wk/items/SJIV2LRP"],"itemData":{"id":797,"type":"article-journal","abstract":"Erythropoietin-producing hepatocyte B4 (EphB4) has been reported to be a key molecular switch in the regulation of bone homeostasis, but the underlying mechanism remains poorly understood. In this study, we investigated the role of EphB4 in regulating the expression of periostin (POSTN) within bone marrow-derived mesenchymal stem cells (MSCs) and assessed its effect and molecular mechanism of osteogenic induction in vitro. Treatment with ephrinB2-FC significantly increased the expression of POSTN in MSCs, and the inhibition of EphB4 could abrogate this effect. In addition, osteogenic markers were upregulated especially in MSCs overexpressing EphB4. To elucidate the underlying mechanism of cross talk between EphB4 and the Wnt pathway, we detected the change in protein expression of phosphorylated-glycogen synthase kinase 3β-serine 9 (p-GSK-3β-Ser9) and β-catenin, as well as the osteogenic markers Runx2 and COL1. The results showed that GSK-3β activation and osteogenic marker expression levels were downregulated by ephrinB2-FC treatment, but these effects were inhibited by blocking integrin αvβ3 in MSCs. Our findings demonstrate that EphB4 can promote osteogenic differentiation of MSCs via upregulation of POSTN expression. It not only helps to reveal the interaction mechanism between EphB4 and Wnt pathway but also brings a better understanding of EphB4/ephrinB2 signaling in bone homeostasis.","container-title":"Stem Cells International","DOI":"10.1155/2016/7241829","journalAbbreviation":"Stem Cells International","source":"ResearchGate","title":"Periostin: A Downstream Mediator of EphB4-Induced Osteogenic Differentiation of Human Bone Marrow-Derived Mesenchymal Stem Cells","title-short":"Periostin","volume":"2016","author":[{"family":"Zhang","given":"Fei"},{"family":"Zhang","given":"Zehua"},{"family":"Sun","given":"Dong"},{"family":"Dong","given":"Shiwu"},{"family":"Xu","given":"Jianzhong"},{"family":"Dai","given":"Fei"}],"issued":{"date-parts":[["2015",12,16]]}}}],"schema":"https://github.com/citation-style-language/schema/raw/master/csl-citation.json"} </w:instrText>
            </w:r>
            <w:r w:rsidRPr="0026705F">
              <w:rPr>
                <w:sz w:val="18"/>
                <w:szCs w:val="18"/>
                <w:lang w:val="en-US"/>
              </w:rPr>
              <w:fldChar w:fldCharType="separate"/>
            </w:r>
            <w:r w:rsidR="00873504" w:rsidRPr="0026705F">
              <w:rPr>
                <w:sz w:val="18"/>
                <w:lang w:val="en-US"/>
              </w:rPr>
              <w:t>[21–23]</w:t>
            </w:r>
            <w:r w:rsidRPr="0026705F">
              <w:rPr>
                <w:sz w:val="18"/>
                <w:szCs w:val="18"/>
                <w:lang w:val="en-US"/>
              </w:rPr>
              <w:fldChar w:fldCharType="end"/>
            </w:r>
          </w:p>
        </w:tc>
      </w:tr>
      <w:tr w:rsidR="005A43FA" w:rsidRPr="0026705F" w14:paraId="597A8548" w14:textId="69136DE5" w:rsidTr="003B34ED">
        <w:trPr>
          <w:trHeight w:val="145"/>
          <w:jc w:val="center"/>
        </w:trPr>
        <w:tc>
          <w:tcPr>
            <w:tcW w:w="2684" w:type="dxa"/>
            <w:shd w:val="clear" w:color="auto" w:fill="auto"/>
            <w:tcMar>
              <w:top w:w="100" w:type="dxa"/>
              <w:left w:w="100" w:type="dxa"/>
              <w:bottom w:w="100" w:type="dxa"/>
              <w:right w:w="100" w:type="dxa"/>
            </w:tcMar>
          </w:tcPr>
          <w:p w14:paraId="00000142" w14:textId="77777777" w:rsidR="005A43FA" w:rsidRPr="0026705F" w:rsidRDefault="005A43FA">
            <w:pPr>
              <w:widowControl w:val="0"/>
              <w:spacing w:after="160" w:line="256" w:lineRule="auto"/>
              <w:rPr>
                <w:i/>
                <w:sz w:val="18"/>
                <w:szCs w:val="18"/>
                <w:lang w:val="en-US"/>
              </w:rPr>
            </w:pPr>
            <w:r w:rsidRPr="0026705F">
              <w:rPr>
                <w:i/>
                <w:sz w:val="18"/>
                <w:szCs w:val="18"/>
                <w:lang w:val="en-US"/>
              </w:rPr>
              <w:t xml:space="preserve">Cellular Communication Network Factor 2 (CCN2) </w:t>
            </w:r>
          </w:p>
          <w:p w14:paraId="00000143"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*121009)</w:t>
            </w:r>
          </w:p>
        </w:tc>
        <w:tc>
          <w:tcPr>
            <w:tcW w:w="5670" w:type="dxa"/>
            <w:shd w:val="clear" w:color="auto" w:fill="auto"/>
            <w:tcMar>
              <w:top w:w="100" w:type="dxa"/>
              <w:left w:w="100" w:type="dxa"/>
              <w:bottom w:w="100" w:type="dxa"/>
              <w:right w:w="100" w:type="dxa"/>
            </w:tcMar>
          </w:tcPr>
          <w:p w14:paraId="00000144" w14:textId="77777777" w:rsidR="005A43FA" w:rsidRPr="0026705F" w:rsidRDefault="005A43FA" w:rsidP="006A4790">
            <w:pPr>
              <w:widowControl w:val="0"/>
              <w:pBdr>
                <w:top w:val="nil"/>
                <w:left w:val="nil"/>
                <w:bottom w:val="nil"/>
                <w:right w:val="nil"/>
                <w:between w:val="nil"/>
              </w:pBdr>
              <w:rPr>
                <w:sz w:val="18"/>
                <w:szCs w:val="18"/>
                <w:lang w:val="en-US"/>
              </w:rPr>
            </w:pPr>
            <w:r w:rsidRPr="0026705F">
              <w:rPr>
                <w:sz w:val="18"/>
                <w:szCs w:val="18"/>
                <w:lang w:val="en-US"/>
              </w:rPr>
              <w:t>Present in endothelial cells, chondrocytes, fibroblasts or vascular smooth muscle cells. Participates in cell adhesion, proliferation and differentiation. Associated with the processes of angiogenesis, inflammation, osteogenesis and chondrogenesis.</w:t>
            </w:r>
          </w:p>
        </w:tc>
        <w:tc>
          <w:tcPr>
            <w:tcW w:w="1134" w:type="dxa"/>
          </w:tcPr>
          <w:p w14:paraId="296BE8AC" w14:textId="2E4CD437" w:rsidR="005A43FA" w:rsidRPr="0026705F" w:rsidRDefault="00B53BCB" w:rsidP="00873504">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pmMZDaua","properties":{"formattedCitation":"[24\\uc0\\u8211{}26]","plainCitation":"[24–26]","noteIndex":0},"citationItems":[{"id":"yYDU4LE6/lOqEnAp2","uris":["http://zotero.org/users/local/FCDre8wk/items/7Y9EUNSY"],"itemData":{"id":806,"type":"article-journal","abstract":"Mesenchymal stem cells (MSCs) that overexpress secreted frizzled-related protein 2 (sFRP2) exhibit an enhanced reparative phenotype. The secretomes of sFRP2-overexpressing MSCs and vector control-MSCs were compared through liquid chromatography tandem mass spectrometry. Proteomic profiling revealed that connective tissue growth factor (CTGF; CCN2) was overrepresented in the conditioned media of sFRP2-overexpressing MSCs and MSC-derived CTGF could thus be an important paracrine effector. Subcutaneously implanted, MSC-loaded polyvinyl alcohol (PVA) sponges and stented excisional wounds were used as wound models to study the dynamics of CTGF expression. Granulation tissue generated within the sponges and full-thickness skin wounds showed transient upregulation of CTGF expression by MSCs and fibroblasts, implying a role for this molecule in early tissue repair. Although collagen and COL1A2 mRNA were not increased when recombinant CTGF was administered to sponges during the early phase (day 1–6) of tissue repair, prolonged administration (&gt;15 days) of exogenous CTGF into PVA sponges resulted in fibroblast proliferation and increased deposition of collagen within the experimental granulation tissue. In support of its physiological role, CTGF immunoinhibition during early repair (days 0–7) reduced the quantity, organizational quality and vascularity of experimental granulation tissue in the sponge model. However, CTGF haploinsufficiency was not enough to reduce collagen deposition in excisional wounds. Similar to acute murine wound models, CTGF was transiently present in the early phase of human acute burn wound healing. Together, these results further support a physiological role for CTGF in wound repair and demonstrate that when CTGF expression is confined to early tissue repair, it serves a pro-reparative role. These data also further illustrate the potential of MSC-derived paracrine modulators to enhance tissue repair.","container-title":"Laboratory Investigation","DOI":"10.1038/labinvest.2012.162","ISSN":"1530-0307","issue":"1","journalAbbreviation":"Lab Invest","language":"en","license":"2012 United States and Canadian Academy of Pathology, Inc.","note":"number: 1\npublisher: Nature Publishing Group","page":"81-95","source":"www.nature.com","title":"A physiological role for connective tissue growth factor in early wound healing","volume":"93","author":[{"family":"Alfaro","given":"Maria P."},{"family":"Deskins","given":"Desirae L."},{"family":"Wallus","given":"Meredith"},{"family":"DasGupta","given":"Jayasri"},{"family":"Davidson","given":"Jeffrey M."},{"family":"Nanney","given":"Lillian B."},{"family":"A Guney","given":"Michelle"},{"family":"Gannon","given":"Maureen"},{"family":"Young","given":"Pampee P."}],"issued":{"date-parts":[["2013",1]]}},"label":"page"},{"id":"yYDU4LE6/XGQwm92X","uris":["http://zotero.org/users/local/FCDre8wk/items/SDJDGBSV"],"itemData":{"id":808,"type":"article-journal","abstract":"CCN2, formerly termed Connective Tissue Growth Factor, is a protein belonging to the Cellular Communication Network (CCN)-family of secreted extracellular matrix-associated proteins. As a matricellular protein it is mainly considered to be active as a modifier of signaling activity of several different signaling pathways and as an orchestrator of their cross-talk. Furthermore, CCN2 and its fragments have been implicated in the regulation of a multitude of biological processes, including cell proliferation, differentiation, adhesion, migration, cell survival, apoptosis and the production of extracellular matrix products, as well as in more complex processes such as embryonic development, angiogenesis, chondrogenesis, osteogenesis, fibrosis, mechanotransduction and inflammation. Its function is complex and context dependent, depending on cell type, state of differentiation and microenvironmental context. CCN2 plays a role in many diseases, especially those associated with fibrosis, but has also been implicated in many different forms of cancer. In the bone marrow (BM), CCN2 is highly expressed in mesenchymal stem/stromal cells (MSCs). CCN2 is important for MSC function, supporting its proliferation, migration and differentiation. In addition, stromal CCN2 supports the maintenance and longtime survival of hematopoietic stem cells, and in the presence of interleukin 7, stimulates the differentiation of pro-B lymphocytes into pre-B lymphocytes. Overexpression of CCN2 is seen in the majority of B-acute lymphoblastic leukemias, especially in certain cytogenetic subgroups associated with poor outcome. In acute myeloid leukemia, CCN2 expression is increased in MSCs, which has been associated with leukemic engraftment in vivo. In this review, the complex function of CCN2 in the BM microenvironment and in normal as well as malignant hematopoiesis is discussed. In addition, an overview is given of data on the remaining CCN family members regarding normal and malignant hematopoiesis, having many similarities and some differences in their function.","container-title":"Journal of Cell Communication and Signaling","DOI":"10.1007/s12079-020-00602-2","ISSN":"1873-961X","issue":"1","journalAbbreviation":"J. Cell Commun. Signal.","language":"en","page":"25-56","source":"Springer Link","title":"CCN2 (Cellular Communication Network factor 2) in the bone marrow microenvironment, normal and malignant hematopoiesis","volume":"15","author":[{"family":"Leguit","given":"Roos J."},{"family":"Raymakers","given":"Reinier A. P."},{"family":"Hebeda","given":"Konnie M."},{"family":"Goldschmeding","given":"Roel"}],"issued":{"date-parts":[["2021",3,1]]}},"label":"page"},{"id":"yYDU4LE6/M6DnbYuk","uris":["http://zotero.org/users/local/FCDre8wk/items/ZKZCBDDJ"],"itemData":{"id":804,"type":"article-journal","abstract":"Recent studies have demonstrated that mesenchymal stem cells (MSC) exhibit a tropism to tumors and form the tumor stroma. In addition, we found that MSC can secrete different types of factors. However, the involvement of MSC-derived factors in human tongue squamous cell carcinoma (TSCC) growth has not been clearly addressed. The CCN family includes multifunctional signaling molecules that affect the initiation and development events of various tumors. In our study, we report that CCN2/connective tissue growth factor (CTGF) was the most highly induced among the CCN family members in MSC that were co-cultured with TSCC cells. To evaluate the relationship between CCN2 and TSCC growth, we downregulated MSC-derived CCN2 expression with shRNA targeting CCN2 and found that MSC-secreted CCN2 promotes TSCC cell proliferation, migration and invasion. We also confirmed that MSC-derived CCN2 partially accelerated tumor growth in vitro. Taken together, these results suggest that MSC-derived CCN2 contributes to the promotion of proliferation, migration and invasion of TSCC cells and may be a possible therapy target in the future.","container-title":"Cancer Science","DOI":"10.1111/cas.13202","ISSN":"1349-7006","issue":"5","journalAbbreviation":"Cancer Sci","language":"eng","note":"PMID: 28208216\nPMCID: PMC5448615","page":"897-909","source":"PubMed","title":"Mesenchymal stem cell-derived CCN2 promotes the proliferation, migration and invasion of human tongue squamous cell carcinoma cells","volume":"108","author":[{"family":"Wu","given":"Yu-Ling"},{"family":"Li","given":"Hong-Yu"},{"family":"Zhao","given":"Xiao-Peng"},{"family":"Jiao","given":"Jiu-Yang"},{"family":"Tang","given":"Dong-Xiao"},{"family":"Yan","given":"Ling-Jian"},{"family":"Wan","given":"Quan"},{"family":"Pan","given":"Chao-Bin"}],"issued":{"date-parts":[["2017",5]]}}}],"schema":"https://github.com/citation-style-language/schema/raw/master/csl-citation.json"} </w:instrText>
            </w:r>
            <w:r w:rsidRPr="0026705F">
              <w:rPr>
                <w:sz w:val="18"/>
                <w:szCs w:val="18"/>
                <w:lang w:val="en-US"/>
              </w:rPr>
              <w:fldChar w:fldCharType="separate"/>
            </w:r>
            <w:r w:rsidR="00873504" w:rsidRPr="0026705F">
              <w:rPr>
                <w:sz w:val="18"/>
                <w:lang w:val="en-US"/>
              </w:rPr>
              <w:t>[24–26]</w:t>
            </w:r>
            <w:r w:rsidRPr="0026705F">
              <w:rPr>
                <w:sz w:val="18"/>
                <w:szCs w:val="18"/>
                <w:lang w:val="en-US"/>
              </w:rPr>
              <w:fldChar w:fldCharType="end"/>
            </w:r>
          </w:p>
        </w:tc>
      </w:tr>
      <w:tr w:rsidR="005A43FA" w:rsidRPr="0026705F" w14:paraId="4C57F4C5" w14:textId="2BC9D957" w:rsidTr="003B34ED">
        <w:trPr>
          <w:trHeight w:val="145"/>
          <w:jc w:val="center"/>
        </w:trPr>
        <w:tc>
          <w:tcPr>
            <w:tcW w:w="2684" w:type="dxa"/>
            <w:shd w:val="clear" w:color="auto" w:fill="auto"/>
            <w:tcMar>
              <w:top w:w="100" w:type="dxa"/>
              <w:left w:w="100" w:type="dxa"/>
              <w:bottom w:w="100" w:type="dxa"/>
              <w:right w:w="100" w:type="dxa"/>
            </w:tcMar>
          </w:tcPr>
          <w:p w14:paraId="00000145" w14:textId="77777777" w:rsidR="005A43FA" w:rsidRPr="0026705F" w:rsidRDefault="005A43FA">
            <w:pPr>
              <w:widowControl w:val="0"/>
              <w:spacing w:after="160" w:line="256" w:lineRule="auto"/>
              <w:rPr>
                <w:i/>
                <w:sz w:val="18"/>
                <w:szCs w:val="18"/>
                <w:lang w:val="en-US"/>
              </w:rPr>
            </w:pPr>
            <w:r w:rsidRPr="0026705F">
              <w:rPr>
                <w:i/>
                <w:sz w:val="18"/>
                <w:szCs w:val="18"/>
                <w:lang w:val="en-US"/>
              </w:rPr>
              <w:t>Tissue Inhibitor of Metalloproteinase 3 (TIMP3)</w:t>
            </w:r>
          </w:p>
          <w:p w14:paraId="00000146"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*188826)</w:t>
            </w:r>
          </w:p>
        </w:tc>
        <w:tc>
          <w:tcPr>
            <w:tcW w:w="5670" w:type="dxa"/>
            <w:shd w:val="clear" w:color="auto" w:fill="auto"/>
            <w:tcMar>
              <w:top w:w="100" w:type="dxa"/>
              <w:left w:w="100" w:type="dxa"/>
              <w:bottom w:w="100" w:type="dxa"/>
              <w:right w:w="100" w:type="dxa"/>
            </w:tcMar>
          </w:tcPr>
          <w:p w14:paraId="00000147"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TIMP3 is a marker of mature dendritic cells. Inhibits angiogenesis and cell proliferation as well as induces apoptosis. Potential biomarker of cancer.</w:t>
            </w:r>
          </w:p>
        </w:tc>
        <w:tc>
          <w:tcPr>
            <w:tcW w:w="1134" w:type="dxa"/>
          </w:tcPr>
          <w:p w14:paraId="79A3A3B0" w14:textId="22A7587F" w:rsidR="005A43FA" w:rsidRPr="0026705F" w:rsidRDefault="00B53BCB">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rWd7sOme","properties":{"formattedCitation":"[22,27,28]","plainCitation":"[22,27,28]","noteIndex":0},"citationItems":[{"id":"yYDU4LE6/UVWyc2N9","uris":["http://zotero.org/users/local/FCDre8wk/items/W4D2YTYF"],"itemData":{"id":812,"type":"article-journal","abstract":"Mesenchymal stem cells (MSCs) have great potential as a source of cells for cell-based therapy because of their ability for self-renewal and differentiation into functional cells. Moreover, matrix metalloproteinases (MMPs) have a critical role in the differentiation of MSCs into different lineages. MSCs also interact with exogenous MMPs at their surface, and regulate the pericellular localization of MMP activities. The fate of MSCs is regulated by specific MMPs associated with a key cell lineage. Recent reports suggest the integration of MMPs in the differentiation, angiogenesis, proliferation, and migration of MSCs. These interactions are not fully understood and warrant further investigation, especially for their application as therapeutic tools to treat different diseases. Therefore, overexpression of a single MMP or tissue-specific inhibitor of metalloproteinase in MSCs may promote transdifferentiation into a specific cell lineage, which can be used for the treatment of some diseases. In this review, we critically discuss the identification of various MMPs and the signaling pathways that affect the differentiation, migration, angiogenesis, and proliferation of MSCs.","container-title":"Stem Cell Research &amp; Therapy","DOI":"10.1186/s13287-016-0393-1","ISSN":"1757-6512","issue":"1","journalAbbreviation":"Stem Cell Research &amp; Therapy","page":"129","source":"BioMed Central","title":"Effects of matrix metalloproteinases on the fate of mesenchymal stem cells","volume":"7","author":[{"family":"Almalki","given":"Sami G."},{"family":"Agrawal","given":"Devendra K."}],"issued":{"date-parts":[["2016",9,9]]}}},{"id":"yYDU4LE6/LkqnfAn6","uris":["http://zotero.org/users/local/FCDre8wk/items/SESLUMZE"],"itemData":{"id":811,"type":"article-journal","abstract":"Tissue inhibitor of metalloproteinase 3 (TIMP3) is unique among the four TIMPs due to its extracellular matrix (ECM)-binding property and broad range of inhibitory substrates that includes matrix metalloproteinases (MMPs), a disintegrin and metalloproteinases (ADAMs), and ADAM with thrombospondin motifs (ADAMTSs). In addition to its metalloproteinase-inhibitory function, TIMP3 can interact with proteins in the extracellular space resulting in its multifarious functions. TIMP3 mRNA has a long 3’ untranslated region (UTR) which is a target for numerous microRNAs. TIMP3 levels are reduced in various cardiovascular diseases, and studies have shown that TIMP3 replenishment ameliorates the disease, suggesting a therapeutic potential for TIMP3 in cardiovascular diseases. While significant efforts have been made in identifying the effector targets of TIMP3, the regulatory mechanism for the expression of this multi-functional TIMP has been less explored. Here, we provide an overview of TIMP3 gene structure, transcriptional and post-transcriptional regulators (transcription factors and microRNAs), protein structure and partners, its role in cardiovascular pathology and its application as therapy, while also drawing reference from TIMP3 function in other diseases.","container-title":"Frontiers in Physiology","ISSN":"1664-042X","source":"Frontiers","title":"Biology of Tissue Inhibitor of Metalloproteinase 3 (TIMP3), and Its Therapeutic Implications in Cardiovascular Pathology","URL":"https://www.frontiersin.org/articles/10.3389/fphys.2020.00661","volume":"11","author":[{"family":"Fan","given":"Dong"},{"family":"Kassiri","given":"Zamaneh"}],"accessed":{"date-parts":[["2023",10,11]]},"issued":{"date-parts":[["2020"]]}}},{"id":"yYDU4LE6/So6Z9mzA","uris":["http://zotero.org/users/local/FCDre8wk/items/CPHLEPX6"],"itemData":{"id":800,"type":"article-journal","abstract":"Steroid-induced osteonecrosis of femoral head (SONFH) is a common and serious complication caused by long-term and/or excessive use of glucocorticoids (GCs). The decreased activity and abnormal differentiation of bone marrow mesenchymal stem cells (BMSCs) are considered to be one of the major reasons for the onset and progression of this disease. Periostin (POSTN) is a matricellular protein which plays an important role in regulating osteoblast function and bone formation. Sclerostin (SOST) is a secreted antagonist of Wnt signaling that is mainly expressed in osteocytes to inhibit bone formation. However, the exact role of POSTN and SOST in SONFH has not been reported yet. Therefore, we detected the differential expression of POSTN and SOST in BMSCs of SONFH Group patients, and Control Group was patients with traumatic ONFH (TONFH) and developmental dysplasia of the hip (DDH). Furthermore, we used lentiviral transfection to knockdown POSTN expression in BMSCs of patients with SONFH to study the effect of POSTN knockdown on the SOST expression and osteogenic differentiation of BMSCs. The results indicated that the endogenous expression of POSTN and SOST in BMSCs of SONFH Group was upregulated, compared with Control Group. POSTN was upregulated gradually while SOST was downregulated gradually at days 0, 3, and 7 of osteogenic differentiation of BMSCs in Control Group. Contrarily, POSTN was gradually downregulated while SOST was gradually upregulated during osteogenic differentiation of BMSCs in SONFH Group. This could be due to increased expression of SOST in BMSCs, which was caused by excessive GCs. In turn, the increased expression of POSTN in BMSCs may play a role in antagonizing the continuous rising of SOST during the osteogenic differentiation of BMSCs in patients with SONFH. POSTN knockdown significantly attenuated osteo-specific gene expression, alkaline phosphatase activity, and calcium nodule formation in vitro; thus inhibiting the osteogenic differentiation of BMSCs in patients with SONFH. Besides, POSTN knockdown upregulated SOST expression, increased GSK-3β activity, and downregulated β-catenin. These findings suggest that POSTN have an essential role in regulating the expression of SOST and osteogenic differentiation of BMSCs in patients with SONFH, and POSTN knockdown suppresses osteogenic differentiation by upregulating SOST and partially inactivating Wnt/β-catenin signaling pathway. Therefore, targeting POSTN and SOST may serve as a promising therapeutic target for the prevention and treatment of SONFH.","container-title":"Frontiers in Cell and Developmental Biology","ISSN":"2296-634X","source":"Frontiers","title":"Knockdown of POSTN Inhibits Osteogenic Differentiation of Mesenchymal Stem Cells From Patients With Steroid-Induced Osteonecrosis","URL":"https://www.frontiersin.org/articles/10.3389/fcell.2020.606289","volume":"8","author":[{"family":"Han","given":"Lizhi"},{"family":"Gong","given":"Song"},{"family":"Wang","given":"Ruoyu"},{"family":"Liu","given":"Shaokai"},{"family":"Wang","given":"Bo"},{"family":"Chen","given":"Guo"},{"family":"Gong","given":"Tianlun"},{"family":"Xu","given":"Weihua"}],"accessed":{"date-parts":[["2023",10,11]]},"issued":{"date-parts":[["2020"]]}}}],"schema":"https://github.com/citation-style-language/schema/raw/master/csl-citation.json"} </w:instrText>
            </w:r>
            <w:r w:rsidRPr="0026705F">
              <w:rPr>
                <w:sz w:val="18"/>
                <w:szCs w:val="18"/>
                <w:lang w:val="en-US"/>
              </w:rPr>
              <w:fldChar w:fldCharType="separate"/>
            </w:r>
            <w:r w:rsidR="00873504" w:rsidRPr="0026705F">
              <w:rPr>
                <w:sz w:val="18"/>
                <w:lang w:val="en-US"/>
              </w:rPr>
              <w:t>[22,27,28]</w:t>
            </w:r>
            <w:r w:rsidRPr="0026705F">
              <w:rPr>
                <w:sz w:val="18"/>
                <w:szCs w:val="18"/>
                <w:lang w:val="en-US"/>
              </w:rPr>
              <w:fldChar w:fldCharType="end"/>
            </w:r>
          </w:p>
        </w:tc>
      </w:tr>
      <w:tr w:rsidR="005A43FA" w:rsidRPr="0026705F" w14:paraId="65560CB2" w14:textId="15CB82E9" w:rsidTr="003B34ED">
        <w:trPr>
          <w:trHeight w:val="145"/>
          <w:jc w:val="center"/>
        </w:trPr>
        <w:tc>
          <w:tcPr>
            <w:tcW w:w="2684" w:type="dxa"/>
            <w:shd w:val="clear" w:color="auto" w:fill="auto"/>
            <w:tcMar>
              <w:top w:w="100" w:type="dxa"/>
              <w:left w:w="100" w:type="dxa"/>
              <w:bottom w:w="100" w:type="dxa"/>
              <w:right w:w="100" w:type="dxa"/>
            </w:tcMar>
          </w:tcPr>
          <w:p w14:paraId="00000148" w14:textId="77777777" w:rsidR="005A43FA" w:rsidRPr="0026705F" w:rsidRDefault="005A43FA">
            <w:pPr>
              <w:widowControl w:val="0"/>
              <w:spacing w:after="160" w:line="256" w:lineRule="auto"/>
              <w:rPr>
                <w:i/>
                <w:sz w:val="18"/>
                <w:szCs w:val="18"/>
                <w:lang w:val="en-US"/>
              </w:rPr>
            </w:pPr>
            <w:r w:rsidRPr="0026705F">
              <w:rPr>
                <w:i/>
                <w:sz w:val="18"/>
                <w:szCs w:val="18"/>
                <w:lang w:val="en-US"/>
              </w:rPr>
              <w:lastRenderedPageBreak/>
              <w:t>Insulin-Like Growth Factor-Binding Protein 3 (IGFBP3)</w:t>
            </w:r>
          </w:p>
          <w:p w14:paraId="00000149"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*146732)</w:t>
            </w:r>
          </w:p>
        </w:tc>
        <w:tc>
          <w:tcPr>
            <w:tcW w:w="5670" w:type="dxa"/>
            <w:shd w:val="clear" w:color="auto" w:fill="auto"/>
            <w:tcMar>
              <w:top w:w="100" w:type="dxa"/>
              <w:left w:w="100" w:type="dxa"/>
              <w:bottom w:w="100" w:type="dxa"/>
              <w:right w:w="100" w:type="dxa"/>
            </w:tcMar>
          </w:tcPr>
          <w:p w14:paraId="0000014A"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IGFBP3 affects cell proliferation, migration, and differentiation. Depending on cellular signals, it can stimulate DNA repair and cell growth, or induce apoptosis. Influences the stemness maintenance of endometrium-derived mesenchymal stem cells.</w:t>
            </w:r>
          </w:p>
        </w:tc>
        <w:tc>
          <w:tcPr>
            <w:tcW w:w="1134" w:type="dxa"/>
          </w:tcPr>
          <w:p w14:paraId="3B69F4BE" w14:textId="2E253752" w:rsidR="005A43FA" w:rsidRPr="0026705F" w:rsidRDefault="00F63261">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p7hCRsoK","properties":{"formattedCitation":"[29,30]","plainCitation":"[29,30]","noteIndex":0},"citationItems":[{"id":"yYDU4LE6/Gfv3It3U","uris":["http://zotero.org/users/local/FCDre8wk/items/W9LIFELT"],"itemData":{"id":819,"type":"article-journal","abstract":"Insulin-like growth factor binding protein 3 (IGFBP3) is a multifunctional protein, able either to stimulate the cell growth or to promote apoptosis. In particular, IGFBP3 plays significant role in propagation of stress-induced senescence in human endometrium-derived mesenchymal stem cells (MESCs) (Vassilieva et al., 2020). We undertook CRISPR/Cas9-mediated IGFBP3 knockout in an effort to decelerate stress-induced senescence in MESCs, but, unexpectedly, IGFBP3-knockout MESCs culture acquired chondrocyte-like features, such as cell condensation and aggregation. We revealed that IGFBP3-knockout MESCs completely lost CD73 and CD90 MESCs positive surface markers, and significantly decreased expression of CD105 and CD146 MESCs positive surface markers. In addition, we found IGFBP3-knockout MESCs aggregates positively stained for Alcian Blue. We also detected expression of collagen type II in IGFBP3-knockout MESCs. The obtained results indicate that MESCs lost stemness after IGFBP3-knockout and underwent differentiation toward chondrogenic lineage. Our findings can enlighten IGFBP3 role in regulation of MESCs chondrogenesis.","container-title":"Biochemical and Biophysical Research Communications","DOI":"10.1016/j.bbrc.2020.07.064","ISSN":"0006-291X","issue":"2","journalAbbreviation":"Biochemical and Biophysical Research Communications","page":"133-139","source":"ScienceDirect","title":"Chondrogenic differentiation followed IGFBP3 loss in human endometrial mesenchymal stem cells","volume":"531","author":[{"family":"Ushakov","given":"Roman E."},{"family":"Skvortsova","given":"Elena V."},{"family":"Vitte","given":"Mikhail A."},{"family":"Vassilieva","given":"Irina O."},{"family":"Shatrova","given":"Alla N."},{"family":"Kotova","given":"Anastasiya V."},{"family":"Kenis","given":"Vladimir M."},{"family":"Burova","given":"Elena B."}],"issued":{"date-parts":[["2020",10,15]]}}},{"id":"yYDU4LE6/EbhJJgh2","uris":["http://zotero.org/users/local/FCDre8wk/items/GA5SAYXI"],"itemData":{"id":818,"type":"article-journal","abstract":"Insulin-like growth factor (IGF) binding protein-3 (IGFBP-3), one of the six members of the IGFBP family, is a key protein in the IGF pathway. IGFBP-3 can function in an IGF-dependent as well as in an IGF-independent manner. The IGF-dependent roles of IGFBP-3 include its endocrine role in the delivery of IGFs from the site of synthesis to the target cells that possess IGF receptors and the activation of associated downstream signaling. IGF-independent role of IGFBP-3 include its interactions with the proteins of the extracellular matrix and the proteins of the plasma membrane, its translocation through the plasma membrane into the cytoplasm and into the nucleus. The C-terminal domain of IGFBP-3 has the ability to undergo cell penetration therefore, generating a short 8-22-mer C-terminal domain peptides that can be conjugated to drugs or genes for effective intracellular delivery. This has opened doors for biotechnological applications of the molecule in molecular medicine. The aim of this this review is to summarize the complex roles of IGFBP-3 within the cell, including its mechanisms of cellular uptake and its translocation into the nucleus, various molecules with which it is capable of interacting, and its ability to regulate IGF-independent cell growth, survival and apoptosis. This would pave way into understanding the modus operandi of IGFBP-3 in regulating IGF-independent processes and its pleiotropic ability to bind with potential partners thus regulating several cellular functions implicated in metabolic diseases, including cancer.","container-title":"Frontiers in Cell and Developmental Biology","ISSN":"2296-634X","source":"Frontiers","title":"Insulin-Like Growth Factor Binding Protein-3 (IGFBP-3): Unraveling the Role in Mediating IGF-Independent Effects Within the Cell","title-short":"Insulin-Like Growth Factor Binding Protein-3 (IGFBP-3)","URL":"https://www.frontiersin.org/articles/10.3389/fcell.2020.00286","volume":"8","author":[{"family":"Varma Shrivastav","given":"Shailly"},{"family":"Bhardwaj","given":"Apurva"},{"family":"Pathak","given":"Kumar Alok"},{"family":"Shrivastav","given":"Anuraag"}],"accessed":{"date-parts":[["2023",10,11]]},"issued":{"date-parts":[["2020"]]}}}],"schema":"https://github.com/citation-style-language/schema/raw/master/csl-citation.json"} </w:instrText>
            </w:r>
            <w:r w:rsidRPr="0026705F">
              <w:rPr>
                <w:sz w:val="18"/>
                <w:szCs w:val="18"/>
                <w:lang w:val="en-US"/>
              </w:rPr>
              <w:fldChar w:fldCharType="separate"/>
            </w:r>
            <w:r w:rsidR="00873504" w:rsidRPr="0026705F">
              <w:rPr>
                <w:sz w:val="18"/>
                <w:lang w:val="en-US"/>
              </w:rPr>
              <w:t>[29,30]</w:t>
            </w:r>
            <w:r w:rsidRPr="0026705F">
              <w:rPr>
                <w:sz w:val="18"/>
                <w:szCs w:val="18"/>
                <w:lang w:val="en-US"/>
              </w:rPr>
              <w:fldChar w:fldCharType="end"/>
            </w:r>
          </w:p>
        </w:tc>
      </w:tr>
      <w:tr w:rsidR="005A43FA" w:rsidRPr="0026705F" w14:paraId="3131EE6B" w14:textId="6ADEFD87" w:rsidTr="003B34ED">
        <w:trPr>
          <w:trHeight w:val="145"/>
          <w:jc w:val="center"/>
        </w:trPr>
        <w:tc>
          <w:tcPr>
            <w:tcW w:w="2684" w:type="dxa"/>
            <w:shd w:val="clear" w:color="auto" w:fill="auto"/>
            <w:tcMar>
              <w:top w:w="100" w:type="dxa"/>
              <w:left w:w="100" w:type="dxa"/>
              <w:bottom w:w="100" w:type="dxa"/>
              <w:right w:w="100" w:type="dxa"/>
            </w:tcMar>
          </w:tcPr>
          <w:p w14:paraId="0000014B" w14:textId="77777777" w:rsidR="005A43FA" w:rsidRPr="0026705F" w:rsidRDefault="005A43FA">
            <w:pPr>
              <w:widowControl w:val="0"/>
              <w:spacing w:after="160" w:line="256" w:lineRule="auto"/>
              <w:rPr>
                <w:i/>
                <w:sz w:val="18"/>
                <w:szCs w:val="18"/>
                <w:lang w:val="en-US"/>
              </w:rPr>
            </w:pPr>
            <w:r w:rsidRPr="0026705F">
              <w:rPr>
                <w:i/>
                <w:sz w:val="18"/>
                <w:szCs w:val="18"/>
                <w:lang w:val="en-US"/>
              </w:rPr>
              <w:t>Lim and Calponin Homology Domains-Containing Protein 1 (LIMCH1)</w:t>
            </w:r>
          </w:p>
          <w:p w14:paraId="0000014C"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*617750)</w:t>
            </w:r>
          </w:p>
        </w:tc>
        <w:tc>
          <w:tcPr>
            <w:tcW w:w="5670" w:type="dxa"/>
            <w:shd w:val="clear" w:color="auto" w:fill="auto"/>
            <w:tcMar>
              <w:top w:w="100" w:type="dxa"/>
              <w:left w:w="100" w:type="dxa"/>
              <w:bottom w:w="100" w:type="dxa"/>
              <w:right w:w="100" w:type="dxa"/>
            </w:tcMar>
          </w:tcPr>
          <w:p w14:paraId="0000014D" w14:textId="77777777" w:rsidR="005A43FA" w:rsidRPr="0026705F" w:rsidRDefault="005A43FA" w:rsidP="006A4790">
            <w:pPr>
              <w:widowControl w:val="0"/>
              <w:pBdr>
                <w:top w:val="nil"/>
                <w:left w:val="nil"/>
                <w:bottom w:val="nil"/>
                <w:right w:val="nil"/>
                <w:between w:val="nil"/>
              </w:pBdr>
              <w:rPr>
                <w:sz w:val="18"/>
                <w:szCs w:val="18"/>
                <w:lang w:val="en-US"/>
              </w:rPr>
            </w:pPr>
            <w:r w:rsidRPr="0026705F">
              <w:rPr>
                <w:sz w:val="18"/>
                <w:szCs w:val="18"/>
                <w:lang w:val="en-US"/>
              </w:rPr>
              <w:t>A negative regulator of cell motility. Potential biomarker for the treatment of cervical cancer. In addition, LIMCH1 is associated with breast cancer.</w:t>
            </w:r>
          </w:p>
        </w:tc>
        <w:tc>
          <w:tcPr>
            <w:tcW w:w="1134" w:type="dxa"/>
          </w:tcPr>
          <w:p w14:paraId="07B12273" w14:textId="7F05EF30" w:rsidR="005A43FA" w:rsidRPr="0026705F" w:rsidRDefault="00F63261">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vY4FxyVe","properties":{"formattedCitation":"[31,32]","plainCitation":"[31,32]","noteIndex":0},"citationItems":[{"id":"yYDU4LE6/xn14nbsh","uris":["http://zotero.org/users/local/FCDre8wk/items/MIYMJDSB"],"itemData":{"id":824,"type":"article-journal","abstract":"Advanced cervical cancer carries a particularly poor prognosis, and few treatment options exist. Identification of effective molecular markers is vital to improve the individualisation of treatment. We investigated transcriptional data from cervical carcinomas related to patient survival and recurrence to identify potential molecular drivers for aggressive disease.","container-title":"British Journal of Cancer","DOI":"10.1038/s41416-021-01305-0","ISSN":"1532-1827","issue":"10","journalAbbreviation":"Br J Cancer","language":"en","license":"2021 The Author(s)","note":"number: 10\npublisher: Nature Publishing Group","page":"1690-1698","source":"www.nature.com","title":"A 10-gene prognostic signature points to LIMCH1 and HLA-DQB1 as important players in aggressive cervical cancer disease","volume":"124","author":[{"family":"Halle","given":"Mari K."},{"family":"Sødal","given":"Marte"},{"family":"Forsse","given":"David"},{"family":"Engerud","given":"Hilde"},{"family":"Woie","given":"Kathrine"},{"family":"Lura","given":"Njål G."},{"family":"Wagner-Larsen","given":"Kari S."},{"family":"Trovik","given":"Jone"},{"family":"Bertelsen","given":"Bjørn I."},{"family":"Haldorsen","given":"Ingfrid S."},{"family":"Ojesina","given":"Akinyemi I."},{"family":"Krakstad","given":"Camilla"}],"issued":{"date-parts":[["2021",5]]}}},{"id":"yYDU4LE6/ejWyGhB7","uris":["http://zotero.org/users/local/FCDre8wk/items/ZTXHCQMT"],"itemData":{"id":822,"type":"article-journal","abstract":"Background\nTumor cell invasion is an integral component of breast cancer progression. In cell motility, including tumor cells, involves the actin cytoskeleton, which is a complex system with many regulatory points. The new tumor supressor protein LIMCH1, which has an actin binding domain, is a promising molecular target to suppress invasion. The presented work is aimed at revealing features of LIMCH1 expression in cells that demonstrate various forms of invasion in breast cancer.\nMethods\nThe study included 37 patients with invasive breast carcinoma of a non-specific type (all molecular types). A list of genes was formed and molecular networks associated with LIMCH1 signaling were constructed. Using the previously obtained unique data of transcriptomic microarray profiling of various morphological structures of invasive breast carcinoma of a non-specific type (GSE80754), differentially expressed genes associated with LIMCH1 in the morphological structures were annotated.\nResults\nTumor cells can move collectively or individually. The structural diversity of the infiltrative component of invasive breast carcinima represent an attractive model for investigation of tumor cell invasion. The solid and trabecular structures, may be considered as a morphological manifestation of collective cell invasion. Discrete groups and single tumor cells, are an example of individual cell invasion. Analyze of expression LIMCH1-related genes in different morphological structures showed that proinvasive XPO1 gene downregulated in trabecular structures. In single tumor cells expression of ODF2 gene that had stimulation activity for prolifiration were supressed comparing with trabecular structures. SH3KBP1 gene in solid structures is upregulated comparing other structures. Well known that SH3KBP1 revents epidermal growth factor receptor degradation. Also, HuR gene expression were upregulated in solid and trabecular structures comparing single tumor cells.\nConclusions\nThe obtained data showed that the morphological structures of invasive breast carcinoma have significant functional heterogeneity associated with the manifestations of invasion regulated by the LIMCH1 protein. The study was supported by RFBR (#18-515-16001).\nLegal entity responsible for the study\nTomsk National Research Medical Center.\nFunding\nRussian Foundation for Basic Research (project #18-515-16001).\nDisclosure\nAll authors have declared no conflicts of interest.","collection-title":"Abstract Book of Molecular Analysis for Personalised Therapy (MAP) London, UK, 7–9 November 2019","container-title":"Annals of Oncology","DOI":"10.1093/annonc/mdz413.056","ISSN":"0923-7534","journalAbbreviation":"Annals of Oncology","page":"vii16","source":"ScienceDirect","title":"51P - LIMCH1-related genes demonstrate different invasive potential of morphological structures of breast cancer","volume":"30","author":[{"family":"Tashireva","given":"L."},{"family":"Gerashchenko","given":"T."},{"family":"Alifanov","given":"V."},{"family":"Perelmuter","given":"V."},{"family":"Cherdyntseva","given":"N."}],"issued":{"date-parts":[["2019",11,1]]}}}],"schema":"https://github.com/citation-style-language/schema/raw/master/csl-citation.json"} </w:instrText>
            </w:r>
            <w:r w:rsidRPr="0026705F">
              <w:rPr>
                <w:sz w:val="18"/>
                <w:szCs w:val="18"/>
                <w:lang w:val="en-US"/>
              </w:rPr>
              <w:fldChar w:fldCharType="separate"/>
            </w:r>
            <w:r w:rsidR="00873504" w:rsidRPr="0026705F">
              <w:rPr>
                <w:sz w:val="18"/>
                <w:lang w:val="en-US"/>
              </w:rPr>
              <w:t>[31,32]</w:t>
            </w:r>
            <w:r w:rsidRPr="0026705F">
              <w:rPr>
                <w:sz w:val="18"/>
                <w:szCs w:val="18"/>
                <w:lang w:val="en-US"/>
              </w:rPr>
              <w:fldChar w:fldCharType="end"/>
            </w:r>
          </w:p>
        </w:tc>
      </w:tr>
      <w:tr w:rsidR="005A43FA" w:rsidRPr="0026705F" w14:paraId="63944BF8" w14:textId="318359BD" w:rsidTr="003B34ED">
        <w:trPr>
          <w:trHeight w:val="633"/>
          <w:jc w:val="center"/>
        </w:trPr>
        <w:tc>
          <w:tcPr>
            <w:tcW w:w="2684" w:type="dxa"/>
            <w:shd w:val="clear" w:color="auto" w:fill="auto"/>
            <w:tcMar>
              <w:top w:w="100" w:type="dxa"/>
              <w:left w:w="100" w:type="dxa"/>
              <w:bottom w:w="100" w:type="dxa"/>
              <w:right w:w="100" w:type="dxa"/>
            </w:tcMar>
          </w:tcPr>
          <w:p w14:paraId="0000014E" w14:textId="77777777" w:rsidR="005A43FA" w:rsidRPr="0026705F" w:rsidRDefault="005A43FA">
            <w:pPr>
              <w:widowControl w:val="0"/>
              <w:pBdr>
                <w:top w:val="nil"/>
                <w:left w:val="nil"/>
                <w:bottom w:val="nil"/>
                <w:right w:val="nil"/>
                <w:between w:val="nil"/>
              </w:pBdr>
              <w:rPr>
                <w:sz w:val="18"/>
                <w:szCs w:val="18"/>
                <w:lang w:val="en-US"/>
              </w:rPr>
            </w:pPr>
            <w:r w:rsidRPr="0026705F">
              <w:rPr>
                <w:i/>
                <w:sz w:val="18"/>
                <w:szCs w:val="18"/>
                <w:lang w:val="en-US"/>
              </w:rPr>
              <w:t>ZNFX1 Antisense RNA 1 (ZFAS1)</w:t>
            </w:r>
          </w:p>
        </w:tc>
        <w:tc>
          <w:tcPr>
            <w:tcW w:w="5670" w:type="dxa"/>
            <w:shd w:val="clear" w:color="auto" w:fill="auto"/>
            <w:tcMar>
              <w:top w:w="100" w:type="dxa"/>
              <w:left w:w="100" w:type="dxa"/>
              <w:bottom w:w="100" w:type="dxa"/>
              <w:right w:w="100" w:type="dxa"/>
            </w:tcMar>
          </w:tcPr>
          <w:p w14:paraId="0000014F"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It affects follicular development and the differentiation of epithelial cells in the mammary gland. Undergoes the above expression in tumor tissues. Associated with progression in colon cancer.</w:t>
            </w:r>
          </w:p>
        </w:tc>
        <w:tc>
          <w:tcPr>
            <w:tcW w:w="1134" w:type="dxa"/>
          </w:tcPr>
          <w:p w14:paraId="171677D6" w14:textId="37DDE25B" w:rsidR="005A43FA" w:rsidRPr="0026705F" w:rsidRDefault="00F63261">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FXUziEUw","properties":{"formattedCitation":"[33,34]","plainCitation":"[33,34]","noteIndex":0},"citationItems":[{"id":"yYDU4LE6/ctOuxAAb","uris":["http://zotero.org/users/local/FCDre8wk/items/ZRIN6L2G"],"itemData":{"id":826,"type":"article-journal","abstract":"Long non-coding RNAs (lncRNA) are classified as a kind of RNA, which are longer than 200 nucleotides in length and cannot be translated into proteins. Multiple studies have demonstrated that lncRNAs are involved in various cellular processes, including proliferation, differentiation, cell death, and metastasis. In addition, aberrant expression of lncRNAs has been discovered in human tumors, where they function as either oncogenes or tumor suppressor genes. Among numerous lncRNAs, we focus on ZNFX1 antisense RNA 1 (ZFAS1), a well-known lncRNA that is aberrant overexpression in various tumors, including melanoma, esophageal squamous cell carcinoma, non-small cell lung cancer, gastric cancer, colon cancer, and Hepatocellular carcinoma, in which it functions as oncogene. In contrast, ZFAS1 is downregulated in breast cancer, which may function as tumor suppressor gene. In this review, we provide an overview of current evidence concerning the role and potential clinical utilities of ZFAS1 in human cancers.","container-title":"Cancer Cell International","DOI":"10.1186/s12935-018-0623-y","ISSN":"1475-2867","issue":"1","journalAbbreviation":"Cancer Cell International","page":"125","source":"BioMed Central","title":"ZFAS1: a novel tumor-related long non-coding RNA","title-short":"ZFAS1","volume":"18","author":[{"family":"Dong","given":"Dan"},{"family":"Mu","given":"Zhongyi"},{"family":"Zhao","given":"Chenghai"},{"family":"Sun","given":"Mingli"}],"issued":{"date-parts":[["2018",9,3]]}}},{"id":"yYDU4LE6/0Ktv0NmX","uris":["http://zotero.org/users/local/FCDre8wk/items/JXL8GSH7"],"itemData":{"id":828,"type":"article-journal","abstract":"Colon adenocarcinoma is a common cause of cancer-related deaths worldwide. Epithelial-mesenchymal transition is a major regulator of cancer metastasis, and increased understanding of this process is essential to improve patient outcomes. Long non-coding RNA (lncRNA) are important regulators of carcinogenesis. To identify lncRNAs associated with colon carcinogenesis, we performed an exploratory differential gene expression analysis comparing paired colon adenocarcinoma and normal colon epithelium using an RNA-sequencing data set. This analysis identified lncRNA ZFAS1 as significantly increased in colon cancer compared to normal colon epithelium. This finding was validated in an institutional cohort using laser capture microdissection. ZFAS1 was also found to be principally located in the cellular cytoplasm. ZFAS1 knockdown was associated with decreased cellular proliferation, migration, and invasion in two colon cancer cell lines (HT29 and SW480). MicroRNA-200b and microRNA-200c (miR-200b and miR-200c) are experimentally validated targets of ZFAS1, and this interaction was confirmed using reciprocal gene knockdown. ZFAS1 knockdown regulated ZEB1 gene expression and downstream targets E-cadherin and vimentin. Knockdown of miR-200b or miR-200c reversed the effect of ZFAS1 knockdown in the ZEB1/E-cadherin, vimentin signaling cascade, and the effects of cellular migration and invasion, but not cellular proliferation. ZFAS1 knockdown was also associated with decreased tumor growth in an in vivo mouse model. These results demonstrate the critical importance of ZFAS1 as a regulator of the miR-200/ZEB1/E-cadherin, vimentin signaling cascade.","container-title":"Cell Death Discovery","DOI":"10.1038/s41420-021-00427-x","ISSN":"2058-7716","issue":"1","journalAbbreviation":"Cell Death Discov.","language":"en","license":"2021 The Author(s)","note":"number: 1\npublisher: Nature Publishing Group","page":"1-14","source":"www.nature.com","title":"Long non-coding RNA ZFAS1 is a major regulator of epithelial-mesenchymal transition through miR-200/ZEB1/E-cadherin, vimentin signaling in colon adenocarcinoma","volume":"7","author":[{"family":"O’Brien","given":"Stephen J."},{"family":"Fiechter","given":"Casey"},{"family":"Burton","given":"James"},{"family":"Hallion","given":"Jacob"},{"family":"Paas","given":"Mason"},{"family":"Patel","given":"Ankur"},{"family":"Patel","given":"Ajay"},{"family":"Rochet","given":"Andre"},{"family":"Scheurlen","given":"Katharina"},{"family":"Gardner","given":"Sarah"},{"family":"Eichenberger","given":"Maurice"},{"family":"Sarojini","given":"Harshini"},{"family":"Srivastava","given":"Sudhir"},{"family":"Rai","given":"Shesh"},{"family":"Kalbfleisch","given":"Theodore"},{"family":"Polk","given":"Hiram C."},{"family":"Galandiuk","given":"Susan"}],"issued":{"date-parts":[["2021",3,26]]}}}],"schema":"https://github.com/citation-style-language/schema/raw/master/csl-citation.json"} </w:instrText>
            </w:r>
            <w:r w:rsidRPr="0026705F">
              <w:rPr>
                <w:sz w:val="18"/>
                <w:szCs w:val="18"/>
                <w:lang w:val="en-US"/>
              </w:rPr>
              <w:fldChar w:fldCharType="separate"/>
            </w:r>
            <w:r w:rsidR="00873504" w:rsidRPr="0026705F">
              <w:rPr>
                <w:sz w:val="18"/>
                <w:lang w:val="en-US"/>
              </w:rPr>
              <w:t>[33,34]</w:t>
            </w:r>
            <w:r w:rsidRPr="0026705F">
              <w:rPr>
                <w:sz w:val="18"/>
                <w:szCs w:val="18"/>
                <w:lang w:val="en-US"/>
              </w:rPr>
              <w:fldChar w:fldCharType="end"/>
            </w:r>
          </w:p>
        </w:tc>
      </w:tr>
      <w:tr w:rsidR="005A43FA" w:rsidRPr="0026705F" w14:paraId="4B3365C6" w14:textId="54000DDB" w:rsidTr="003B34ED">
        <w:trPr>
          <w:trHeight w:val="145"/>
          <w:jc w:val="center"/>
        </w:trPr>
        <w:tc>
          <w:tcPr>
            <w:tcW w:w="2684" w:type="dxa"/>
            <w:shd w:val="clear" w:color="auto" w:fill="auto"/>
            <w:tcMar>
              <w:top w:w="100" w:type="dxa"/>
              <w:left w:w="100" w:type="dxa"/>
              <w:bottom w:w="100" w:type="dxa"/>
              <w:right w:w="100" w:type="dxa"/>
            </w:tcMar>
          </w:tcPr>
          <w:p w14:paraId="00000150" w14:textId="77777777" w:rsidR="005A43FA" w:rsidRPr="0026705F" w:rsidRDefault="005A43FA">
            <w:pPr>
              <w:widowControl w:val="0"/>
              <w:spacing w:after="160" w:line="256" w:lineRule="auto"/>
              <w:rPr>
                <w:i/>
                <w:sz w:val="18"/>
                <w:szCs w:val="18"/>
                <w:lang w:val="en-US"/>
              </w:rPr>
            </w:pPr>
            <w:r w:rsidRPr="0026705F">
              <w:rPr>
                <w:i/>
                <w:sz w:val="18"/>
                <w:szCs w:val="18"/>
                <w:lang w:val="en-US"/>
              </w:rPr>
              <w:t>Placenta-Specific Gene 9 (PLAC9)</w:t>
            </w:r>
          </w:p>
          <w:p w14:paraId="00000151"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*612857)</w:t>
            </w:r>
          </w:p>
        </w:tc>
        <w:tc>
          <w:tcPr>
            <w:tcW w:w="5670" w:type="dxa"/>
            <w:shd w:val="clear" w:color="auto" w:fill="auto"/>
            <w:tcMar>
              <w:top w:w="100" w:type="dxa"/>
              <w:left w:w="100" w:type="dxa"/>
              <w:bottom w:w="100" w:type="dxa"/>
              <w:right w:w="100" w:type="dxa"/>
            </w:tcMar>
          </w:tcPr>
          <w:p w14:paraId="00000152"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Present in the human placenta, fat tissue, prostate, lung, or colon. The elevated expression may be associated with pathological changes in the lungs.</w:t>
            </w:r>
          </w:p>
        </w:tc>
        <w:tc>
          <w:tcPr>
            <w:tcW w:w="1134" w:type="dxa"/>
          </w:tcPr>
          <w:p w14:paraId="21205E7B" w14:textId="3FC2E715" w:rsidR="005A43FA" w:rsidRPr="0026705F" w:rsidRDefault="00F63261">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ZExp5Rrh","properties":{"formattedCitation":"[35,36]","plainCitation":"[35,36]","noteIndex":0},"citationItems":[{"id":"yYDU4LE6/fjgceN5q","uris":["http://zotero.org/users/local/FCDre8wk/items/YA6UBER6"],"itemData":{"id":831,"type":"article-journal","abstract":"Microarray expression profiling of a collection of 15,000 mouse genes with placental and embryonic RNAs revealed candidates for placental-enriched genes, three of which we have confirmed and further characterized. One, Plac1, strongly expressed in all trophoblast-derived cells in the placenta, has been described earlier (Genomics 68 (2000) 305). Here we report that of the other two, Plac8 expression is restricted to the spongiotrophoblast layer during development, whereas Plac9 is weakly expressed though highly enriched in placenta. For both, cDNAs with complete open reading frames were recovered and exon-intron structures inferred from comparisons of mouse cDNA and genomic sequence. The predicted proteins (112 and 108 amino acids) both contain putative signal peptides, with a coiled-coil segment of mPLAC9 as the only other detected motif. Genomic sequence comparisons reveal that in addition to an apparent pseudogene on chromosome 1, Plac8 is expressed at mouse cytoband 5e3. It is tightly conserved in human in a syntenically equivalent ortholog at 4q21.23. Plac9 is present in a single copy on chromosome 14, with a syntenically equivalent human ortholog at 10q22.3. Putative promoter regions up to 10 kb 5' of the transcription units for Plac1, Plac8, and Plac9 contain sites for widely-expressed transcription factors which, by analogy to other instances, may be sufficient to explain placental enrichment.","container-title":"Gene","DOI":"10.1016/s0378-1119(03)00508-0","ISSN":"0378-1119","issue":"2","journalAbbreviation":"Gene","language":"eng","note":"PMID: 12758124","page":"81-89","source":"PubMed","title":"Plac8 and Plac9, novel placental-enriched genes identified through microarray analysis","volume":"309","author":[{"family":"Galaviz-Hernandez","given":"Carlos"},{"family":"Stagg","given":"Carole"},{"family":"Ridder","given":"Gustaaf","non-dropping-particle":"de"},{"family":"Tanaka","given":"Tetsuya S."},{"family":"Ko","given":"Minoru S. H."},{"family":"Schlessinger","given":"David"},{"family":"Nagaraja","given":"Ramaiah"}],"issued":{"date-parts":[["2003",5,8]]}}},{"id":"yYDU4LE6/waYVLYj9","uris":["http://zotero.org/users/local/FCDre8wk/items/N82QWM4S"],"itemData":{"id":833,"type":"article-journal","abstract":"Placenta-specific protein 9 (PLAC9) is a putative secretory protein that was initially identified in the placenta and is involved in cell proliferation and motility. Bioinformatics analyses revealed that PLAC9 is repressed in lung cancers (LCs), especially lung adenocarcinomas, compared to that in the paired adjacent normal tissues, indicating that PLAC9 might be involved in the pathogenesis of pulmonary diseases. To investigate the potential role of PLAC9 in the abnormal reprogramming of airway epithelial cells (AECs), a key cause of pulmonary diseases, we constructed a stable PLAC9-overexpressing human bronchial epithelial cell line (16HBE-GFP-Plac9). We utilized the proteomic approach isobaric tag for relative and absolute quantification (iTRAQ) to analyze the effect of PLAC9 on cellular protein composition. Gene ontology (GO) and pathway analyses revealed that GO terms and pathways associated with cell proliferation, cell cycle progression, and cell motility and migration were significantly enriched among the proteins regulated by PLAC9. Our in vitro results showed that PLAC9 overexpression reduced cell proliferation, altered cell cycle progression, and increased cell motility, including migration and invasion. Our findings suggest that PLAC9 inhibits cell proliferation through S phase arrest by altering the expression levels of cyclin/cyclin-dependent kinases (CDKs) and promotes cell motility, likely via the concerted actions of cyclins, E-cadherin, and vimentin. Since these mechanisms may underlie PLAC9-mediated abnormal human bronchial pathogenesis, our study provides a basis for the development of molecular targeted treatments for LCs.","container-title":"Frontiers in Oncology","ISSN":"2234-943X","source":"Frontiers","title":"Proteomic Analysis Reveals That Placenta-Specific Protein 9 Inhibits Proliferation and Stimulates Motility of Human Bronchial Epithelial Cells","URL":"https://www.frontiersin.org/articles/10.3389/fonc.2021.628480","volume":"11","author":[{"family":"Wang","given":"Hai-Xia"},{"family":"Qin","given":"Xu-Hui"},{"family":"Shen","given":"Jinhua"},{"family":"Liu","given":"Qing-Hua"},{"family":"Shi","given":"Yun-Bo"},{"family":"Xue","given":"Lu"}],"accessed":{"date-parts":[["2023",10,11]]},"issued":{"date-parts":[["2021"]]}}}],"schema":"https://github.com/citation-style-language/schema/raw/master/csl-citation.json"} </w:instrText>
            </w:r>
            <w:r w:rsidRPr="0026705F">
              <w:rPr>
                <w:sz w:val="18"/>
                <w:szCs w:val="18"/>
                <w:lang w:val="en-US"/>
              </w:rPr>
              <w:fldChar w:fldCharType="separate"/>
            </w:r>
            <w:r w:rsidR="00873504" w:rsidRPr="0026705F">
              <w:rPr>
                <w:sz w:val="18"/>
                <w:lang w:val="en-US"/>
              </w:rPr>
              <w:t>[35,36]</w:t>
            </w:r>
            <w:r w:rsidRPr="0026705F">
              <w:rPr>
                <w:sz w:val="18"/>
                <w:szCs w:val="18"/>
                <w:lang w:val="en-US"/>
              </w:rPr>
              <w:fldChar w:fldCharType="end"/>
            </w:r>
          </w:p>
        </w:tc>
      </w:tr>
      <w:tr w:rsidR="005A43FA" w:rsidRPr="0026705F" w14:paraId="0DD4405D" w14:textId="71D558F1" w:rsidTr="003B34ED">
        <w:trPr>
          <w:trHeight w:val="145"/>
          <w:jc w:val="center"/>
        </w:trPr>
        <w:tc>
          <w:tcPr>
            <w:tcW w:w="2684" w:type="dxa"/>
            <w:shd w:val="clear" w:color="auto" w:fill="auto"/>
            <w:tcMar>
              <w:top w:w="100" w:type="dxa"/>
              <w:left w:w="100" w:type="dxa"/>
              <w:bottom w:w="100" w:type="dxa"/>
              <w:right w:w="100" w:type="dxa"/>
            </w:tcMar>
          </w:tcPr>
          <w:p w14:paraId="00000153" w14:textId="77777777" w:rsidR="005A43FA" w:rsidRPr="0026705F" w:rsidRDefault="005A43FA">
            <w:pPr>
              <w:widowControl w:val="0"/>
              <w:spacing w:after="160" w:line="256" w:lineRule="auto"/>
              <w:rPr>
                <w:i/>
                <w:sz w:val="18"/>
                <w:szCs w:val="18"/>
                <w:lang w:val="en-US"/>
              </w:rPr>
            </w:pPr>
            <w:r w:rsidRPr="0026705F">
              <w:rPr>
                <w:i/>
                <w:sz w:val="18"/>
                <w:szCs w:val="18"/>
                <w:lang w:val="en-US"/>
              </w:rPr>
              <w:t>Inhibin, Beta A (INHBA)</w:t>
            </w:r>
          </w:p>
          <w:p w14:paraId="00000154"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*147290)</w:t>
            </w:r>
          </w:p>
        </w:tc>
        <w:tc>
          <w:tcPr>
            <w:tcW w:w="5670" w:type="dxa"/>
            <w:shd w:val="clear" w:color="auto" w:fill="auto"/>
            <w:tcMar>
              <w:top w:w="100" w:type="dxa"/>
              <w:left w:w="100" w:type="dxa"/>
              <w:bottom w:w="100" w:type="dxa"/>
              <w:right w:w="100" w:type="dxa"/>
            </w:tcMar>
          </w:tcPr>
          <w:p w14:paraId="00000155"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Associated with follicle activation in women and follicle-stimulating hormone secretion in men. Elevated expression levels are present in gastric, esophageal, ovarian, or prostate cancer.</w:t>
            </w:r>
          </w:p>
        </w:tc>
        <w:tc>
          <w:tcPr>
            <w:tcW w:w="1134" w:type="dxa"/>
          </w:tcPr>
          <w:p w14:paraId="20C2019A" w14:textId="610AA6E9" w:rsidR="005A43FA" w:rsidRPr="0026705F" w:rsidRDefault="00F63261">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c7jCjT6z","properties":{"formattedCitation":"[37,38]","plainCitation":"[37,38]","noteIndex":0},"citationItems":[{"id":"yYDU4LE6/192gGXPN","uris":["http://zotero.org/users/local/FCDre8wk/items/ACRWZFEI"],"itemData":{"id":835,"type":"article-journal","abstract":"Inhibin subunit beta A(INHBA) encodes an individual from the TGF-β superfamily of proteins and the ligand could be further homo-dimerized to shape activin A or hetero-dimerized to frame inhibin with inhibin beta B. We studied INHBA expression, mutations, regulation, function networks and immune infiltrates in data from patients with Head and neck squamous cell carcinoma (HNSCC) based on different open databases by utilizing multi-dimensional investigation techniques. This study gives staggered evidence for the significance of INHBA in head and neck squamous cell carcinoma and its potential role as a novel biomarker. Our outcomes propose that INHBA overexpression in HNSCC has profound impacts in the center hub of post-transcriptional regulation, which is firmly identified with protein translation. Meanwhile, we also examine the function of the identified miRNAs that were related to INHBA and molecular function of these miRNAs were mainly enhanced in transcription factor activity, transcription regulator activity. In addition, B cells of immune infiltrates affecting the prognosis and might have a prognostic significance related to INHBA in HNSCC. Our outcomes show that data mining efficiently uncovers information about INHBA expression in HNSCC and more importance establishing a foundation for further investigation of the role of INHBA in carcinogenesis.","container-title":"Scientific Reports","DOI":"10.1038/s41598-019-50865-y","ISSN":"2045-2322","issue":"1","journalAbbreviation":"Sci Rep","language":"en","license":"2019 The Author(s)","note":"number: 1\npublisher: Nature Publishing Group","page":"14341","source":"www.nature.com","title":"Expression and gene regulation network of INHBA in Head and neck squamous cell carcinoma based on data mining","volume":"9","author":[{"family":"Wu","given":"Zeng-hong"},{"family":"Tang","given":"Yun"},{"family":"Niu","given":"Xun"},{"family":"Cheng","given":"Qing"}],"issued":{"date-parts":[["2019",10,4]]}}},{"id":"yYDU4LE6/nVIWRuqz","uris":["http://zotero.org/users/local/FCDre8wk/items/J6PA5SBS"],"itemData":{"id":836,"type":"article-journal","abstract":"Background: Inhibin A (INHBA), a member of the TGF-β superfamily, has been shown to be differentially expressed in various cancer types and is associated with prognosis. However, its role in cervical cancer remains unclear.Methods: We aimed to demonstrate the relationship between INHBA expression and pan-cancer using The Cancer Genome Atlas (TCGA) database. Next, we validated INHBA expression in cervical cancer using the Gene Expression Omnibus (GEO) database, including GSE7803, GSE63514, and GSE9750 datasets. Enrichment analysis of INHBA was performed using the R package “clusterProfiler.” We analyzed the association between immune infiltration level and INHBA expression in cervical cancer using the single-sample gene set enrichment analysis (ssGSEA) method by the R package GSVA. We explored the association between INHBA expression and prognosis using the R package “survival”.Results: Pan-cancer data analysis showed that INHBA expression was elevated in 19 tumor types, including cervical cancer. We further confirmed that INHBA expression was higher in cervical cancer samples from GEO database and cervical cancer cell lines than in normal cervical cells. Survival prognosis analysis indicated that higher INHBA expression was significantly associated with reduced Overall Survival (p = 0.001), disease Specific Survival (p = 0.006), and Progression Free Interval (p = 0.001) in cervical cancer and poorer prognosis in other tumors. GSEA and infiltration analysis showed that INHBA expression was significantly associated with tumor progression and some types of immune infiltrating cells.Conclusion:INHBA was highly expressed in cervical cancer and was significantly associated with poor prognosis. Meanwhile, it was correlated with immune cell infiltration and could be used as a promising prognostic target for cervical cancer.","container-title":"Frontiers in Genetics","ISSN":"1664-8021","source":"Frontiers","title":"INHBA is a Prognostic Biomarker and Correlated With Immune Cell Infiltration in Cervical Cancer","URL":"https://www.frontiersin.org/articles/10.3389/fgene.2021.705512","volume":"12","author":[{"family":"Zhao","given":"Kaidi"},{"family":"Yi","given":"Yuexiong"},{"family":"Ma","given":"Zhou"},{"family":"Zhang","given":"Wei"}],"accessed":{"date-parts":[["2023",10,11]]},"issued":{"date-parts":[["2022"]]}}}],"schema":"https://github.com/citation-style-language/schema/raw/master/csl-citation.json"} </w:instrText>
            </w:r>
            <w:r w:rsidRPr="0026705F">
              <w:rPr>
                <w:sz w:val="18"/>
                <w:szCs w:val="18"/>
                <w:lang w:val="en-US"/>
              </w:rPr>
              <w:fldChar w:fldCharType="separate"/>
            </w:r>
            <w:r w:rsidR="00873504" w:rsidRPr="0026705F">
              <w:rPr>
                <w:sz w:val="18"/>
                <w:lang w:val="en-US"/>
              </w:rPr>
              <w:t>[37,38]</w:t>
            </w:r>
            <w:r w:rsidRPr="0026705F">
              <w:rPr>
                <w:sz w:val="18"/>
                <w:szCs w:val="18"/>
                <w:lang w:val="en-US"/>
              </w:rPr>
              <w:fldChar w:fldCharType="end"/>
            </w:r>
          </w:p>
        </w:tc>
      </w:tr>
      <w:tr w:rsidR="005A43FA" w:rsidRPr="0026705F" w14:paraId="22B5E4B0" w14:textId="4DC421B9" w:rsidTr="003B34ED">
        <w:trPr>
          <w:trHeight w:val="145"/>
          <w:jc w:val="center"/>
        </w:trPr>
        <w:tc>
          <w:tcPr>
            <w:tcW w:w="2684" w:type="dxa"/>
            <w:shd w:val="clear" w:color="auto" w:fill="auto"/>
            <w:tcMar>
              <w:top w:w="100" w:type="dxa"/>
              <w:left w:w="100" w:type="dxa"/>
              <w:bottom w:w="100" w:type="dxa"/>
              <w:right w:w="100" w:type="dxa"/>
            </w:tcMar>
          </w:tcPr>
          <w:p w14:paraId="00000156" w14:textId="77777777" w:rsidR="005A43FA" w:rsidRPr="0026705F" w:rsidRDefault="005A43FA">
            <w:pPr>
              <w:widowControl w:val="0"/>
              <w:spacing w:after="160" w:line="256" w:lineRule="auto"/>
              <w:rPr>
                <w:i/>
                <w:sz w:val="18"/>
                <w:szCs w:val="18"/>
                <w:lang w:val="en-US"/>
              </w:rPr>
            </w:pPr>
            <w:r w:rsidRPr="0026705F">
              <w:rPr>
                <w:i/>
                <w:sz w:val="18"/>
                <w:szCs w:val="18"/>
                <w:lang w:val="en-US"/>
              </w:rPr>
              <w:t>Fibronectin Type III Domain-Containing Protein 1 (FNDC1)</w:t>
            </w:r>
          </w:p>
          <w:p w14:paraId="00000157"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 609991)</w:t>
            </w:r>
          </w:p>
        </w:tc>
        <w:tc>
          <w:tcPr>
            <w:tcW w:w="5670" w:type="dxa"/>
            <w:shd w:val="clear" w:color="auto" w:fill="auto"/>
            <w:tcMar>
              <w:top w:w="100" w:type="dxa"/>
              <w:left w:w="100" w:type="dxa"/>
              <w:bottom w:w="100" w:type="dxa"/>
              <w:right w:w="100" w:type="dxa"/>
            </w:tcMar>
          </w:tcPr>
          <w:p w14:paraId="00000158"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FNDC1 presence is detected in the kidneys, thyroid, heart, or digestive system. It plays an important role in the angiogenesis and apoptosis of cardiac cells. Abnormal expression is found in the stomach, prostate, or breast cancer.</w:t>
            </w:r>
          </w:p>
        </w:tc>
        <w:tc>
          <w:tcPr>
            <w:tcW w:w="1134" w:type="dxa"/>
          </w:tcPr>
          <w:p w14:paraId="784E998F" w14:textId="171CCDFE" w:rsidR="005A43FA" w:rsidRPr="0026705F" w:rsidRDefault="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KlW6ZTG7","properties":{"formattedCitation":"[39,40]","plainCitation":"[39,40]","noteIndex":0},"citationItems":[{"id":"yYDU4LE6/7uHumN7w","uris":["http://zotero.org/users/local/FCDre8wk/items/KQ2DFC2S"],"itemData":{"id":840,"type":"article-journal","abstract":"Neoadjuvant chemoradiation (nCRT) followed by radical surgery is the preferred option for locally advanced colorectal cancer (CRC) treatment. However, chemo/radio-resistance remains a main obstacle in CRC therapy. In the study, we analyzed the mRNA expression profiling of CRC patients and revealed that the aberrant expression of fibronectin type III domain containing 1 (FNDC1) was associated with disease progression and poor prognosis in CRC. FNDC1 expression was consistently increased in multiple independent cohorts of CRC. Upregulated FNDC1 in pretreated primary tumor tissues predicted a poor response to nCRT, recurrence, and poor disease-free survival in nCRT-treated CRC patients. FNDC1 overexpression accelerated CRC cell survival on 5-FU or radiation treatment both in vitro and in vivo, whereas FNDC1 inhibition sensitized CRC cells to chemoradiation. In addition, FNDC1 accelerated stem cell-like properties of CRC cells. Furthermore, tumor tissues from non-responders exhibited higher activation of PI3K/Akt signaling than those from responders. FNDC1 depletion repressed 5-FU or irradiation-induced activation of PI3K/AKT in CRC cells. More importantly, pharmacological inhibition of PI3K/Akt signaling effectively decreased the effect of FNDC1 on chemoradiation resistance. Taken together, our study reveals the potential function of FNDC1 as a biomarker to predict nCRT sensitivity in CRC and a therapeutic target in CRC treatment.","container-title":"Biochemical and Biophysical Research Communications","DOI":"10.1016/j.bbrc.2022.02.038","ISSN":"0006-291X","journalAbbreviation":"Biochemical and Biophysical Research Communications","page":"84-90","source":"ScienceDirect","title":"Up-regulated FNDC1 accelerates stemness and chemoradiation resistance in colorectal cancer cells","volume":"602","author":[{"family":"Chen","given":"Lin"},{"family":"Liu","given":"Jie"},{"family":"Wang","given":"Lingfei"},{"family":"Yang","given":"Xudong"},{"family":"Jiang","given":"Qixin"},{"family":"Ji","given":"Fang"},{"family":"Xu","given":"Yan"},{"family":"Fan","given":"Xiaoyu"},{"family":"Zhou","given":"Zhuqing"},{"family":"Fu","given":"Chuangang"}],"issued":{"date-parts":[["2022",4,30]]}}},{"id":"yYDU4LE6/Bq5odF3i","uris":["http://zotero.org/users/local/FCDre8wk/items/4PCYTHAJ"],"itemData":{"id":839,"type":"article-journal","abstract":"BackgroundGastric cancer (GC) has a high morbidity and mortality rate, with peritoneal metastasis (PM) identified as the main site of metastasis. Our previous study found that FNDC1 has a higher frequency of mutations in patients with PM by high-throughput sequencing assay, suggesting that it may be associated with GC invasion and PM, however the specific mechanism remains unclear.MethodsFirst, the correlation between FNDC1 and PM and prognosis of GC was clarified by bioinformatics and clinicopathological analysis. Next, the effect of FNDC1 expression on the invasion and metastasis ability of GC was investigated in vivo and in vitro. Finally, the signaling pathways involved in the regulation of FNDC1 were explored.ResultsFNDC1 was highly expressed in GC and was associated with PM and poor prognosis. FNDC1 was also associated with epithelial-mesenchymal transition (EMT) in GC cells. Through in vivo and in vitro experiments, it was clarified that knockdown of FNDC1 could inhibit the proliferation, invasion, and migration of GC cells. In addition, it was elucidated that FNDC1 promotes EMT through the Wnt/β-catenin signaling pathway.ConclusionFNDC1 may be associated with the invasion of GC and PM after surgery. FNDC1 was highly expressed in GC tissues and cell lines, while significantly associated with poor DFS and OS in GC patients. Both univariate and multivariate analyses suggested that the expression of FNDC1 was an independent factor for GC. Knockdown of FNDC1 also significantly inhibited the proliferation, migration, and activity of GC cells. FNDC1 may promote EMT in GC cells through the regulation of Wnt/β-catenin signaling pathway. FNDC1 has the potential to be used as a predictor of PM and may also be studied in depth as a therapeutic target for GC, which has potential clinical utility and is worthy of further validation.","container-title":"Frontiers in Oncology","ISSN":"2234-943X","source":"Frontiers","title":"FNDC1 Promotes the Invasiveness of Gastric Cancer via Wnt/β-Catenin Signaling Pathway and Correlates With Peritoneal Metastasis and Prognosis","URL":"https://www.frontiersin.org/articles/10.3389/fonc.2020.590492","volume":"10","author":[{"family":"Jiang","given":"Tao"},{"family":"Gao","given":"Wenyu"},{"family":"Lin","given":"Shengjie"},{"family":"Chen","given":"Hao"},{"family":"Du","given":"Bin"},{"family":"Liu","given":"Qing"},{"family":"Lin","given":"Xiaoyan"},{"family":"Chen","given":"Qiang"}],"accessed":{"date-parts":[["2023",10,11]]},"issued":{"date-parts":[["2020"]]}}}],"schema":"https://github.com/citation-style-language/schema/raw/master/csl-citation.json"} </w:instrText>
            </w:r>
            <w:r w:rsidRPr="0026705F">
              <w:rPr>
                <w:sz w:val="18"/>
                <w:szCs w:val="18"/>
                <w:lang w:val="en-US"/>
              </w:rPr>
              <w:fldChar w:fldCharType="separate"/>
            </w:r>
            <w:r w:rsidR="00873504" w:rsidRPr="0026705F">
              <w:rPr>
                <w:sz w:val="18"/>
                <w:lang w:val="en-US"/>
              </w:rPr>
              <w:t>[39,40]</w:t>
            </w:r>
            <w:r w:rsidRPr="0026705F">
              <w:rPr>
                <w:sz w:val="18"/>
                <w:szCs w:val="18"/>
                <w:lang w:val="en-US"/>
              </w:rPr>
              <w:fldChar w:fldCharType="end"/>
            </w:r>
          </w:p>
        </w:tc>
      </w:tr>
      <w:tr w:rsidR="005A43FA" w:rsidRPr="0026705F" w14:paraId="3712F08E" w14:textId="7A65FD9B" w:rsidTr="003B34ED">
        <w:trPr>
          <w:trHeight w:val="145"/>
          <w:jc w:val="center"/>
        </w:trPr>
        <w:tc>
          <w:tcPr>
            <w:tcW w:w="2684" w:type="dxa"/>
            <w:shd w:val="clear" w:color="auto" w:fill="auto"/>
            <w:tcMar>
              <w:top w:w="100" w:type="dxa"/>
              <w:left w:w="100" w:type="dxa"/>
              <w:bottom w:w="100" w:type="dxa"/>
              <w:right w:w="100" w:type="dxa"/>
            </w:tcMar>
          </w:tcPr>
          <w:p w14:paraId="00000159" w14:textId="77777777" w:rsidR="005A43FA" w:rsidRPr="0026705F" w:rsidRDefault="005A43FA">
            <w:pPr>
              <w:widowControl w:val="0"/>
              <w:spacing w:after="160" w:line="256" w:lineRule="auto"/>
              <w:rPr>
                <w:i/>
                <w:sz w:val="18"/>
                <w:szCs w:val="18"/>
                <w:lang w:val="en-US"/>
              </w:rPr>
            </w:pPr>
            <w:proofErr w:type="spellStart"/>
            <w:r w:rsidRPr="0026705F">
              <w:rPr>
                <w:i/>
                <w:sz w:val="18"/>
                <w:szCs w:val="18"/>
                <w:lang w:val="en-US"/>
              </w:rPr>
              <w:t>Dickopf</w:t>
            </w:r>
            <w:proofErr w:type="spellEnd"/>
            <w:r w:rsidRPr="0026705F">
              <w:rPr>
                <w:i/>
                <w:sz w:val="18"/>
                <w:szCs w:val="18"/>
                <w:lang w:val="en-US"/>
              </w:rPr>
              <w:t xml:space="preserve"> </w:t>
            </w:r>
            <w:proofErr w:type="spellStart"/>
            <w:r w:rsidRPr="0026705F">
              <w:rPr>
                <w:i/>
                <w:sz w:val="18"/>
                <w:szCs w:val="18"/>
                <w:lang w:val="en-US"/>
              </w:rPr>
              <w:t>Wnt</w:t>
            </w:r>
            <w:proofErr w:type="spellEnd"/>
            <w:r w:rsidRPr="0026705F">
              <w:rPr>
                <w:i/>
                <w:sz w:val="18"/>
                <w:szCs w:val="18"/>
                <w:lang w:val="en-US"/>
              </w:rPr>
              <w:t xml:space="preserve"> Signaling Pathway Inhibitor 1 (DKK1)</w:t>
            </w:r>
          </w:p>
          <w:p w14:paraId="0000015A"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*605189)</w:t>
            </w:r>
          </w:p>
        </w:tc>
        <w:tc>
          <w:tcPr>
            <w:tcW w:w="5670" w:type="dxa"/>
            <w:shd w:val="clear" w:color="auto" w:fill="auto"/>
            <w:tcMar>
              <w:top w:w="100" w:type="dxa"/>
              <w:left w:w="100" w:type="dxa"/>
              <w:bottom w:w="100" w:type="dxa"/>
              <w:right w:w="100" w:type="dxa"/>
            </w:tcMar>
          </w:tcPr>
          <w:p w14:paraId="0000015B" w14:textId="77777777" w:rsidR="005A43FA" w:rsidRPr="0026705F" w:rsidRDefault="005A43FA" w:rsidP="006A4790">
            <w:pPr>
              <w:widowControl w:val="0"/>
              <w:spacing w:after="160" w:line="256" w:lineRule="auto"/>
              <w:rPr>
                <w:sz w:val="18"/>
                <w:szCs w:val="18"/>
                <w:lang w:val="en-US"/>
              </w:rPr>
            </w:pPr>
            <w:proofErr w:type="spellStart"/>
            <w:r w:rsidRPr="0026705F">
              <w:rPr>
                <w:sz w:val="18"/>
                <w:szCs w:val="18"/>
                <w:lang w:val="en-US"/>
              </w:rPr>
              <w:t>Wnt</w:t>
            </w:r>
            <w:proofErr w:type="spellEnd"/>
            <w:r w:rsidRPr="0026705F">
              <w:rPr>
                <w:sz w:val="18"/>
                <w:szCs w:val="18"/>
                <w:lang w:val="en-US"/>
              </w:rPr>
              <w:t xml:space="preserve"> pathway inhibitor. Expressed in bone, spleen, prostate, colon and placenta. Associated with embryonic development and tumorigenic processes.</w:t>
            </w:r>
          </w:p>
        </w:tc>
        <w:tc>
          <w:tcPr>
            <w:tcW w:w="1134" w:type="dxa"/>
          </w:tcPr>
          <w:p w14:paraId="35BF0A7C" w14:textId="5147842B" w:rsidR="005A43FA" w:rsidRPr="0026705F" w:rsidRDefault="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cDyCT1Zz","properties":{"formattedCitation":"[41,42]","plainCitation":"[41,42]","noteIndex":0},"citationItems":[{"id":"yYDU4LE6/B63heXRQ","uris":["http://zotero.org/users/local/FCDre8wk/items/9PKILPKQ"],"itemData":{"id":843,"type":"article-journal","abstract":"Clinical studies in a range of cancers have detected elevated levels of the Wnt antagonist Dickkopf-1 (DKK1) in the serum or tumors of patients, and this was frequently associated with a poor prognosis. Our analysis of DKK1 gene profile using data from TCGA also proves the high expression of DKK1 in 14 types of cancers. Numerous preclinical studies have demonstrated the cancer-promoting effects of DKK1 in both in vitro cell models and in vivo animal models. Furthermore, DKK1 showed the ability to modulate immune cell activities as well as the immunosuppressive cancer microenvironment. Expression level of DKK1 is positively correlated with infiltrating levels of myeloid-derived suppressor cells (MDSCs) in 20 types of cancers, while negatively associated with CD8+ T cells in 4 of these 20 cancer types. Emerging experimental evidence indicates that DKK1 has been involved in T cell differentiation and induction of cancer evasion of immune surveillance by accumulating MDSCs. Consequently, DKK1 has become a promising target for cancer immunotherapy, and the mechanisms of DKK1 affecting cancers and immune cells have received great attention. This review introduces the rapidly growing body of literature revealing the cancer-promoting and immune regulatory activities of DKK1. In addition, this review also predicts that by understanding the interaction between different domains of DKK1 through computational modeling and functional studies, the underlying functional mechanism of DKK1 could be further elucidated, thus facilitating the development of anti-DKK1 drugs with more promising efficacy in cancer immunotherapy.","container-title":"Frontiers in Immunology","ISSN":"1664-3224","source":"Frontiers","title":"Dickkopf-1: A Promising Target for Cancer Immunotherapy","title-short":"Dickkopf-1","URL":"https://www.frontiersin.org/articles/10.3389/fimmu.2021.658097","volume":"12","author":[{"family":"Chu","given":"Hang Yin"},{"family":"Chen","given":"Zihao"},{"family":"Wang","given":"Luyao"},{"family":"Zhang","given":"Zong-Kang"},{"family":"Tan","given":"Xinhuan"},{"family":"Liu","given":"Shuangshuang"},{"family":"Zhang","given":"Bao-Ting"},{"family":"Lu","given":"Aiping"},{"family":"Yu","given":"Yuanyuan"},{"family":"Zhang","given":"Ge"}],"accessed":{"date-parts":[["2023",10,11]]},"issued":{"date-parts":[["2021"]]}}},{"id":"yYDU4LE6/7KlmGxhd","uris":["http://zotero.org/users/local/FCDre8wk/items/85UVH7JN"],"itemData":{"id":844,"type":"article-journal","abstract":"Wnt signaling plays an important role in embryonic development and tumorigenesis. These biological effects are exerted by activation of the β-catenin/TCF transcription complex and consequent regulation of a set of downstream genes. TCF-binding elements have been found in the promoter regions of many TCF target genes and characterized by a highly conserved consensus sequence. Utilizing this consensus sequence, we performed an in silico screening for new TCF target genes. Through computational screening and subsequent experimental analysis, we identified a novel TCF target gene, DKK1, which has been shown to be a potent inhibitor of Wnt signaling. Our finding suggests the existence of a novel feedback loop in Wnt signaling.","container-title":"Oncogene","DOI":"10.1038/sj.onc.1207892","ISSN":"1476-5594","issue":"52","language":"en","license":"2004 Springer Nature Limited","note":"number: 52\npublisher: Nature Publishing Group","page":"8520-8526","source":"www.nature.com","title":"DKK1, a negative regulator of Wnt signaling, is a target of the β-catenin/TCF pathway","volume":"23","author":[{"family":"Niida","given":"Atsushi"},{"family":"Hiroko","given":"Takatoshi"},{"family":"Kasai","given":"Mana"},{"family":"Furukawa","given":"Yoichi"},{"family":"Nakamura","given":"Yusuke"},{"family":"Suzuki","given":"Yutaka"},{"family":"Sugano","given":"Sumio"},{"family":"Akiyama","given":"Tetsu"}],"issued":{"date-parts":[["2004",11]]}}}],"schema":"https://github.com/citation-style-language/schema/raw/master/csl-citation.json"} </w:instrText>
            </w:r>
            <w:r w:rsidRPr="0026705F">
              <w:rPr>
                <w:sz w:val="18"/>
                <w:szCs w:val="18"/>
                <w:lang w:val="en-US"/>
              </w:rPr>
              <w:fldChar w:fldCharType="separate"/>
            </w:r>
            <w:r w:rsidR="00873504" w:rsidRPr="0026705F">
              <w:rPr>
                <w:sz w:val="18"/>
                <w:lang w:val="en-US"/>
              </w:rPr>
              <w:t>[41,42]</w:t>
            </w:r>
            <w:r w:rsidRPr="0026705F">
              <w:rPr>
                <w:sz w:val="18"/>
                <w:szCs w:val="18"/>
                <w:lang w:val="en-US"/>
              </w:rPr>
              <w:fldChar w:fldCharType="end"/>
            </w:r>
          </w:p>
        </w:tc>
      </w:tr>
      <w:tr w:rsidR="005A43FA" w:rsidRPr="0026705F" w14:paraId="6CA34F66" w14:textId="7D021587" w:rsidTr="003B34ED">
        <w:trPr>
          <w:trHeight w:val="145"/>
          <w:jc w:val="center"/>
        </w:trPr>
        <w:tc>
          <w:tcPr>
            <w:tcW w:w="2684" w:type="dxa"/>
            <w:shd w:val="clear" w:color="auto" w:fill="auto"/>
            <w:tcMar>
              <w:top w:w="100" w:type="dxa"/>
              <w:left w:w="100" w:type="dxa"/>
              <w:bottom w:w="100" w:type="dxa"/>
              <w:right w:w="100" w:type="dxa"/>
            </w:tcMar>
          </w:tcPr>
          <w:p w14:paraId="0000015C" w14:textId="77777777" w:rsidR="005A43FA" w:rsidRPr="0026705F" w:rsidRDefault="005A43FA">
            <w:pPr>
              <w:widowControl w:val="0"/>
              <w:spacing w:after="160" w:line="256" w:lineRule="auto"/>
              <w:rPr>
                <w:i/>
                <w:sz w:val="18"/>
                <w:szCs w:val="18"/>
                <w:lang w:val="en-US"/>
              </w:rPr>
            </w:pPr>
            <w:proofErr w:type="spellStart"/>
            <w:r w:rsidRPr="0026705F">
              <w:rPr>
                <w:i/>
                <w:sz w:val="18"/>
                <w:szCs w:val="18"/>
                <w:lang w:val="en-US"/>
              </w:rPr>
              <w:t>Transgelin</w:t>
            </w:r>
            <w:proofErr w:type="spellEnd"/>
            <w:r w:rsidRPr="0026705F">
              <w:rPr>
                <w:i/>
                <w:sz w:val="18"/>
                <w:szCs w:val="18"/>
                <w:lang w:val="en-US"/>
              </w:rPr>
              <w:t xml:space="preserve"> (TAGLN)</w:t>
            </w:r>
          </w:p>
          <w:p w14:paraId="0000015D"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*600818)</w:t>
            </w:r>
          </w:p>
        </w:tc>
        <w:tc>
          <w:tcPr>
            <w:tcW w:w="5670" w:type="dxa"/>
            <w:shd w:val="clear" w:color="auto" w:fill="auto"/>
            <w:tcMar>
              <w:top w:w="100" w:type="dxa"/>
              <w:left w:w="100" w:type="dxa"/>
              <w:bottom w:w="100" w:type="dxa"/>
              <w:right w:w="100" w:type="dxa"/>
            </w:tcMar>
          </w:tcPr>
          <w:p w14:paraId="0000015E" w14:textId="77777777" w:rsidR="005A43FA" w:rsidRPr="0026705F" w:rsidRDefault="005A43FA" w:rsidP="006A4790">
            <w:pPr>
              <w:widowControl w:val="0"/>
              <w:pBdr>
                <w:top w:val="nil"/>
                <w:left w:val="nil"/>
                <w:bottom w:val="nil"/>
                <w:right w:val="nil"/>
                <w:between w:val="nil"/>
              </w:pBdr>
              <w:rPr>
                <w:sz w:val="18"/>
                <w:szCs w:val="18"/>
                <w:lang w:val="en-US"/>
              </w:rPr>
            </w:pPr>
            <w:r w:rsidRPr="0026705F">
              <w:rPr>
                <w:sz w:val="18"/>
                <w:szCs w:val="18"/>
                <w:lang w:val="en-US"/>
              </w:rPr>
              <w:t>Associated with smooth muscle differentiation. Interacts with stress fibers in MSCs. Has tumor suppressor effects in some types of cancer. Mainly present in endometrium, prostate, bladder as well as adipose tissue.</w:t>
            </w:r>
          </w:p>
        </w:tc>
        <w:tc>
          <w:tcPr>
            <w:tcW w:w="1134" w:type="dxa"/>
          </w:tcPr>
          <w:p w14:paraId="5400DE1E" w14:textId="7644C7E6" w:rsidR="005A43FA" w:rsidRPr="0026705F" w:rsidRDefault="005A5782">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7RsmeXjI","properties":{"formattedCitation":"[43,44]","plainCitation":"[43,44]","noteIndex":0},"citationItems":[{"id":"yYDU4LE6/ORp2v92I","uris":["http://zotero.org/users/local/FCDre8wk/items/6LJXVE3I"],"itemData":{"id":846,"type":"article-journal","abstract":"Elongation of vascular endothelial cells (ECs) is an important process in angiogenesis; however, the molecular mechanisms remain unknown. The actin-crosslinking protein TAGLN (transgelin, also known as SM22 or SM22α) is abundantly expressed in smooth muscle cells (SMCs) and is widely used as a canonical marker for this cell type. In the course of studies using mouse embryonic stem cells (ESCs) carrying an Tagln promoter-driven fluorescence marker, we noticed activation of the Tagln promoter during EC elongation. Tagln promoter activation co-occurred with EC elongation in response to vascular endothelial growth factor A (VEGF-A). Inhibition of phosphoinositide 3-kinase (PI3K)–Akt signaling and mTORC1 also induced EC elongation and Tagln promoter activation. Human umbilical vein endothelial cells (HUVECs) elongated, activated the TAGLN promoter and increased TAGLN transcripts in an angiogenesis model. Genetic disruption of TAGLN augmented angiogenic behaviors of HUVECs, as did the disruption of TAGLN2 and TAGLN3 genes. Tagln expression was found in ECs in mouse embryos. Our results identify TAGLN as a putative regulator of angiogenesis whose expression is activated in elongating ECs. This finding provides insight into the cytoskeletal regulation of EC elongation and an improved understanding of the molecular mechanisms underlying the regulation of angiogenesis.","container-title":"Journal of Cell Science","DOI":"10.1242/jcs.254920","ISSN":"0021-9533","issue":"15","journalAbbreviation":"Journal of Cell Science","page":"jcs254920","source":"Silverchair","title":"The canonical smooth muscle cell marker TAGLN is present in endothelial cells and is involved in angiogenesis","volume":"134","author":[{"family":"Tsuji-Tamura","given":"Kiyomi"},{"family":"Morino-Koga","given":"Saori"},{"family":"Suzuki","given":"Shingo"},{"family":"Ogawa","given":"Minetaro"}],"issued":{"date-parts":[["2021",8,2]]}}},{"id":"yYDU4LE6/vtXW3qqm","uris":["http://zotero.org/users/local/FCDre8wk/items/WN6TPQSB"],"itemData":{"id":847,"type":"article-journal","abstract":"Ovarian cancer (OC) progression is an unmet medical challenge. Since omental metastases were palpated harder than their primary counterparts during cytoreductive surgery of patients with epithelial ovarian cancer (EOC), we were inspired to investigate OC progression from the perspective of biomechanics.","container-title":"Journal of Experimental &amp; Clinical Cancer Research","DOI":"10.1186/s13046-021-02091-6","ISSN":"1756-9966","issue":"1","journalAbbreviation":"Journal of Experimental &amp; Clinical Cancer Research","page":"292","source":"BioMed Central","title":"TAGLN mediated stiffness-regulated ovarian cancer progression via RhoA/ROCK pathway","volume":"40","author":[{"family":"Wei","given":"Xiao"},{"family":"Lou","given":"Hua"},{"family":"Zhou","given":"Dongchen"},{"family":"Jia","given":"Yijuan"},{"family":"Li","given":"Huayi"},{"family":"Huang","given":"Quanfu"},{"family":"Ma","given":"Jingjing"},{"family":"Yang","given":"Zongyuan"},{"family":"Sun","given":"Chaoyang"},{"family":"Meng","given":"Yunchong"},{"family":"Xu","given":"Sen"},{"family":"Yang","given":"Xin"},{"family":"Li","given":"Xiaoting"},{"family":"Ji","given":"Teng"},{"family":"Guo","given":"Zhongzhen"},{"family":"Gao","given":"Qinglei"}],"issued":{"date-parts":[["2021",9,19]]}}}],"schema":"https://github.com/citation-style-language/schema/raw/master/csl-citation.json"} </w:instrText>
            </w:r>
            <w:r w:rsidRPr="0026705F">
              <w:rPr>
                <w:sz w:val="18"/>
                <w:szCs w:val="18"/>
                <w:lang w:val="en-US"/>
              </w:rPr>
              <w:fldChar w:fldCharType="separate"/>
            </w:r>
            <w:r w:rsidR="00873504" w:rsidRPr="0026705F">
              <w:rPr>
                <w:sz w:val="18"/>
                <w:lang w:val="en-US"/>
              </w:rPr>
              <w:t>[43,44]</w:t>
            </w:r>
            <w:r w:rsidRPr="0026705F">
              <w:rPr>
                <w:sz w:val="18"/>
                <w:szCs w:val="18"/>
                <w:lang w:val="en-US"/>
              </w:rPr>
              <w:fldChar w:fldCharType="end"/>
            </w:r>
          </w:p>
        </w:tc>
      </w:tr>
      <w:tr w:rsidR="005A43FA" w:rsidRPr="0026705F" w14:paraId="5029F7C3" w14:textId="40560B53" w:rsidTr="003B34ED">
        <w:trPr>
          <w:trHeight w:val="145"/>
          <w:jc w:val="center"/>
        </w:trPr>
        <w:tc>
          <w:tcPr>
            <w:tcW w:w="2684" w:type="dxa"/>
            <w:shd w:val="clear" w:color="auto" w:fill="auto"/>
            <w:tcMar>
              <w:top w:w="100" w:type="dxa"/>
              <w:left w:w="100" w:type="dxa"/>
              <w:bottom w:w="100" w:type="dxa"/>
              <w:right w:w="100" w:type="dxa"/>
            </w:tcMar>
          </w:tcPr>
          <w:p w14:paraId="0000015F" w14:textId="77777777" w:rsidR="005A43FA" w:rsidRPr="0026705F" w:rsidRDefault="005A43FA">
            <w:pPr>
              <w:widowControl w:val="0"/>
              <w:spacing w:after="160" w:line="256" w:lineRule="auto"/>
              <w:rPr>
                <w:i/>
                <w:sz w:val="18"/>
                <w:szCs w:val="18"/>
                <w:lang w:val="en-US"/>
              </w:rPr>
            </w:pPr>
            <w:r w:rsidRPr="0026705F">
              <w:rPr>
                <w:i/>
                <w:sz w:val="18"/>
                <w:szCs w:val="18"/>
                <w:lang w:val="en-US"/>
              </w:rPr>
              <w:t>Ribosomal Protein S8 (RPS8)</w:t>
            </w:r>
          </w:p>
          <w:p w14:paraId="00000160" w14:textId="77777777" w:rsidR="005A43FA" w:rsidRPr="0026705F" w:rsidRDefault="005A43FA">
            <w:pPr>
              <w:widowControl w:val="0"/>
              <w:pBdr>
                <w:top w:val="nil"/>
                <w:left w:val="nil"/>
                <w:bottom w:val="nil"/>
                <w:right w:val="nil"/>
                <w:between w:val="nil"/>
              </w:pBdr>
              <w:rPr>
                <w:sz w:val="18"/>
                <w:szCs w:val="18"/>
                <w:lang w:val="en-US"/>
              </w:rPr>
            </w:pPr>
            <w:r w:rsidRPr="0026705F">
              <w:rPr>
                <w:sz w:val="18"/>
                <w:szCs w:val="18"/>
                <w:lang w:val="en-US"/>
              </w:rPr>
              <w:t>(MIM *600357)</w:t>
            </w:r>
          </w:p>
        </w:tc>
        <w:tc>
          <w:tcPr>
            <w:tcW w:w="5670" w:type="dxa"/>
            <w:shd w:val="clear" w:color="auto" w:fill="auto"/>
            <w:tcMar>
              <w:top w:w="100" w:type="dxa"/>
              <w:left w:w="100" w:type="dxa"/>
              <w:bottom w:w="100" w:type="dxa"/>
              <w:right w:w="100" w:type="dxa"/>
            </w:tcMar>
          </w:tcPr>
          <w:p w14:paraId="00000161" w14:textId="77777777" w:rsidR="005A43FA" w:rsidRPr="0026705F" w:rsidRDefault="005A43FA" w:rsidP="006A4790">
            <w:pPr>
              <w:widowControl w:val="0"/>
              <w:spacing w:after="160" w:line="256" w:lineRule="auto"/>
              <w:rPr>
                <w:sz w:val="18"/>
                <w:szCs w:val="18"/>
                <w:lang w:val="en-US"/>
              </w:rPr>
            </w:pPr>
            <w:r w:rsidRPr="0026705F">
              <w:rPr>
                <w:sz w:val="18"/>
                <w:szCs w:val="18"/>
                <w:lang w:val="en-US"/>
              </w:rPr>
              <w:t>Encodes a protein that is a component of the small subunit of the 40S ribosome. It is not tissue specific. Increased expression in the presence of tumors and colon polyps.</w:t>
            </w:r>
          </w:p>
        </w:tc>
        <w:tc>
          <w:tcPr>
            <w:tcW w:w="1134" w:type="dxa"/>
          </w:tcPr>
          <w:p w14:paraId="3FFD549B" w14:textId="4A990F69" w:rsidR="005A43FA" w:rsidRPr="0026705F" w:rsidRDefault="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gx03BnL6","properties":{"formattedCitation":"[45,46]","plainCitation":"[45,46]","noteIndex":0},"citationItems":[{"id":"yYDU4LE6/agXLSPgl","uris":["http://zotero.org/users/local/FCDre8wk/items/LARQQRV9"],"itemData":{"id":856,"type":"article-journal","abstract":"Alcohol‑associated hepatocellular carcinoma (HCC) is a subtype of HCC with poor prognosis. The present study aimed to identify key biomarkers for alcohol‑associated HCC. The gene data profiles and corresponding clinical traits of patients with alcohol‑associated HCC were downloaded from The Cancer Genome Atlas (TCGA) database. Firstly, good genes and good samples were identified, which were subsequently used to conduct weighted gene co‑expression network analysis (WGCNA). Hub genes in the significant modules were selected following Gene Ontology (GO) and Kyoto Encyclopedia of Genes and Genomes (KEGG) pathway enrichment analyses, and from constructing a protein‑protein interaction (PPI) network. Real hub genes among hub genes were determined following progression, survival analysis and gene set enrichment analysis (GSEA), as well as reverse transcription‑quantitative PCR and immunohistochemical staining of non‑alcohol‑ and alcohol‑associated HCC samples. In total, 64 good samples of alcohol‑associated HCC with height score &lt;160 were selected, from which 15,195 good genes were identified and used to conduct WGCNA; 8 gene co‑expressed modules were identified using WGCNA, while 3 modules (including pink, magenta and turquoise) were significantly associated with Child‑Pugh score, T‑stage and body weight. Following GO and KEGG analysis and construction of the PPI network, a total of 30 hub genes were identified in the aforementioned 3 gene co‑expressed modules, while 16 hub genes (including AURKB, BUB1, BUB1B, CCNB1, CCNB2, CDC20, CDCA8, CDK1, PLK1, RPS5, RPS7, RPS8, RPS14, RPS27, RPSA and TOP2A) were associated with the development of alcohol‑associated HCC, and had a significant prognosis value. Among these genes, only RPS8 was highly expressed in alcohol‑associated HCC, but not in non‑alcohol‑associated HCC, while RPS5 was not significantly associated in either alcohol‑ or non‑alcohol‑associated HCC. GSEA demonstrated that 10 pathways, including RNA polymerase and ribosome pathways were enriched in alcohol‑associated HCC samples where RPS8 was highly expressed. Taken together, the results of the present study demonstrate that RPS8 may be a novel biomarker for the diagnosis of patients with alcohol‑associated HCC.","container-title":"Oncology Reports","DOI":"10.3892/or.2020.7634","ISSN":"1021-335X","issue":"2","note":"publisher: Spandidos Publications","page":"611-627","source":"www.spandidos-publications.com","title":"Identification of 40S ribosomal protein S8 as a novel biomarker for alcohol‑associated hepatocellular carcinoma using weighted gene co‑expression network analysis","volume":"44","author":[{"family":"Bi","given":"Ningrui"},{"family":"Sun","given":"Yuanmei"},{"family":"Lei","given":"Shan"},{"family":"Zeng","given":"Zhirui"},{"family":"Zhang","given":"Yan"},{"family":"Sun","given":"Chengyi"},{"family":"Yu","given":"Chao"}],"issued":{"date-parts":[["2020",8,1]]}}},{"id":"yYDU4LE6/N2B9jx5h","uris":["http://zotero.org/users/local/FCDre8wk/items/MC9MIVN2"],"itemData":{"id":858,"type":"article-journal","abstract":"Human ribosomes have long been thought to be uniform factories with little regulatory function. Accumulating evidence emphasizes the heterogeneity of ribosomal protein (RP) expression in specific cellular functions and development. However, a systematic understanding of functional relevance of RPs is lacking. Here, we surveyed translational and transcriptional changes after individual knockdown of 75 RPs, 44 from the large subunit (60S) and 31 from the small subunit (40S), by Ribo-seq and RNA-seq analyses. Deficiency of individual RPs altered specific subsets of genes transcriptionally and translationally. RP genes were under cotranslational regulation upon ribosomal stress, and deficiency of the 60S RPs and the 40S RPs had opposite effects. RP deficiency altered the expression of genes related to eight major functional classes, including the cell cycle, cellular metabolism, signal transduction and development. 60S RP deficiency led to greater inhibitory effects on cell growth than did 40S RP deficiency, through P53 signaling. Particularly, we showed that eS8/RPS8 deficiency stimulated apoptosis while eL13/RPL13 or eL18/RPL18 deficiency promoted senescence. We also validated the phenotypic impacts of uL5/RPL11 and eL15/RPL15 deficiency on retina development and angiogenesis, respectively. Overall, our study provides a valuable resource for and novel insights into ribosome regulation in cellular activities, development and diseases.","container-title":"Nucleic Acids Research","DOI":"10.1093/nar/gkac053","ISSN":"0305-1048","issue":"12","journalAbbreviation":"Nucleic Acids Res","note":"PMID: 35137207\nPMCID: PMC9262593","page":"6601-6617","source":"PubMed Central","title":"Deficiency of ribosomal proteins reshapes the transcriptional and translational landscape in human cells","volume":"50","author":[{"family":"Luan","given":"Yizhao"},{"family":"Tang","given":"Nan"},{"family":"Yang","given":"Jiaqi"},{"family":"Liu","given":"Shuting"},{"family":"Cheng","given":"Chichi"},{"family":"Wang","given":"Yan"},{"family":"Chen","given":"Congying"},{"family":"Guo","given":"Ya-nan"},{"family":"Wang","given":"Hongwei"},{"family":"Zhao","given":"Wenxue"},{"family":"Zhao","given":"Qian"},{"family":"Li","given":"Wei"},{"family":"Xiang","given":"Mengqing"},{"family":"Ju","given":"Rong"},{"family":"Xie","given":"Zhi"}],"issued":{"date-parts":[["2022",2,8]]}}}],"schema":"https://github.com/citation-style-language/schema/raw/master/csl-citation.json"} </w:instrText>
            </w:r>
            <w:r w:rsidRPr="0026705F">
              <w:rPr>
                <w:sz w:val="18"/>
                <w:szCs w:val="18"/>
                <w:lang w:val="en-US"/>
              </w:rPr>
              <w:fldChar w:fldCharType="separate"/>
            </w:r>
            <w:r w:rsidR="00873504" w:rsidRPr="0026705F">
              <w:rPr>
                <w:sz w:val="18"/>
                <w:lang w:val="en-US"/>
              </w:rPr>
              <w:t>[45,46]</w:t>
            </w:r>
            <w:r w:rsidRPr="0026705F">
              <w:rPr>
                <w:sz w:val="18"/>
                <w:szCs w:val="18"/>
                <w:lang w:val="en-US"/>
              </w:rPr>
              <w:fldChar w:fldCharType="end"/>
            </w:r>
          </w:p>
        </w:tc>
      </w:tr>
      <w:tr w:rsidR="005A5782" w:rsidRPr="0026705F" w14:paraId="7512C97B" w14:textId="74A395E6" w:rsidTr="003B34ED">
        <w:trPr>
          <w:trHeight w:val="145"/>
          <w:jc w:val="center"/>
        </w:trPr>
        <w:tc>
          <w:tcPr>
            <w:tcW w:w="2684" w:type="dxa"/>
            <w:shd w:val="clear" w:color="auto" w:fill="auto"/>
            <w:tcMar>
              <w:top w:w="100" w:type="dxa"/>
              <w:left w:w="100" w:type="dxa"/>
              <w:bottom w:w="100" w:type="dxa"/>
              <w:right w:w="100" w:type="dxa"/>
            </w:tcMar>
          </w:tcPr>
          <w:p w14:paraId="00000162"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RNA-Binding Motif Protein 3 (RBM3)</w:t>
            </w:r>
          </w:p>
          <w:p w14:paraId="00000163"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*300027)</w:t>
            </w:r>
          </w:p>
        </w:tc>
        <w:tc>
          <w:tcPr>
            <w:tcW w:w="5670" w:type="dxa"/>
            <w:shd w:val="clear" w:color="auto" w:fill="auto"/>
            <w:tcMar>
              <w:top w:w="100" w:type="dxa"/>
              <w:left w:w="100" w:type="dxa"/>
              <w:bottom w:w="100" w:type="dxa"/>
              <w:right w:w="100" w:type="dxa"/>
            </w:tcMar>
          </w:tcPr>
          <w:p w14:paraId="00000164" w14:textId="77777777" w:rsidR="005A5782" w:rsidRPr="0026705F" w:rsidRDefault="005A5782" w:rsidP="006A4790">
            <w:pPr>
              <w:widowControl w:val="0"/>
              <w:pBdr>
                <w:top w:val="nil"/>
                <w:left w:val="nil"/>
                <w:bottom w:val="nil"/>
                <w:right w:val="nil"/>
                <w:between w:val="nil"/>
              </w:pBdr>
              <w:rPr>
                <w:sz w:val="18"/>
                <w:szCs w:val="18"/>
                <w:lang w:val="en-US"/>
              </w:rPr>
            </w:pPr>
            <w:r w:rsidRPr="0026705F">
              <w:rPr>
                <w:sz w:val="18"/>
                <w:szCs w:val="18"/>
                <w:lang w:val="en-US"/>
              </w:rPr>
              <w:t>The elevated expression under hypoxia and cold conditions. Present in highly proliferative tissue. Associated with the proliferation of tumor cells, fibroblasts, and neuronal stem cells.</w:t>
            </w:r>
          </w:p>
        </w:tc>
        <w:tc>
          <w:tcPr>
            <w:tcW w:w="1134" w:type="dxa"/>
          </w:tcPr>
          <w:p w14:paraId="42BA7F5B" w14:textId="30BE5FE8"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PcfprylA","properties":{"formattedCitation":"[47,48]","plainCitation":"[47,48]","noteIndex":0},"citationItems":[{"id":"yYDU4LE6/Dc6m102I","uris":["http://zotero.org/users/local/FCDre8wk/items/YDVSRSMS"],"itemData":{"id":852,"type":"article-journal","abstract":"Hypoxia and other adverse conditions are commonly encountered by rapidly growing cells. The RNA-binding protein RBM3 (RNA-binding motif protein 3), which is transcriptionally induced by low temperature and hypoxia, has recently been implicated in survival of colon cancer cells by mechanisms involving cyclooxygenase-2 (COX-2) signaling. Immunohistochemically, we found strong RBM3 expression in a variety of malignant and proliferating tissues but low expression in resting and terminally differentiated cells. RBM3 expression in fibroblasts and human embryonal kidney (HEK293) cells subjected to serum deprivation or contact inhibition closely paralleled proliferation rates, assessed by real-time RT-PCR and immunoblotting. siRNA-mediated RBM3 knockdown reduced cell viability and finally led to cell death, which did not involve caspase-3-mediated apoptosis, cell cycle arrest, or COX-2 regulation. In contrast, RBM3 over-expression rescued cells from death under serum starvation. This was associated with increased translation rates, as measured by 14C serine and 3H phenylalanine incorporation. Together, RBM3 is a critical factor providing cellular survival advantages in an adverse microenvironment presumably by restoring translation efficacy.","container-title":"Pediatric Research","DOI":"10.1203/PDR.0b013e3181c13326","ISSN":"1530-0447","issue":"1","journalAbbreviation":"Pediatr Res","language":"en","license":"2010 International Pediatrics Research Foundation, Inc.","note":"number: 1\npublisher: Nature Publishing Group","page":"35-41","source":"www.nature.com","title":"The RNA-Binding Protein RBM3 Is Required for Cell Proliferation and Protects Against Serum Deprivation-Induced Cell Death","volume":"67","author":[{"family":"Wellmann","given":"Sven"},{"family":"Truss","given":"Matthias"},{"family":"Bruder","given":"Elisabeth"},{"family":"Tornillo","given":"Luigi"},{"family":"Zelmer","given":"Andrea"},{"family":"Seeger","given":"Karl"},{"family":"Bührer","given":"Christoph"}],"issued":{"date-parts":[["2010",1]]}}},{"id":"yYDU4LE6/Bs1VllP4","uris":["http://zotero.org/users/local/FCDre8wk/items/D7RNK3UG"],"itemData":{"id":854,"type":"article-journal","abstract":"Neural stem cells (NSCs) reside physiologically in a hypoxic niche to maintain self-renewal and multipotency. Whereas mild hypoxia is known to promote NSC proliferation, severe hypoxia in pathological conditions exerts the reverse effect. The multi-functional RNA-binding protein RBM3 is abundant in NSCs and can be regulated by hypoxic exposure. Although RBM3 has been shown to accelerate cell growth in many cell types, whether and how it affects NSC proliferation in hypoxic environment remains largely unknown. In this study, we tested how RBM3 regulates cell proliferation under hypoxia in C17.2 mouse NSC cell line and in primary mouse NSCs from both the forebrain of postnatal day 0 (P0) mice and the subgranular zone (SGZ) of adult mice. Our results demonstrated that RBM3 expression was highly sensitive to hypoxia, and NSCs were arrested in G0/G1 phase by 5, 2.5, and 1% O2 treatment. When we overexpressed RBM3, hypoxia-induced cell cycle arrest in G0/G1 phase was relieved and more cell transit into S phase was observed. Furthermore, cell viability under hypoxia was also increased by RBM3. In contrast, in RBM3-depleted primary NSCs, less BrdU-incorporated cells were detected, indicating exacerbated cell cycle arrest in G1 to S phase transition. Instead, overexpressed RBM3 significantly increased proliferation ratio in primary NSCs. Our findings indicate RBM3 as a potential target to maintain the proliferation capacity of NSCs under hypoxia, which can be important in NSC-based therapies of acute brain injury and chronic neurodegenerative diseases.","container-title":"Frontiers in Cell and Developmental Biology","ISSN":"2296-634X","source":"Frontiers","title":"The RNA-Binding Protein RBM3 Promotes Neural Stem Cell (NSC) Proliferation Under Hypoxia","URL":"https://www.frontiersin.org/articles/10.3389/fcell.2019.00288","volume":"7","author":[{"family":"Yan","given":"Jingyi"},{"family":"Goerne","given":"Tessa"},{"family":"Zelmer","given":"Andrea"},{"family":"Guzman","given":"Raphael"},{"family":"Kapfhammer","given":"Josef P."},{"family":"Wellmann","given":"Sven"},{"family":"Zhu","given":"Xinzhou"}],"accessed":{"date-parts":[["2023",10,11]]},"issued":{"date-parts":[["2019"]]}}}],"schema":"https://github.com/citation-style-language/schema/raw/master/csl-citation.json"} </w:instrText>
            </w:r>
            <w:r w:rsidRPr="0026705F">
              <w:rPr>
                <w:sz w:val="18"/>
                <w:szCs w:val="18"/>
                <w:lang w:val="en-US"/>
              </w:rPr>
              <w:fldChar w:fldCharType="separate"/>
            </w:r>
            <w:r w:rsidR="00873504" w:rsidRPr="0026705F">
              <w:rPr>
                <w:sz w:val="18"/>
                <w:lang w:val="en-US"/>
              </w:rPr>
              <w:t>[47,48]</w:t>
            </w:r>
            <w:r w:rsidRPr="0026705F">
              <w:rPr>
                <w:sz w:val="18"/>
                <w:szCs w:val="18"/>
                <w:lang w:val="en-US"/>
              </w:rPr>
              <w:fldChar w:fldCharType="end"/>
            </w:r>
          </w:p>
        </w:tc>
      </w:tr>
      <w:tr w:rsidR="005A5782" w:rsidRPr="0026705F" w14:paraId="6CC8651F" w14:textId="07B4A7FE" w:rsidTr="003B34ED">
        <w:trPr>
          <w:trHeight w:val="145"/>
          <w:jc w:val="center"/>
        </w:trPr>
        <w:tc>
          <w:tcPr>
            <w:tcW w:w="2684" w:type="dxa"/>
            <w:shd w:val="clear" w:color="auto" w:fill="auto"/>
            <w:tcMar>
              <w:top w:w="100" w:type="dxa"/>
              <w:left w:w="100" w:type="dxa"/>
              <w:bottom w:w="100" w:type="dxa"/>
              <w:right w:w="100" w:type="dxa"/>
            </w:tcMar>
          </w:tcPr>
          <w:p w14:paraId="00000165"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Keratin 18, Type I (KRT18)</w:t>
            </w:r>
          </w:p>
          <w:p w14:paraId="00000166"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*148070)</w:t>
            </w:r>
          </w:p>
        </w:tc>
        <w:tc>
          <w:tcPr>
            <w:tcW w:w="5670" w:type="dxa"/>
            <w:shd w:val="clear" w:color="auto" w:fill="auto"/>
            <w:tcMar>
              <w:top w:w="100" w:type="dxa"/>
              <w:left w:w="100" w:type="dxa"/>
              <w:bottom w:w="100" w:type="dxa"/>
              <w:right w:w="100" w:type="dxa"/>
            </w:tcMar>
          </w:tcPr>
          <w:p w14:paraId="00000167"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KRT18 plays a protective role for epithelial cells and replenishes the tissue as intermediate fibers. It provides mechanical resistance to cells and mediates the processes of apoptosis and cell growth. Abundantly expressed in  colon, small intestine, liver and stomach. Serves as a biomarker and regulator in many neovascular cancers including breast cancer, hepatocellular carcinoma, gastric and colorectal cancer.</w:t>
            </w:r>
          </w:p>
        </w:tc>
        <w:tc>
          <w:tcPr>
            <w:tcW w:w="1134" w:type="dxa"/>
          </w:tcPr>
          <w:p w14:paraId="389D7E43" w14:textId="3F403C09" w:rsidR="005A5782" w:rsidRPr="0026705F" w:rsidRDefault="005A5782"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dK3O8zhX","properties":{"formattedCitation":"[49,50]","plainCitation":"[49,50]","noteIndex":0},"citationItems":[{"id":"yYDU4LE6/Gg9nGBOW","uris":["http://zotero.org/users/local/FCDre8wk/items/5JMGWKAU"],"itemData":{"id":861,"type":"article-journal","abstract":"Keratin 18 (KRT18), one of the most abundant keratins in epithelial and endothelial cells, has been reported to be aberrantly expressed in many malignancies and extensively regarded as a biomarker and important regulator in multiple cancers, including gastric cancer (GC). But the molecular regulatory mechanisms of KRT18 in GC patients and cells are largely unknown. In the present study, we analyzed the expression level of KRT18 in 450 stomach adenocarcinoma tissue samples from TCGA database and found a significantly higher expression level in tumor tissues. We then explored the potential functions of KRT18 in AGS cells (human gastric adenocarcinoma cell line) by KRT18 knockdown using siRNA and whole transcriptome RNA-seq analysis. Notably, KRT18 selectively regulates expression of cell proliferation and apoptotic genes. Beyond this, KRT18 affects the alternative splicing of genes enriched in apoptosis, cell cycle, and other cancer-related pathways, which were then validated by reverse transcription–quantitative polymerase chain reaction approach. We validated KRT18-KD promoted apoptosis and inhibited proliferation in AGS cells. We then used RNA-seq data of GC samples to further demonstrate the modulation of KRT18 on alternative splicing regulation. These results together support the conclusion that KRT18 extensively modulates diverse alternative splicing events of genes enriched in proliferation and apoptosis processes. And the dysregulated splicing factors at transcriptional or posttranscriptional level by KRT18 may contribute to the alternative splicing change of many genes, which expands the functional importance of keratins in apoptotic and cell cycle pathways at the posttranscriptional level in GC.","container-title":"Frontiers in Genetics","ISSN":"1664-8021","source":"Frontiers","title":"KRT18 Modulates Alternative Splicing of Genes Involved in Proliferation and Apoptosis Processes in Both Gastric Cancer Cells and Clinical Samples","URL":"https://www.frontiersin.org/articles/10.3389/fgene.2021.635429","volume":"12","author":[{"family":"Chen","given":"Biao"},{"family":"Xu","given":"Ximing"},{"family":"Lin","given":"Dan-dan"},{"family":"Chen","given":"Xin"},{"family":"Xu","given":"Yang-tao"},{"family":"Liu","given":"Xin"},{"family":"Dong","given":"Wei-guo"}],"accessed":{"date-parts":[["2023",10,11]]},"issued":{"date-parts":[["2021"]]}}},{"id":"yYDU4LE6/0TPSdKyc","uris":["http://zotero.org/users/local/FCDre8wk/items/CRFUBJWY"],"itemData":{"id":862,"type":"article-journal","abstract":"Purpose Keratin 18 (KRT18) is a cytoskeleton protein that plays a key role in multiple cancers. The present study aims to further investigate the roles of KRT18 in gastric cancer (GC) tissues and cells. Methods The KRT18 protein expression levels of GC tissues and cells were detected using immunohistochemistry and western blot. The relationship between KRT18 expression levels and the prognosis of GC patients was further analyzed. To explore this relationship, small interfering RNA (siRNA) was used to inhibit the endogenous expression of KRT18 in GC cells. Furthermore, the effects of KRT18 on the proliferation, invasion, migration, and apoptosis of GC cells were analyzed in vitro. In addition, the role of KRT18 in GC-specific processes was investigated. Results Keratin 18 expression was shown to be up-regulated in GC tissues and associated with poor prognosis. Following KRT18 silencing with siRNA, the proliferation, invasion, and migration ability of GC cells were significantly inhibited, while the apoptotic process was promoted. Furthermore, the activation of the MAPK signalling pathway was identified as the potential mechanism through which KRT18 influenced GC processes. Conclusions Keratin 18 plays a cancer-promoting role and might be a potential therapeutic target in the treatment of GC.","container-title":"Clinical and Experimental Pharmacology and Physiology","DOI":"10.1111/1440-1681.13401","ISSN":"1440-1681","issue":"1","language":"en","license":"© 2020 John Wiley &amp; Sons Australia, Ltd","note":"_eprint: https://onlinelibrary.wiley.com/doi/pdf/10.1111/1440-1681.13401","page":"147-156","source":"Wiley Online Library","title":"Keratin 18 induces proliferation, migration, and invasion in gastric cancer via the MAPK signalling pathway","volume":"48","author":[{"family":"Wang","given":"Peng-Bin"},{"family":"Chen","given":"Yan"},{"family":"Ding","given":"Guang-Rong"},{"family":"Du","given":"Hong-Wei"},{"family":"Fan","given":"Hong-Yan"}],"issued":{"date-parts":[["2021"]]}}}],"schema":"https://github.com/citation-style-language/schema/raw/master/csl-citation.json"} </w:instrText>
            </w:r>
            <w:r w:rsidRPr="0026705F">
              <w:rPr>
                <w:sz w:val="18"/>
                <w:szCs w:val="18"/>
                <w:lang w:val="en-US"/>
              </w:rPr>
              <w:fldChar w:fldCharType="separate"/>
            </w:r>
            <w:r w:rsidR="00873504" w:rsidRPr="0026705F">
              <w:rPr>
                <w:sz w:val="18"/>
                <w:lang w:val="en-US"/>
              </w:rPr>
              <w:t>[49,50]</w:t>
            </w:r>
            <w:r w:rsidRPr="0026705F">
              <w:rPr>
                <w:sz w:val="18"/>
                <w:szCs w:val="18"/>
                <w:lang w:val="en-US"/>
              </w:rPr>
              <w:fldChar w:fldCharType="end"/>
            </w:r>
          </w:p>
        </w:tc>
      </w:tr>
      <w:tr w:rsidR="005A5782" w:rsidRPr="0026705F" w14:paraId="5EDC56C3" w14:textId="0D0192A8" w:rsidTr="003B34ED">
        <w:trPr>
          <w:trHeight w:val="145"/>
          <w:jc w:val="center"/>
        </w:trPr>
        <w:tc>
          <w:tcPr>
            <w:tcW w:w="2684" w:type="dxa"/>
            <w:shd w:val="clear" w:color="auto" w:fill="auto"/>
            <w:tcMar>
              <w:top w:w="100" w:type="dxa"/>
              <w:left w:w="100" w:type="dxa"/>
              <w:bottom w:w="100" w:type="dxa"/>
              <w:right w:w="100" w:type="dxa"/>
            </w:tcMar>
          </w:tcPr>
          <w:p w14:paraId="00000168"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Insulin-Like Growth Factor-Binding Protein 7 (IGFBP7)</w:t>
            </w:r>
          </w:p>
          <w:p w14:paraId="00000169"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*602867)</w:t>
            </w:r>
          </w:p>
        </w:tc>
        <w:tc>
          <w:tcPr>
            <w:tcW w:w="5670" w:type="dxa"/>
            <w:shd w:val="clear" w:color="auto" w:fill="auto"/>
            <w:tcMar>
              <w:top w:w="100" w:type="dxa"/>
              <w:left w:w="100" w:type="dxa"/>
              <w:bottom w:w="100" w:type="dxa"/>
              <w:right w:w="100" w:type="dxa"/>
            </w:tcMar>
          </w:tcPr>
          <w:p w14:paraId="0000016A" w14:textId="08F29716" w:rsidR="005A5782" w:rsidRPr="0026705F" w:rsidRDefault="005A5782" w:rsidP="006A4790">
            <w:pPr>
              <w:widowControl w:val="0"/>
              <w:spacing w:after="160" w:line="256" w:lineRule="auto"/>
              <w:rPr>
                <w:sz w:val="18"/>
                <w:szCs w:val="18"/>
                <w:lang w:val="en-US"/>
              </w:rPr>
            </w:pPr>
            <w:r w:rsidRPr="0026705F">
              <w:rPr>
                <w:sz w:val="18"/>
                <w:szCs w:val="18"/>
                <w:lang w:val="en-US"/>
              </w:rPr>
              <w:t xml:space="preserve">Strongly associated with endothelial cells. Expressed in organs of the gastrointestinal tract and in the brain, spleen, or kidneys. Acts as an oncogene or tumor suppressor gene in various types of cancer. </w:t>
            </w:r>
          </w:p>
        </w:tc>
        <w:tc>
          <w:tcPr>
            <w:tcW w:w="1134" w:type="dxa"/>
          </w:tcPr>
          <w:p w14:paraId="1063E0FF" w14:textId="555DE5F1" w:rsidR="005A5782" w:rsidRPr="0026705F" w:rsidRDefault="005A5782"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{"citationID":"eSGzao0D","properties":{"formattedCitation":"[51,52]","plainCitation":"[51,52]","noteIndex":0},"citationItems":[{"id":"yYDU4LE6/Pc3HCgUN","uris":["http://zotero.org/users/local/FCDre8wk/items/Y2ICEGLN"],"itemData":{"id":865,"type":"article-journal","abstract":"The insulin/insulin-like growth factors (IGFs) have crucial tasks in the growth, differentiation, and proliferation of healthy and pernicious cells. They are involved in coordinated complexes, including receptors, ligands, binding proteins, and proteases. However, the systems can become dysregulated in tumorigenesis. Insulin-like growth factor-binding protein 7 (IGFBP7) is a protein belonging to the IGFBP superfamily (also termed GFBP-related proteins). Numerous studies have provided evidence that IGFBP3 and IGFBP7 are involved in a variety of cancers, including hepatocellular carcinoma (HCC), breast cancer, gastroesophageal cancer, colon cancer, prostate cancer, among many others. Still, very few suggest an interaction between these two molecules. In studying several cancer types in our laboratories, we found that both proteins share some crucial signaling pathways. The objective of this review is to present a comprehensive overview of the relationship between IGFBP7 and cancer, as well as highlighting IGFBP3 crosstalk with IGFBP7 reported in recent studies.","container-title":"Frontiers in Oncology","ISSN":"2234-943X","source":"Frontiers","title":"Insulin Growth Factor Binding Protein 7 (IGFBP7)-Related Cancer and IGFBP3 and IGFBP7 Crosstalk","URL":"https://www.frontiersin.org/articles/10.3389/fonc.2020.00727","volume":"10","author":[{"family":"Jin","given":"Li"},{"family":"Shen","given":"Fan"},{"family":"Weinfeld","given":"Michael"},{"family":"Sergi","given":"Consolato"}],"accessed":{"date-parts":[["2023",10,11]]},"issued":{"date-parts":[["2020"]]}}},{"id":"yYDU4LE6/dG6NYWUj","uris":["http://zotero.org/users/local/FCDre8wk/items/5GYXYCUK"],"itemData":{"id":867,"type":"article-journal","abstract":"Heart failure (HF) is a rising global cardiovascular epidemic driven by aging and chronic inflammation. As elderly populations continue to increase, precision treatments for age-related cardiac decline are urgently needed. Here we report that cardiac and blood expression of IGFBP7 is robustly increased in patients with chronic HF and in an HF mouse model. In a pressure overload mouse HF model, Igfbp7 deficiency attenuated cardiac dysfunction by reducing cardiac inflammatory injury, tissue fibrosis and cellular senescence. IGFBP7 promoted cardiac senescence by stimulating IGF-1R/IRS/AKT-dependent suppression of FOXO3a, preventing DNA repair and reactive oxygen species (ROS) detoxification, thereby accelerating the progression of HF. In vivo, AAV9-shRNA-mediated cardiac myocyte Igfbp7 knockdown indicated that myocardial IGFBP7 directly regulates pathological cardiac remodeling. Moreover, antibody-mediated IGFBP7 neutralization in vivo reversed IGFBP7-induced suppression of FOXO3a, restored DNA repair and ROS detoxification signals and attenuated pressure-overload-induced HF in mice. Consequently, selectively targeting IGFBP7-regulated senescence pathways may have broad therapeutic potential for HF.","container-title":"Nature Cardiovascular Research","DOI":"10.1038/s44161-022-00181-y","ISSN":"2731-0590","issue":"12","journalAbbreviation":"Nat Cardiovasc Res","language":"en","license":"2022 The Author(s)","note":"number: 12\npublisher: Nature Publishing Group","page":"1195-1214","source":"www.nature.com","title":"Insulin-like growth factor-binding protein-7 (IGFBP7) links senescence to heart failure","volume":"1","author":[{"family":"Zhang","given":"Liyong"},{"family":"Smyth","given":"David"},{"family":"Al-Khalaf","given":"Mohammad"},{"family":"Blet","given":"Alice"},{"family":"Du","given":"Qiujiang"},{"family":"Bernick","given":"Jordan"},{"family":"Gong","given":"Michael"},{"family":"Chi","given":"Xu"},{"family":"Oh","given":"Yena"},{"family":"Roba-Oshin","given":"Malaika"},{"family":"Coletta","given":"Elizabeth"},{"family":"Feletou","given":"Michel"},{"family":"Gramolini","given":"Anthony O."},{"family":"Kim","given":"Kyoung-Han"},{"family":"Coutinho","given":"Thais"},{"family":"Januzzi","given":"James L."},{"family":"Tyl","given":"Benoit"},{"family":"Ziegler","given":"Andre"},{"family":"Liu","given":"Peter P."}],"issued":{"date-parts":[["2022",12]]}}}],"schema":"https://github.com/citation-style-language/schema/raw/master/csl-citation.json"} </w:instrText>
            </w:r>
            <w:r w:rsidRPr="0026705F">
              <w:rPr>
                <w:sz w:val="18"/>
                <w:szCs w:val="18"/>
                <w:lang w:val="en-US"/>
              </w:rPr>
              <w:fldChar w:fldCharType="separate"/>
            </w:r>
            <w:r w:rsidR="00873504" w:rsidRPr="0026705F">
              <w:rPr>
                <w:sz w:val="18"/>
                <w:lang w:val="en-US"/>
              </w:rPr>
              <w:t>[51,52]</w:t>
            </w:r>
            <w:r w:rsidRPr="0026705F">
              <w:rPr>
                <w:sz w:val="18"/>
                <w:szCs w:val="18"/>
                <w:lang w:val="en-US"/>
              </w:rPr>
              <w:fldChar w:fldCharType="end"/>
            </w:r>
          </w:p>
        </w:tc>
      </w:tr>
      <w:tr w:rsidR="005A5782" w:rsidRPr="0026705F" w14:paraId="45F96476" w14:textId="62BB3F52" w:rsidTr="003B34ED">
        <w:trPr>
          <w:trHeight w:val="145"/>
          <w:jc w:val="center"/>
        </w:trPr>
        <w:tc>
          <w:tcPr>
            <w:tcW w:w="2684" w:type="dxa"/>
            <w:shd w:val="clear" w:color="auto" w:fill="auto"/>
            <w:tcMar>
              <w:top w:w="100" w:type="dxa"/>
              <w:left w:w="100" w:type="dxa"/>
              <w:bottom w:w="100" w:type="dxa"/>
              <w:right w:w="100" w:type="dxa"/>
            </w:tcMar>
          </w:tcPr>
          <w:p w14:paraId="0000016B"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lastRenderedPageBreak/>
              <w:t xml:space="preserve">Matrix Gamma- </w:t>
            </w:r>
            <w:proofErr w:type="spellStart"/>
            <w:r w:rsidRPr="0026705F">
              <w:rPr>
                <w:i/>
                <w:sz w:val="18"/>
                <w:szCs w:val="18"/>
                <w:lang w:val="en-US"/>
              </w:rPr>
              <w:t>Carboxyglutamic</w:t>
            </w:r>
            <w:proofErr w:type="spellEnd"/>
            <w:r w:rsidRPr="0026705F">
              <w:rPr>
                <w:i/>
                <w:sz w:val="18"/>
                <w:szCs w:val="18"/>
                <w:lang w:val="en-US"/>
              </w:rPr>
              <w:t xml:space="preserve"> Acid (MGP)</w:t>
            </w:r>
          </w:p>
          <w:p w14:paraId="0000016C"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*154870)</w:t>
            </w:r>
          </w:p>
        </w:tc>
        <w:tc>
          <w:tcPr>
            <w:tcW w:w="5670" w:type="dxa"/>
            <w:shd w:val="clear" w:color="auto" w:fill="auto"/>
            <w:tcMar>
              <w:top w:w="100" w:type="dxa"/>
              <w:left w:w="100" w:type="dxa"/>
              <w:bottom w:w="100" w:type="dxa"/>
              <w:right w:w="100" w:type="dxa"/>
            </w:tcMar>
          </w:tcPr>
          <w:p w14:paraId="0000016D"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Mesenchymal gene, at first isolated from bone tissue. Also present in kidney, lung or cartilage. Overexpressed in skin, breast, and ovarian cancers. Inhibits calcification of arteries and cartilage.</w:t>
            </w:r>
          </w:p>
        </w:tc>
        <w:tc>
          <w:tcPr>
            <w:tcW w:w="1134" w:type="dxa"/>
          </w:tcPr>
          <w:p w14:paraId="44791ED4" w14:textId="07B99A39" w:rsidR="005A5782" w:rsidRPr="0026705F" w:rsidRDefault="00DB70EC"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j7bKGxhw","properties":{"formattedCitation":"[53,54]","plainCitation":"[53,54]","noteIndex":0},"citationItems":[{"id":"yYDU4LE6/kZPJV8kL","uris":["http://zotero.org/users/local/FCDre8wk/items/QF58GHZP"],"itemData":{"id":871,"type":"article-journal","container-title":"Osteoarthritis and Cartilage","DOI":"10.1016/j.joca.2021.05.001","ISSN":"1063-4584, 1522-9653","issue":"8","journalAbbreviation":"Osteoarthritis and Cartilage","language":"English","note":"publisher: Elsevier\nPMID: 33984465","page":"1193-1202","source":"www.oarsijournal.com","title":"Characterization of dynamic changes in Matrix Gla Protein (MGP) gene expression as function of genetic risk alleles, osteoarthritis relevant stimuli, and the vitamin K inhibitor warfarin","volume":"29","author":[{"family":"Houtman","given":"E."},{"family":"Almeida","given":"R. Coutinho","dropping-particle":"de"},{"family":"Tuerlings","given":"M."},{"family":"Suchiman","given":"H. E. D."},{"family":"Broekhuis","given":"D."},{"family":"Nelissen","given":"R. G. H. H."},{"family":"Ramos","given":"Y. F. M."},{"family":"Meurs","given":"J. B. J.","dropping-particle":"van"},{"family":"Meulenbelt","given":"I."}],"issued":{"date-parts":[["2021",8,1]]}}},{"id":"yYDU4LE6/EB3i8GNC","uris":["http://zotero.org/users/local/FCDre8wk/items/T7FK3F3G"],"itemData":{"id":869,"type":"article-journal","abstract":"Recent studies have demonstrated that a molecular subtype of glioblastoma is characterized by overexpression of extracellular matrix (ECM)/mesenchymal components and shorter survival. Specifically, gene expression profiling studies revealed that matrix gla protein (MGP), whose function has traditionally been linked to inhibition of calcification of arteries and cartilage, is overexpressed in glioblastomas and associated with worse outcome.","container-title":"BMC Cancer","DOI":"10.1186/1471-2407-9-302","ISSN":"1471-2407","issue":"1","journalAbbreviation":"BMC Cancer","page":"302","source":"BioMed Central","title":"Matrix gla protein (MGP): an overexpressed and migration-promoting mesenchymal component in glioblastoma","title-short":"Matrix gla protein (MGP)","volume":"9","author":[{"family":"Mertsch","given":"Sonja"},{"family":"Schurgers","given":"Leon J."},{"family":"Weber","given":"Kathrin"},{"family":"Paulus","given":"Werner"},{"family":"Senner","given":"Volker"}],"issued":{"date-parts":[["2009",8,27]]}}}],"schema":"https://github.com/citation-style-language/schema/raw/master/csl-citation.json"} </w:instrText>
            </w:r>
            <w:r w:rsidRPr="0026705F">
              <w:rPr>
                <w:sz w:val="18"/>
                <w:szCs w:val="18"/>
                <w:lang w:val="en-US"/>
              </w:rPr>
              <w:fldChar w:fldCharType="separate"/>
            </w:r>
            <w:r w:rsidR="00873504" w:rsidRPr="0026705F">
              <w:rPr>
                <w:sz w:val="18"/>
                <w:lang w:val="en-US"/>
              </w:rPr>
              <w:t>[53,54]</w:t>
            </w:r>
            <w:r w:rsidRPr="0026705F">
              <w:rPr>
                <w:sz w:val="18"/>
                <w:szCs w:val="18"/>
                <w:lang w:val="en-US"/>
              </w:rPr>
              <w:fldChar w:fldCharType="end"/>
            </w:r>
          </w:p>
        </w:tc>
      </w:tr>
      <w:tr w:rsidR="005A5782" w:rsidRPr="0026705F" w14:paraId="0B8FD2BF" w14:textId="75A09663" w:rsidTr="003B34ED">
        <w:trPr>
          <w:trHeight w:val="826"/>
          <w:jc w:val="center"/>
        </w:trPr>
        <w:tc>
          <w:tcPr>
            <w:tcW w:w="2684" w:type="dxa"/>
            <w:shd w:val="clear" w:color="auto" w:fill="auto"/>
            <w:tcMar>
              <w:top w:w="100" w:type="dxa"/>
              <w:left w:w="100" w:type="dxa"/>
              <w:bottom w:w="100" w:type="dxa"/>
              <w:right w:w="100" w:type="dxa"/>
            </w:tcMar>
          </w:tcPr>
          <w:p w14:paraId="0000016E"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 xml:space="preserve">Myosin, Heavy Chain 10, </w:t>
            </w:r>
            <w:proofErr w:type="spellStart"/>
            <w:r w:rsidRPr="0026705F">
              <w:rPr>
                <w:i/>
                <w:sz w:val="18"/>
                <w:szCs w:val="18"/>
                <w:lang w:val="en-US"/>
              </w:rPr>
              <w:t>Nonmuscle</w:t>
            </w:r>
            <w:proofErr w:type="spellEnd"/>
            <w:r w:rsidRPr="0026705F">
              <w:rPr>
                <w:i/>
                <w:sz w:val="18"/>
                <w:szCs w:val="18"/>
                <w:lang w:val="en-US"/>
              </w:rPr>
              <w:t xml:space="preserve"> (MYH10)</w:t>
            </w:r>
          </w:p>
          <w:p w14:paraId="0000016F"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*160776)</w:t>
            </w:r>
          </w:p>
        </w:tc>
        <w:tc>
          <w:tcPr>
            <w:tcW w:w="5670" w:type="dxa"/>
            <w:shd w:val="clear" w:color="auto" w:fill="auto"/>
            <w:tcMar>
              <w:top w:w="100" w:type="dxa"/>
              <w:left w:w="100" w:type="dxa"/>
              <w:bottom w:w="100" w:type="dxa"/>
              <w:right w:w="100" w:type="dxa"/>
            </w:tcMar>
          </w:tcPr>
          <w:p w14:paraId="00000170"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 xml:space="preserve">It is part of </w:t>
            </w:r>
            <w:proofErr w:type="spellStart"/>
            <w:r w:rsidRPr="0026705F">
              <w:rPr>
                <w:sz w:val="18"/>
                <w:szCs w:val="18"/>
                <w:lang w:val="en-US"/>
              </w:rPr>
              <w:t>nonmuscle</w:t>
            </w:r>
            <w:proofErr w:type="spellEnd"/>
            <w:r w:rsidRPr="0026705F">
              <w:rPr>
                <w:sz w:val="18"/>
                <w:szCs w:val="18"/>
                <w:lang w:val="en-US"/>
              </w:rPr>
              <w:t xml:space="preserve"> myosin II. Associated with morphogenesis, cytokinesis, adhesion, cell polarity and motility, transport of organelles. Present in lung, placenta, brain or adipocytes.</w:t>
            </w:r>
          </w:p>
        </w:tc>
        <w:tc>
          <w:tcPr>
            <w:tcW w:w="1134" w:type="dxa"/>
          </w:tcPr>
          <w:p w14:paraId="2CB638F8" w14:textId="004717CB" w:rsidR="005A5782" w:rsidRPr="0026705F" w:rsidRDefault="00DB70EC"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hyrxcrIP","properties":{"formattedCitation":"[55,56]","plainCitation":"[55,56]","noteIndex":0},"citationItems":[{"id":"yYDU4LE6/hWd0jTnP","uris":["http://zotero.org/users/local/FCDre8wk/items/JQJ8P3M4"],"itemData":{"id":875,"type":"article-journal","abstract":"Impaired alveolar formation and maintenance are features of many pulmonary diseases that are associated with significant morbidity and mortality. In a forward genetic screen for modulators of mouse lung development, we identified the non-muscle myosin II heavy chain gene, Myh10. Myh10 mutant pups exhibit cyanosis and respiratory distress, and die shortly after birth from differentiation defects in alveolar epithelium and mesenchyme. From omics analyses and follow up studies, we find decreased Thrombospondin expression accompanied with increased matrix metalloproteinase activity in both mutant lungs and cultured mutant fibroblasts, as well as disrupted extracellular matrix (ECM) remodeling. Loss of Myh10 specifically in mesenchymal cells results in ECM deposition defects and alveolar simplification. Notably, MYH10 expression is downregulated in the lung of emphysema patients. Altogether, our findings reveal critical roles for Myh10 in alveologenesis at least in part via the regulation of ECM remodeling, which may contribute to the pathogenesis of emphysema.","container-title":"Nature Communications","DOI":"10.1038/s41467-018-06833-7","ISSN":"2041-1723","issue":"1","journalAbbreviation":"Nat Commun","language":"en","license":"2018 The Author(s)","note":"number: 1\npublisher: Nature Publishing Group","page":"4600","source":"www.nature.com","title":"Myh10 deficiency leads to defective extracellular matrix remodeling and pulmonary disease","volume":"9","author":[{"family":"Kim","given":"Hyun-Taek"},{"family":"Yin","given":"Wenguang"},{"family":"Jin","given":"Young-June"},{"family":"Panza","given":"Paolo"},{"family":"Gunawan","given":"Felix"},{"family":"Grohmann","given":"Beate"},{"family":"Buettner","given":"Carmen"},{"family":"Sokol","given":"Anna M."},{"family":"Preussner","given":"Jens"},{"family":"Guenther","given":"Stefan"},{"family":"Kostin","given":"Sawa"},{"family":"Ruppert","given":"Clemens"},{"family":"Bhagwat","given":"Aditya M."},{"family":"Ma","given":"Xuefei"},{"family":"Graumann","given":"Johannes"},{"family":"Looso","given":"Mario"},{"family":"Guenther","given":"Andreas"},{"family":"Adelstein","given":"Robert S."},{"family":"Offermanns","given":"Stefan"},{"family":"Stainier","given":"Didier Y. R."}],"issued":{"date-parts":[["2018",11,2]]}}},{"id":"yYDU4LE6/ssiqCsGD","uris":["http://zotero.org/users/local/FCDre8wk/items/RBNV24QK"],"itemData":{"id":877,"type":"article-journal","abstract":"Adipogenesis is dependent on cytoskeletal remodeling that determines and maintains cellular shape and function. Cytoskeletal proteins contribute to the filament-based network responsible for controlling the shape of adipocytes and promoting the intracellular trafficking of cellular components. Currently, the understanding of these mechanisms and their effect on differentiation and adipocyte function remains incomplete. In this study, we identified the non-muscle myosin 10 (MYH10) as a novel regulator of adipogenesis and adipocyte function through its interaction with the insulin-dependent glucose transporter 4 (GLUT4). MYH10 depletion in preadipocytes resulted in impaired adipogenesis, with knockdown cells exhibiting an absence of morphological alteration and molecular signals. MYH10 was shown in a complex with GLUT4 in adipocytes, an interaction regulated by insulin induction. The missing adipogenic capacity of MYH10 knockdown cells was restored when the cells took up GLUT4 vesicles from neighbor wildtype cells in a co-culture system. This signaling cascade is regulated by the protein kinase C ζ (PKCζ), which interacts with MYH10 to modify the localization and interaction of both GLUT4 and MYH10 in adipocytes. Overall, our study establishes MYH10 as an essential regulator of GLUT4 translocation, affecting both adipogenesis and adipocyte function, highlighting its importance in future cytoskeleton-based studies in adipocytes.","container-title":"International Journal of Molecular Sciences","DOI":"10.3390/ijms23042367","ISSN":"1422-0067","issue":"4","journalAbbreviation":"Int J Mol Sci","language":"eng","note":"PMID: 35216482\nPMCID: PMC8875441","page":"2367","source":"PubMed","title":"MYH10 Governs Adipocyte Function and Adipogenesis through Its Interaction with GLUT4","volume":"23","author":[{"family":"Kislev","given":"Nadav"},{"family":"Mor-Yossef Moldovan","given":"Lisa"},{"family":"Barak","given":"Rakefet"},{"family":"Egozi","given":"Michael"},{"family":"Benayahu","given":"Dafna"}],"issued":{"date-parts":[["2022",2,21]]}}}],"schema":"https://github.com/citation-style-language/schema/raw/master/csl-citation.json"} </w:instrText>
            </w:r>
            <w:r w:rsidRPr="0026705F">
              <w:rPr>
                <w:sz w:val="18"/>
                <w:szCs w:val="18"/>
                <w:lang w:val="en-US"/>
              </w:rPr>
              <w:fldChar w:fldCharType="separate"/>
            </w:r>
            <w:r w:rsidR="00873504" w:rsidRPr="0026705F">
              <w:rPr>
                <w:sz w:val="18"/>
                <w:lang w:val="en-US"/>
              </w:rPr>
              <w:t>[55,56]</w:t>
            </w:r>
            <w:r w:rsidRPr="0026705F">
              <w:rPr>
                <w:sz w:val="18"/>
                <w:szCs w:val="18"/>
                <w:lang w:val="en-US"/>
              </w:rPr>
              <w:fldChar w:fldCharType="end"/>
            </w:r>
          </w:p>
        </w:tc>
      </w:tr>
      <w:tr w:rsidR="005A5782" w:rsidRPr="0026705F" w14:paraId="27948EA1" w14:textId="65B4563C" w:rsidTr="003B34ED">
        <w:trPr>
          <w:trHeight w:val="145"/>
          <w:jc w:val="center"/>
        </w:trPr>
        <w:tc>
          <w:tcPr>
            <w:tcW w:w="2684" w:type="dxa"/>
            <w:shd w:val="clear" w:color="auto" w:fill="auto"/>
            <w:tcMar>
              <w:top w:w="100" w:type="dxa"/>
              <w:left w:w="100" w:type="dxa"/>
              <w:bottom w:w="100" w:type="dxa"/>
              <w:right w:w="100" w:type="dxa"/>
            </w:tcMar>
          </w:tcPr>
          <w:p w14:paraId="00000171"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Secreted Frizzled-Related Protein 4 (SFRP4)</w:t>
            </w:r>
          </w:p>
          <w:p w14:paraId="00000172"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*606570)</w:t>
            </w:r>
          </w:p>
        </w:tc>
        <w:tc>
          <w:tcPr>
            <w:tcW w:w="5670" w:type="dxa"/>
            <w:shd w:val="clear" w:color="auto" w:fill="auto"/>
            <w:tcMar>
              <w:top w:w="100" w:type="dxa"/>
              <w:left w:w="100" w:type="dxa"/>
              <w:bottom w:w="100" w:type="dxa"/>
              <w:right w:w="100" w:type="dxa"/>
            </w:tcMar>
          </w:tcPr>
          <w:p w14:paraId="00000173" w14:textId="77777777" w:rsidR="005A5782" w:rsidRPr="0026705F" w:rsidRDefault="005A5782" w:rsidP="006A4790">
            <w:pPr>
              <w:widowControl w:val="0"/>
              <w:pBdr>
                <w:top w:val="nil"/>
                <w:left w:val="nil"/>
                <w:bottom w:val="nil"/>
                <w:right w:val="nil"/>
                <w:between w:val="nil"/>
              </w:pBdr>
              <w:rPr>
                <w:sz w:val="18"/>
                <w:szCs w:val="18"/>
                <w:lang w:val="en-US"/>
              </w:rPr>
            </w:pPr>
            <w:proofErr w:type="spellStart"/>
            <w:r w:rsidRPr="0026705F">
              <w:rPr>
                <w:sz w:val="18"/>
                <w:szCs w:val="18"/>
                <w:lang w:val="en-US"/>
              </w:rPr>
              <w:t>Wnt</w:t>
            </w:r>
            <w:proofErr w:type="spellEnd"/>
            <w:r w:rsidRPr="0026705F">
              <w:rPr>
                <w:sz w:val="18"/>
                <w:szCs w:val="18"/>
                <w:lang w:val="en-US"/>
              </w:rPr>
              <w:t xml:space="preserve"> pathway antagonist. Overexpression of the gene is implicated in the pathogenesis of obesity, aging and diabetic complications. In contrast, expression in the myocardium has been linked to apoptosis.</w:t>
            </w:r>
          </w:p>
        </w:tc>
        <w:tc>
          <w:tcPr>
            <w:tcW w:w="1134" w:type="dxa"/>
          </w:tcPr>
          <w:p w14:paraId="525D3B53" w14:textId="2151A663" w:rsidR="005A5782" w:rsidRPr="0026705F" w:rsidRDefault="00CC7809" w:rsidP="005A5782">
            <w:pPr>
              <w:widowControl w:val="0"/>
              <w:pBdr>
                <w:top w:val="nil"/>
                <w:left w:val="nil"/>
                <w:bottom w:val="nil"/>
                <w:right w:val="nil"/>
                <w:between w:val="nil"/>
              </w:pBdr>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1965EFKc","properties":{"formattedCitation":"[57,58]","plainCitation":"[57,58]","noteIndex":0},"citationItems":[{"id":"yYDU4LE6/e4USVX4S","uris":["http://zotero.org/users/local/FCDre8wk/items/UVJH4GL2"],"itemData":{"id":882,"type":"article-journal","abstract":"sFRP4 is an extracellular Wnt antagonist that fine-tunes its signal activity by direct binding to Wnts. Bone fragility under oxidative stress by diabetes and aging is partly related to the suppression of the Wnt signal through upregulated sFRP4. Here, to explore the functions of sFRP4 as a balancer molecule in bone development and remodeling, we analyzed the sFRP4 knock-in mouse strain. X-gal and immunohistochemically stained signals in sFRP4-LacZ heterozygous mice were detectable in restricted areas, mostly in osteoblasts and osteoclasts, of the femoral diaphysis after neonatal and postnatal stages. Histological and μCT analyses showed increased trabecular bone mass with alteration of the Wnt signal and osteogenic activity in sFRP4 mutants; this augmented the effect of the buildup of trabecular bone during the ageing period. Our results indicate that sFRP4 plays a critical role in bone development and remodeling by regulating osteoblasts and osteoclasts and that its functional loss prevents age-related bone loss in the trabecular bone area. These findings imply that sFRP4 functions as a key potential endogenous balancer of the Wnt signaling pathway by efficiently having direct influence on both bone formation and bone absorption during skeletal bone development and maintenance through remodeling.","container-title":"Scientific Reports","DOI":"10.1038/srep25198","ISSN":"2045-2322","issue":"1","journalAbbreviation":"Sci Rep","language":"en","license":"2016 The Author(s)","note":"number: 1\npublisher: Nature Publishing Group","page":"25198","source":"www.nature.com","title":"sFRP4-dependent Wnt signal modulation is critical for bone remodeling during postnatal development and age-related bone loss","volume":"6","author":[{"family":"Haraguchi","given":"Ryuma"},{"family":"Kitazawa","given":"Riko"},{"family":"Mori","given":"Kiyoshi"},{"family":"Tachibana","given":"Ryosuke"},{"family":"Kiyonari","given":"Hiroshi"},{"family":"Imai","given":"Yuuki"},{"family":"Abe","given":"Takaya"},{"family":"Kitazawa","given":"Sohei"}],"issued":{"date-parts":[["2016",4,27]]}}},{"id":"yYDU4LE6/A1neCzIO","uris":["http://zotero.org/users/local/FCDre8wk/items/S4CSX5HI"],"itemData":{"id":880,"type":"article-journal","abstract":"Secreted frizzled-related proteins control a multitude of biological phenomena throughout development and adult life in humans. In parallel, aberrant gene expression and abnormal secreted protein levels accompany a wide range of pathologies in humans. In this review, we provide a brief introduction to sFRP4, an update of the pathways it's involved, its various physiological actions that are reported to contribute to diseases, outlining the importance of its wider research and specific modulation by pharmacologic interventions. First recognized as a novel molecule that co-purified with a disparate protein, its identity was based on its sequence homology to the frizzled receptors. Once multiple members of the family were cloned, their genetic loci, tissue and subcellular distributions were located. Nucleotide and amino acid sequences were characterized and homology to different organisms was found to be present that helped elucidate their actions. Following subsequent experimental studies, they were found to be secreted proteins with an affinity to bind to the Wnt ligands, participating in different developmental and adult homeostatic pathways by the virtue of their regulatory function to the Wnt signal transduction system. Secreted frizzled related protein 4 has garnered considerable attention in the recent years following breakthrough discoveries implicating them in the pathogenesis of various diseases. Studies investigating them can provide information not only regarding their association with a disease but can also help use them as potential biomarkers and therapeutic targets.","container-title":"Cellular Signalling","DOI":"10.1016/j.cellsig.2018.01.019","ISSN":"0898-6568","journalAbbreviation":"Cellular Signalling","page":"63-70","source":"ScienceDirect","title":"Secreted frizzled related protein 4 (sFRP4) update: A brief review","title-short":"Secreted frizzled related protein 4 (sFRP4) update","volume":"45","author":[{"family":"Pawar","given":"Neelam M."},{"family":"Rao","given":"Pragna"}],"issued":{"date-parts":[["2018",5,1]]}}}],"schema":"https://github.com/citation-style-language/schema/raw/master/csl-citation.json"} </w:instrText>
            </w:r>
            <w:r w:rsidRPr="0026705F">
              <w:rPr>
                <w:sz w:val="18"/>
                <w:szCs w:val="18"/>
                <w:lang w:val="en-US"/>
              </w:rPr>
              <w:fldChar w:fldCharType="separate"/>
            </w:r>
            <w:r w:rsidR="00873504" w:rsidRPr="0026705F">
              <w:rPr>
                <w:sz w:val="18"/>
                <w:lang w:val="en-US"/>
              </w:rPr>
              <w:t>[57,58]</w:t>
            </w:r>
            <w:r w:rsidRPr="0026705F">
              <w:rPr>
                <w:sz w:val="18"/>
                <w:szCs w:val="18"/>
                <w:lang w:val="en-US"/>
              </w:rPr>
              <w:fldChar w:fldCharType="end"/>
            </w:r>
          </w:p>
        </w:tc>
      </w:tr>
      <w:tr w:rsidR="005A5782" w:rsidRPr="0026705F" w14:paraId="09307488" w14:textId="5DB9BED6" w:rsidTr="003B34ED">
        <w:trPr>
          <w:trHeight w:val="1010"/>
          <w:jc w:val="center"/>
        </w:trPr>
        <w:tc>
          <w:tcPr>
            <w:tcW w:w="2684" w:type="dxa"/>
            <w:shd w:val="clear" w:color="auto" w:fill="auto"/>
            <w:tcMar>
              <w:top w:w="100" w:type="dxa"/>
              <w:left w:w="100" w:type="dxa"/>
              <w:bottom w:w="100" w:type="dxa"/>
              <w:right w:w="100" w:type="dxa"/>
            </w:tcMar>
          </w:tcPr>
          <w:p w14:paraId="00000174"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Collagen, Type IV, Alpha-1 (COL4A1)</w:t>
            </w:r>
          </w:p>
          <w:p w14:paraId="00000175"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*120130)</w:t>
            </w:r>
          </w:p>
        </w:tc>
        <w:tc>
          <w:tcPr>
            <w:tcW w:w="5670" w:type="dxa"/>
            <w:shd w:val="clear" w:color="auto" w:fill="auto"/>
            <w:tcMar>
              <w:top w:w="100" w:type="dxa"/>
              <w:left w:w="100" w:type="dxa"/>
              <w:bottom w:w="100" w:type="dxa"/>
              <w:right w:w="100" w:type="dxa"/>
            </w:tcMar>
          </w:tcPr>
          <w:p w14:paraId="00000176"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A component of the basement membrane, it interacts with other ECM proteins. Expression of this gene is present in endothelial, epithelial, hepatic cells and fibroblasts. Elevated levels seen in urinary bladder cancer and breast cancer.</w:t>
            </w:r>
          </w:p>
        </w:tc>
        <w:tc>
          <w:tcPr>
            <w:tcW w:w="1134" w:type="dxa"/>
          </w:tcPr>
          <w:p w14:paraId="39DAEFDC" w14:textId="3AF0EE18" w:rsidR="005A5782" w:rsidRPr="0026705F" w:rsidRDefault="00CC780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79c2aaLF","properties":{"formattedCitation":"[59,60]","plainCitation":"[59,60]","noteIndex":0},"citationItems":[{"id":"yYDU4LE6/a4opMYiV","uris":["http://zotero.org/users/local/FCDre8wk/items/37NRB82N"],"itemData":{"id":885,"type":"article-journal","abstract":"Heterotrimers composed of collagen type IV alpha 1 (COL4A1) and alpha 2 (COL4A2) constitute one of the most abundant components of nearly all basement membranes. Accordingly, mutations in COL4A1 or COL4A2 are pleiotropic and contribute to a broad spectrum of disorders, including myopathy, glaucoma and hemorrhagic stroke. Here, we summarize the contributions of COL4A1 and COL4A2 mutations in human disease, integrate knowledge gained from model organisms and evaluate the implications for pathogenic mechanisms and therapeutic approaches.","container-title":"Human Molecular Genetics","DOI":"10.1093/hmg/dds346","ISSN":"0964-6906","issue":"R1","journalAbbreviation":"Human Molecular Genetics","page":"R97-R110","source":"Silverchair","title":"COL4A1 and COL4A2 mutations and disease: insights into pathogenic mechanisms and potential therapeutic targets","title-short":"COL4A1 and COL4A2 mutations and disease","volume":"21","author":[{"family":"Kuo","given":"Debbie S."},{"family":"Labelle-Dumais","given":"Cassandre"},{"family":"Gould","given":"Douglas B."}],"issued":{"date-parts":[["2012",10,15]]}}},{"id":"yYDU4LE6/QL2bDA4K","uris":["http://zotero.org/users/local/FCDre8wk/items/HHEHFNKC"],"itemData":{"id":884,"type":"article-journal","abstract":"Collagens are the most abundant proteins in extra cellular matrix and important components of tumor microenvironment. Recent studies have showed that aberrant expression of collagens can influence tumor cell behaviors. However, their roles in hepatocellular carcinoma (HCC) are poorly understood.","container-title":"Journal of Experimental &amp; Clinical Cancer Research","DOI":"10.1186/s13046-020-01650-7","ISSN":"1756-9966","issue":"1","journalAbbreviation":"Journal of Experimental &amp; Clinical Cancer Research","page":"148","source":"BioMed Central","title":"COL4A1 promotes the growth and metastasis of hepatocellular carcinoma cells by activating FAK-Src signaling","volume":"39","author":[{"family":"Wang","given":"Ting"},{"family":"Jin","given":"Haojie"},{"family":"Hu","given":"Jingying"},{"family":"Li","given":"Xi"},{"family":"Ruan","given":"Haoyu"},{"family":"Xu","given":"Huili"},{"family":"Wei","given":"Lin"},{"family":"Dong","given":"Weihua"},{"family":"Teng","given":"Fei"},{"family":"Gu","given":"Jianren"},{"family":"Qin","given":"Wenxin"},{"family":"Luo","given":"Xiaoying"},{"family":"Hao","given":"Yujun"}],"issued":{"date-parts":[["2020",8,3]]}}}],"schema":"https://github.com/citation-style-language/schema/raw/master/csl-citation.json"} </w:instrText>
            </w:r>
            <w:r w:rsidRPr="0026705F">
              <w:rPr>
                <w:sz w:val="18"/>
                <w:szCs w:val="18"/>
                <w:lang w:val="en-US"/>
              </w:rPr>
              <w:fldChar w:fldCharType="separate"/>
            </w:r>
            <w:r w:rsidR="00873504" w:rsidRPr="0026705F">
              <w:rPr>
                <w:sz w:val="18"/>
                <w:lang w:val="en-US"/>
              </w:rPr>
              <w:t>[59,60]</w:t>
            </w:r>
            <w:r w:rsidRPr="0026705F">
              <w:rPr>
                <w:sz w:val="18"/>
                <w:szCs w:val="18"/>
                <w:lang w:val="en-US"/>
              </w:rPr>
              <w:fldChar w:fldCharType="end"/>
            </w:r>
          </w:p>
        </w:tc>
      </w:tr>
      <w:tr w:rsidR="005A5782" w:rsidRPr="0026705F" w14:paraId="22F3482B" w14:textId="1F3095C7" w:rsidTr="003B34ED">
        <w:trPr>
          <w:trHeight w:val="993"/>
          <w:jc w:val="center"/>
        </w:trPr>
        <w:tc>
          <w:tcPr>
            <w:tcW w:w="2684" w:type="dxa"/>
            <w:shd w:val="clear" w:color="auto" w:fill="auto"/>
            <w:tcMar>
              <w:top w:w="100" w:type="dxa"/>
              <w:left w:w="100" w:type="dxa"/>
              <w:bottom w:w="100" w:type="dxa"/>
              <w:right w:w="100" w:type="dxa"/>
            </w:tcMar>
          </w:tcPr>
          <w:p w14:paraId="00000177"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Ubiquitin Carboxyl-Terminal Esterase L1 (UCHL1)</w:t>
            </w:r>
          </w:p>
          <w:p w14:paraId="00000178"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*191342)</w:t>
            </w:r>
          </w:p>
        </w:tc>
        <w:tc>
          <w:tcPr>
            <w:tcW w:w="5670" w:type="dxa"/>
            <w:shd w:val="clear" w:color="auto" w:fill="auto"/>
            <w:tcMar>
              <w:top w:w="100" w:type="dxa"/>
              <w:left w:w="100" w:type="dxa"/>
              <w:bottom w:w="100" w:type="dxa"/>
              <w:right w:w="100" w:type="dxa"/>
            </w:tcMar>
          </w:tcPr>
          <w:p w14:paraId="0000017A" w14:textId="52CC9D6B" w:rsidR="005A5782" w:rsidRPr="0026705F" w:rsidRDefault="005A5782" w:rsidP="006A4790">
            <w:pPr>
              <w:widowControl w:val="0"/>
              <w:spacing w:after="160" w:line="256" w:lineRule="auto"/>
              <w:rPr>
                <w:sz w:val="18"/>
                <w:szCs w:val="18"/>
                <w:lang w:val="en-US"/>
              </w:rPr>
            </w:pPr>
            <w:r w:rsidRPr="0026705F">
              <w:rPr>
                <w:sz w:val="18"/>
                <w:szCs w:val="18"/>
                <w:lang w:val="en-US"/>
              </w:rPr>
              <w:t>It has specific expressions for neurons and cells of the neuroendocrine system. It is strongly expressed in breast cancer. Exhibits ubiquitin hydrolase and ligase activity, associated with proteasomal protein degradation.</w:t>
            </w:r>
          </w:p>
        </w:tc>
        <w:tc>
          <w:tcPr>
            <w:tcW w:w="1134" w:type="dxa"/>
          </w:tcPr>
          <w:p w14:paraId="25EEB861" w14:textId="7B9BB8FE" w:rsidR="005A5782" w:rsidRPr="0026705F" w:rsidRDefault="00CC780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y9Qjv4bN","properties":{"formattedCitation":"[61,62]","plainCitation":"[61,62]","noteIndex":0},"citationItems":[{"id":"yYDU4LE6/ZSyElY85","uris":["http://zotero.org/users/local/FCDre8wk/items/I6EGT35S"],"itemData":{"id":889,"type":"article-journal","abstract":"Breast cancer has the highest incidence and death rate among cancers in women worldwide. In particular, metastatic estrogen receptor negative (ER–) breast cancer and triple-negative breast cancer (TNBC) subtypes have very limited treatment options, with low survival rates. Ubiquitin carboxyl terminal hydrolase L1 (UCHL1), a ubiquitin C-terminal hydrolase belonging to the deubiquitinase (DUB) family of enzymes, is highly expressed in these cancer types, and several key reports have revealed emerging and important roles for UCHL1 in breast cancer. However, selective and potent small-molecule UCHL1 inhibitors have been disclosed only very recently, alongside chemical biology approaches to detect regulated UHCL1 activity in cancer cells. These tools will enable novel insights into oncogenic mechanisms driven by UCHL1, and identification of substrate proteins deubiquitinated by UCHL1, with the ultimate goal of realising the potential of UCHL1 as a drug target in breast cancer.","container-title":"British Journal of Cancer","DOI":"10.1038/s41416-021-01516-5","ISSN":"1532-1827","issue":"1","journalAbbreviation":"Br J Cancer","language":"en","license":"2021 The Author(s)","note":"number: 1\npublisher: Nature Publishing Group","page":"24-33","source":"www.nature.com","title":"UCHL1 as a novel target in breast cancer: emerging insights from cell and chemical biology","title-short":"UCHL1 as a novel target in breast cancer","volume":"126","author":[{"family":"Mondal","given":"Milon"},{"family":"Conole","given":"Daniel"},{"family":"Nautiyal","given":"Jaya"},{"family":"Tate","given":"Edward W."}],"issued":{"date-parts":[["2022",1]]}}},{"id":"yYDU4LE6/wdth2NHP","uris":["http://zotero.org/users/local/FCDre8wk/items/E43H3PWU"],"itemData":{"id":891,"type":"article-journal","abstract":"Parkinson’s disease (PD) is the second most common neurodegenerative disorder. PD associated human UCHL1 (Ubiquitin C-terminal hydrolase L1) gene belongs to the family of deubiquitinases and is known to be highly expressed in neurons (1–2% in soluble form). Several functions of UCHL1 have been proposed including ubiquitin hydrolyze activity, ubiquitin ligase activity and stabilization of the mono-ubiquitin. Mutations in human UCHL1 gene have been associated with PD and other neurodegenerative disorders. The present study aims to decipher the sequence evolutionary pattern and structural dynamics of UCHL1. Furthermore, structural and interactional analysis of UCHL1 was performed to help elucidate the pathogenesis of PD.","container-title":"BMC Evolutionary Biology","DOI":"10.1186/s12862-020-01684-7","ISSN":"1471-2148","issue":"1","journalAbbreviation":"BMC Evolutionary Biology","page":"130","source":"BioMed Central","title":"Molecular evolutionary and structural analysis of human UCHL1 gene demonstrates the relevant role of intragenic epistasis in Parkinson’s disease and other neurological disorders","volume":"20","author":[{"family":"Nawaz","given":"Muhammad Saqib"},{"family":"Asghar","given":"Razia"},{"family":"Pervaiz","given":"Nashaiman"},{"family":"Ali","given":"Shahid"},{"family":"Hussain","given":"Irfan"},{"family":"Xing","given":"Peiqi"},{"family":"Bao","given":"Yiming"},{"family":"Abbasi","given":"Amir Ali"}],"issued":{"date-parts":[["2020",10,7]]}}}],"schema":"https://github.com/citation-style-language/schema/raw/master/csl-citation.json"} </w:instrText>
            </w:r>
            <w:r w:rsidRPr="0026705F">
              <w:rPr>
                <w:sz w:val="18"/>
                <w:szCs w:val="18"/>
                <w:lang w:val="en-US"/>
              </w:rPr>
              <w:fldChar w:fldCharType="separate"/>
            </w:r>
            <w:r w:rsidR="00873504" w:rsidRPr="0026705F">
              <w:rPr>
                <w:sz w:val="18"/>
                <w:lang w:val="en-US"/>
              </w:rPr>
              <w:t>[61,62]</w:t>
            </w:r>
            <w:r w:rsidRPr="0026705F">
              <w:rPr>
                <w:sz w:val="18"/>
                <w:szCs w:val="18"/>
                <w:lang w:val="en-US"/>
              </w:rPr>
              <w:fldChar w:fldCharType="end"/>
            </w:r>
          </w:p>
        </w:tc>
      </w:tr>
      <w:tr w:rsidR="005A5782" w:rsidRPr="0026705F" w14:paraId="6A246D64" w14:textId="522426D9" w:rsidTr="003B34ED">
        <w:trPr>
          <w:trHeight w:val="145"/>
          <w:jc w:val="center"/>
        </w:trPr>
        <w:tc>
          <w:tcPr>
            <w:tcW w:w="2684" w:type="dxa"/>
            <w:shd w:val="clear" w:color="auto" w:fill="auto"/>
            <w:tcMar>
              <w:top w:w="100" w:type="dxa"/>
              <w:left w:w="100" w:type="dxa"/>
              <w:bottom w:w="100" w:type="dxa"/>
              <w:right w:w="100" w:type="dxa"/>
            </w:tcMar>
          </w:tcPr>
          <w:p w14:paraId="0000017B"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Actin, Alpha-2, Smooth Muscle, Aorta (ACTA2)</w:t>
            </w:r>
          </w:p>
          <w:p w14:paraId="0000017C"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*102620)</w:t>
            </w:r>
          </w:p>
        </w:tc>
        <w:tc>
          <w:tcPr>
            <w:tcW w:w="5670" w:type="dxa"/>
            <w:shd w:val="clear" w:color="auto" w:fill="auto"/>
            <w:tcMar>
              <w:top w:w="100" w:type="dxa"/>
              <w:left w:w="100" w:type="dxa"/>
              <w:bottom w:w="100" w:type="dxa"/>
              <w:right w:w="100" w:type="dxa"/>
            </w:tcMar>
          </w:tcPr>
          <w:p w14:paraId="0000017D"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ACTA2 is involved in maintaining normal blood pressure and vascular contractility. Present in the endometrium, bladder, prostate and esophagus.</w:t>
            </w:r>
          </w:p>
        </w:tc>
        <w:tc>
          <w:tcPr>
            <w:tcW w:w="1134" w:type="dxa"/>
          </w:tcPr>
          <w:p w14:paraId="4FF322DB" w14:textId="58844FA2" w:rsidR="005A5782" w:rsidRPr="0026705F" w:rsidRDefault="00474277"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VjzhdLs2","properties":{"formattedCitation":"[63,64]","plainCitation":"[63,64]","noteIndex":0},"citationItems":[{"id":"yYDU4LE6/lC4KueFa","uris":["http://zotero.org/users/local/FCDre8wk/items/BU7QURBP"],"itemData":{"id":897,"type":"article-journal","abstract":"Smooth muscle cells (SMCs) contract to perform many physiological functions, including regulation of blood flow and pressure in arteries, contraction of the pupils, peristalsis of the gut, and voiding of the bladder. SMC lineage in these organs is characterized by cellular expression of the SMC isoform of α-actin, encoded by the ACTA2 gene. We report here on a unique and de novo mutation in ACTA2, R179H, that causes a syndrome characterized by dysfunction of SMCs throughout the body, leading to aortic and cerebrovascular disease, fixed dilated pupils, hypotonic bladder, malrotation, and hypoperistalsis of the gut and pulmonary hypertension. © 2010 Wiley-Liss, Inc.","container-title":"American Journal of Medical Genetics Part A","DOI":"10.1002/ajmg.a.33657","ISSN":"1552-4833","issue":"10","language":"en","license":"Copyright © 2010 Wiley-Liss, Inc.","note":"_eprint: https://onlinelibrary.wiley.com/doi/pdf/10.1002/ajmg.a.33657","page":"2437-2443","source":"Wiley Online Library","title":"De novo ACTA2 mutation causes a novel syndrome of multisystemic smooth muscle dysfunction","volume":"152A","author":[{"family":"Milewicz","given":"Dianna M."},{"family":"Østergaard","given":"John R."},{"family":"Ala-Kokko","given":"Leena M."},{"family":"Khan","given":"Nadia"},{"family":"Grange","given":"Dorothy K."},{"family":"Mendoza-Londono","given":"Roberto"},{"family":"Bradley","given":"Timothy J."},{"family":"Olney","given":"Ann Haskins"},{"family":"Adès","given":"Lesley"},{"family":"Maher","given":"Joseph F."},{"family":"Guo","given":"Dongchuan"},{"family":"Buja","given":"L. Maximilian"},{"family":"Kim","given":"Dong"},{"family":"Hyland","given":"James C."},{"family":"Regalado","given":"Ellen S."}],"issued":{"date-parts":[["2010"]]}}},{"id":"yYDU4LE6/gwdjm5U6","uris":["http://zotero.org/users/local/FCDre8wk/items/FKF6L7E9"],"itemData":{"id":894,"type":"article-journal","abstract":"The ACTA2 gene encodes for smooth muscle specific α-actin, a critical component of the contractile apparatus of the vascular smooth muscle cell. Pathogenic variants in the ACTA2 gene are the most frequently encountered genetic cause of non-syndromic hereditary thoracic aortic disease (HTAD). Although thoracic aortic aneurysm and/or dissection is the main clinical manifestation, a variety of occlusive vascular disease and extravascular manifestations occur in ACTA2-related vasculopathy. Current data suggest possible mutation-specific manifestations of vascular and extra-aortic traits.","container-title":"Orphanet Journal of Rare Diseases","DOI":"10.1186/s13023-019-1186-2","ISSN":"1750-1172","issue":"1","journalAbbreviation":"Orphanet Journal of Rare Diseases","page":"264","source":"BioMed Central","title":"European reference network for rare vascular diseases (VASCERN) consensus statement for the screening and management of patients with pathogenic ACTA2 variants","volume":"14","author":[{"family":"Laar","given":"Ingrid M. B. H.","non-dropping-particle":"van de"},{"family":"Arbustini","given":"Eloisa"},{"family":"Loeys","given":"Bart"},{"family":"Björck","given":"Erik"},{"family":"Murphy","given":"Lise"},{"family":"Groenink","given":"Maarten"},{"family":"Kempers","given":"Marlies"},{"family":"Timmermans","given":"Janneke"},{"family":"Roos-Hesselink","given":"Jolien"},{"family":"Benke","given":"Kalman"},{"family":"Pepe","given":"Guglielmina"},{"family":"Mulder","given":"Barbara"},{"family":"Szabolcs","given":"Zoltan"},{"family":"Teixidó-Turà","given":"Gisela"},{"family":"Robert","given":"Leema"},{"family":"Emmanuel","given":"Yaso"},{"family":"Evangelista","given":"Arturo"},{"family":"Pini","given":"Alessandro"},{"family":"Kodolitsch","given":"Yskert","non-dropping-particle":"von"},{"family":"Jondeau","given":"Guillaume"},{"family":"De Backer","given":"Julie"}],"issued":{"date-parts":[["2019",11,21]]}}}],"schema":"https://github.com/citation-style-language/schema/raw/master/csl-citation.json"} </w:instrText>
            </w:r>
            <w:r w:rsidRPr="0026705F">
              <w:rPr>
                <w:sz w:val="18"/>
                <w:szCs w:val="18"/>
                <w:lang w:val="en-US"/>
              </w:rPr>
              <w:fldChar w:fldCharType="separate"/>
            </w:r>
            <w:r w:rsidR="00873504" w:rsidRPr="0026705F">
              <w:rPr>
                <w:sz w:val="18"/>
                <w:lang w:val="en-US"/>
              </w:rPr>
              <w:t>[63,64]</w:t>
            </w:r>
            <w:r w:rsidRPr="0026705F">
              <w:rPr>
                <w:sz w:val="18"/>
                <w:szCs w:val="18"/>
                <w:lang w:val="en-US"/>
              </w:rPr>
              <w:fldChar w:fldCharType="end"/>
            </w:r>
          </w:p>
        </w:tc>
      </w:tr>
      <w:tr w:rsidR="005A5782" w:rsidRPr="0026705F" w14:paraId="12857204" w14:textId="3D8D0519" w:rsidTr="003B34ED">
        <w:trPr>
          <w:trHeight w:val="145"/>
          <w:jc w:val="center"/>
        </w:trPr>
        <w:tc>
          <w:tcPr>
            <w:tcW w:w="2684" w:type="dxa"/>
            <w:shd w:val="clear" w:color="auto" w:fill="auto"/>
            <w:tcMar>
              <w:top w:w="100" w:type="dxa"/>
              <w:left w:w="100" w:type="dxa"/>
              <w:bottom w:w="100" w:type="dxa"/>
              <w:right w:w="100" w:type="dxa"/>
            </w:tcMar>
          </w:tcPr>
          <w:p w14:paraId="0000017E"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Coagulation Factor II Receptor (F2R)</w:t>
            </w:r>
          </w:p>
          <w:p w14:paraId="0000017F"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*187930)</w:t>
            </w:r>
          </w:p>
        </w:tc>
        <w:tc>
          <w:tcPr>
            <w:tcW w:w="5670" w:type="dxa"/>
            <w:shd w:val="clear" w:color="auto" w:fill="auto"/>
            <w:tcMar>
              <w:top w:w="100" w:type="dxa"/>
              <w:left w:w="100" w:type="dxa"/>
              <w:bottom w:w="100" w:type="dxa"/>
              <w:right w:w="100" w:type="dxa"/>
            </w:tcMar>
          </w:tcPr>
          <w:p w14:paraId="00000180" w14:textId="77777777" w:rsidR="005A5782" w:rsidRPr="0026705F" w:rsidRDefault="005A5782" w:rsidP="006A4790">
            <w:pPr>
              <w:widowControl w:val="0"/>
              <w:pBdr>
                <w:top w:val="nil"/>
                <w:left w:val="nil"/>
                <w:bottom w:val="nil"/>
                <w:right w:val="nil"/>
                <w:between w:val="nil"/>
              </w:pBdr>
              <w:rPr>
                <w:sz w:val="18"/>
                <w:szCs w:val="18"/>
                <w:lang w:val="en-US"/>
              </w:rPr>
            </w:pPr>
            <w:r w:rsidRPr="0026705F">
              <w:rPr>
                <w:sz w:val="18"/>
                <w:szCs w:val="18"/>
                <w:lang w:val="en-US"/>
              </w:rPr>
              <w:t>Associated with angiogenesis, platelet mobilization, cell proliferation and apoptosis. Modulates the endothelial lining. Expressed in spleen, gallbladder, skin as well as lungs</w:t>
            </w:r>
          </w:p>
        </w:tc>
        <w:tc>
          <w:tcPr>
            <w:tcW w:w="1134" w:type="dxa"/>
          </w:tcPr>
          <w:p w14:paraId="66096C3E" w14:textId="281A2443" w:rsidR="005A5782" w:rsidRPr="0026705F" w:rsidRDefault="006E6FFA" w:rsidP="005A5782">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KxhQR96x","properties":{"formattedCitation":"[65,66]","plainCitation":"[65,66]","noteIndex":0},"citationItems":[{"id":"yYDU4LE6/r36MHXBL","uris":["http://zotero.org/users/local/FCDre8wk/items/SNZSWF4B"],"itemData":{"id":899,"type":"article-journal","abstract":"Tumor heterogeneity has been associated with immunotherapy and targeted drug resistance in hepatocellular carcinoma (HCC). However, communications between tumor and cytotoxic cells are poorly understood to date. In the present study, thirty-one clusters of cells were discovered in the tumor tissues and adjacent tissues through single-cell sequencing. Moreover, the quantity and function exhaustion of cytotoxic cells was observed to be induced in tumors by the TCR and apoptosis signal pathways. Furthermore, granzyme failure of cytotoxic cells was observed in HCC patients. Importantly, the GZMA secreted by cytotoxic cells was demonstrated to interact with the F2R expressed by the tumor cells both in vivo and in vitro. This interaction induced tumor suppression and T cell-mediated killing of tumor cells via the activation of the JAK2/STAT1 signaling pathway. Mechanistically, the activation of JAK2/STAT1 signaling promoted apoptosis under the mediating effect of the LDPRSFLL motif at the N-terminus of F2R, which interacted with GZMA. In addition, GZMA and F2R were positively correlated with PD-1 and PD-L1 in tumor tissues, while the expressions of F2R and GZMA promoted PD-1 mAb-induced tumor suppression in both mouse model and HCC patients. Finally, in HCC patients, a low expression of GZMA and F2R in the tumor tissues was correlated with aggressive clinicopathological characteristics and poor prognosis. Collectively, GZMA-F2R communication inefficient induces deficient PD-1 mAb therapy and provide a completely novel immunotherapy strategy for tumor suppression in HCC patients.","container-title":"Cell Death &amp; Disease","DOI":"10.1038/s41419-022-04654-7","ISSN":"2041-4889","issue":"3","journalAbbreviation":"Cell Death Dis","language":"en","license":"2022 The Author(s)","note":"number: 3\npublisher: Nature Publishing Group","page":"1-14","source":"www.nature.com","title":"Heterogeneity induced GZMA-F2R communication inefficient impairs antitumor immunotherapy of PD-1 mAb through JAK2/STAT1 signal suppression in hepatocellular carcinoma","volume":"13","author":[{"family":"Gao","given":"Yuxue"},{"family":"Xu","given":"Qingguo"},{"family":"Li","given":"Xinqiang"},{"family":"Guo","given":"Yuan"},{"family":"Zhang","given":"Bowen"},{"family":"Jin","given":"Yan"},{"family":"Zhu","given":"Cunle"},{"family":"Shen","given":"Yuntai"},{"family":"Yang","given":"Pengxiang"},{"family":"Shi","given":"Ying"},{"family":"Jin","given":"Rifeng"},{"family":"Liu","given":"Daojie"},{"family":"Ouyang","given":"Yabo"},{"family":"Liu","given":"Xiaoni"},{"family":"Wang","given":"Wenjing"},{"family":"Chen","given":"Dexi"},{"family":"Yang","given":"Tongwang"}],"issued":{"date-parts":[["2022",3,7]]}}},{"id":"yYDU4LE6/OB0wYlFI","uris":["http://zotero.org/users/local/FCDre8wk/items/TJSADLJP"],"itemData":{"id":900,"type":"article-journal","abstract":"Objectives— The purpose of this study was to evaluate the role of genetic variants within the coagulation factor II receptor (F2R) in the occurrence of coronary heart disease (CHD).\n\nMethods and Results— Four SNPs (−1738 G/A, 2860 G/A, 2930 T/C, and 9113 C/A) and an ins/del polymorphism −506-/GGCCGCGGGAAGC (D/I), replicating a consensus sequence for Ets-1 transcription factor, and their related haplotypes were tested for association to CHD in 1600 hypertensive patients divided in 2 groups according to presence (cases, n=559) and absence (controls, n=1041) of CHD. Allele I at −506 locus was associated with increased risk of CHD under additive, dominant, and recessive models of inheritance (all P&lt;0.01). Three haplotypes carrying I allele were consistently associated with an increased risk of CHD (all P&lt;0.05). Patients homozygous for the C allele at the 2930 locus also showed an increased risk of CHD (P&lt;0.05). To test the functionality of −506 locus, nuclear extracts were incubated with −506D and −506I sequences by EMSA and F2R promoter activity (F2R-A) were assessed in HUVECs transfected with vectors carrying −506D and −506I sequences and exposed to hypoxia. Presence of the −506I sequence was associated with a 26% reduction of affinity binding to nuclear proteins and to blunted F2R-A in response to hypoxia as compared with the −506D sequence (all P&lt;0.05).\n\nConclusions— F2R genetic variants may influence the natural history of CHD in patients at high risk of cardiovascular events.","container-title":"Arteriosclerosis, Thrombosis, and Vascular Biology","DOI":"10.1161/ATVBAHA.107.140541","issue":"5","note":"publisher: American Heart Association","page":"1213-1219","source":"ahajournals.org (Atypon)","title":"Retrospective Analysis of Coagulation Factor II Receptor (F2R) Sequence Variation and Coronary Heart Disease in Hypertensive Patients","volume":"27","author":[{"family":"Gigante","given":"Bruna"},{"family":"Bellis","given":"Alessandro"},{"family":"Visconti","given":"Roberta"},{"family":"Marino","given":"Marina"},{"family":"Morisco","given":"Carmine"},{"family":"Trimarco","given":"Valentina"},{"family":"Galasso","given":"Gennaro"},{"family":"Piscione","given":"Federico"},{"family":"De Luca","given":"Nicola"},{"family":"Prince","given":"Jonathan A."},{"family":"Faire","given":"Ulf","non-dropping-particle":"de"},{"family":"Trimarco","given":"Bruno"}],"issued":{"date-parts":[["2007",5]]}}}],"schema":"https://github.com/citation-style-language/schema/raw/master/csl-citation.json"} </w:instrText>
            </w:r>
            <w:r w:rsidRPr="0026705F">
              <w:rPr>
                <w:sz w:val="18"/>
                <w:szCs w:val="18"/>
                <w:lang w:val="en-US"/>
              </w:rPr>
              <w:fldChar w:fldCharType="separate"/>
            </w:r>
            <w:r w:rsidR="00873504" w:rsidRPr="0026705F">
              <w:rPr>
                <w:sz w:val="18"/>
                <w:lang w:val="en-US"/>
              </w:rPr>
              <w:t>[65,66]</w:t>
            </w:r>
            <w:r w:rsidRPr="0026705F">
              <w:rPr>
                <w:sz w:val="18"/>
                <w:szCs w:val="18"/>
                <w:lang w:val="en-US"/>
              </w:rPr>
              <w:fldChar w:fldCharType="end"/>
            </w:r>
          </w:p>
        </w:tc>
      </w:tr>
      <w:tr w:rsidR="005A5782" w:rsidRPr="0026705F" w14:paraId="2473D161" w14:textId="128A7066" w:rsidTr="003B34ED">
        <w:trPr>
          <w:trHeight w:val="1105"/>
          <w:jc w:val="center"/>
        </w:trPr>
        <w:tc>
          <w:tcPr>
            <w:tcW w:w="2684" w:type="dxa"/>
            <w:shd w:val="clear" w:color="auto" w:fill="auto"/>
            <w:tcMar>
              <w:top w:w="100" w:type="dxa"/>
              <w:left w:w="100" w:type="dxa"/>
              <w:bottom w:w="100" w:type="dxa"/>
              <w:right w:w="100" w:type="dxa"/>
            </w:tcMar>
          </w:tcPr>
          <w:p w14:paraId="00000181"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Insulin-Like Growth Factor-Binding Protein 5 (IGFBP5)</w:t>
            </w:r>
          </w:p>
          <w:p w14:paraId="00000182"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*146734)</w:t>
            </w:r>
          </w:p>
        </w:tc>
        <w:tc>
          <w:tcPr>
            <w:tcW w:w="5670" w:type="dxa"/>
            <w:shd w:val="clear" w:color="auto" w:fill="auto"/>
            <w:tcMar>
              <w:top w:w="100" w:type="dxa"/>
              <w:left w:w="100" w:type="dxa"/>
              <w:bottom w:w="100" w:type="dxa"/>
              <w:right w:w="100" w:type="dxa"/>
            </w:tcMar>
          </w:tcPr>
          <w:p w14:paraId="00000183"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IGF5 expression is present in bones, lungs, muscles, ovaries and kidneys. It is involved in the response to inflammation, fibrosis, migration and cell proliferation. Overexpression of the gene evident in diabetic complications.</w:t>
            </w:r>
          </w:p>
        </w:tc>
        <w:tc>
          <w:tcPr>
            <w:tcW w:w="1134" w:type="dxa"/>
          </w:tcPr>
          <w:p w14:paraId="6406C5C8" w14:textId="38568DF5" w:rsidR="005A5782" w:rsidRPr="0026705F" w:rsidRDefault="006E6FFA"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UuaReGG8","properties":{"formattedCitation":"[67,68]","plainCitation":"[67,68]","noteIndex":0},"citationItems":[{"id":"yYDU4LE6/4oitMZNH","uris":["http://zotero.org/users/local/FCDre8wk/items/49ICHL98"],"itemData":{"id":903,"type":"article-journal","abstract":"Insulin-like growth factor (IGF) signaling is regulated by a conserved family of IGF binding proteins (IGFBPs) in vertebrates. Among the six distinct types of IGFBPs, IGFBP-5 is the most highly conserved across species and has the broadest range of biological activities. IGFBP-5 is expressed in diverse cell types, and its expression level is regulated by a variety of signaling pathways in different contexts. IGFBP-5 can exert a range of biological actions including prolonging the half-life of IGFs in the circulation, inhibition of IGF signaling by competing with the IGF-1 receptor for ligand binding, concentrating IGFs in certain cells and tissues, and potentiation of IGF signaling by delivery of IGFs to the IGF-1 receptor. IGFBP-5 also has IGF-independent activities and is even detected in the nucleus. Its broad biological activities make IGFBP-5 an excellent representative for understanding IGFBP functions. Despite its evolutionary conservation and numerous biological activities, knockout of IGFBP-5 in mice produced only a negligible phenotype. Recent research has begun to explain this paradox by demonstrating cell type-specific and physiological/pathological context-dependent roles for IGFBP-5. In this review, we survey and discuss what is currently known about IGFBP-5 in normal physiology and human disease. Based on recent in vivo genetic evidence, we suggest that IGFBP-5 is a multifunctional protein with the ability to act as a molecular switch to conditionally regulate IGF signaling.","container-title":"Frontiers in Endocrinology","ISSN":"1664-2392","source":"Frontiers","title":"Insulin-Like Growth Factor Binding Protein-5 in Physiology and Disease","URL":"https://www.frontiersin.org/articles/10.3389/fendo.2020.00100","volume":"11","author":[{"family":"Duan","given":"Cunming"},{"family":"Allard","given":"John B."}],"accessed":{"date-parts":[["2023",10,11]]},"issued":{"date-parts":[["2020"]]}}},{"id":"yYDU4LE6/ljaXXYbf","uris":["http://zotero.org/users/local/FCDre8wk/items/8WM98UIU"],"itemData":{"id":905,"type":"article-journal","abstract":"Renal inflammation is a critical pathophysiological characteristic of diabetic kidney disease (DKD). The mechanism of the inflammatory response is complicated, and there are few effective treatments for renal inflammation that can be used clinically. Insulin-like growth factor-binding protein 5 (IGFBP5) is an important secretory protein that is related to inflammation and fibrosis in several tissues. Studies have shown that the IGFBP5 level is significantly upregulated in DKD. However, the function of IGFBP5 and its mechanism in DKD remain unclear. Here, we showed that IGFBP5 levels were significantly increased in the kidneys of diabetic mice. Ablation of IGFBP5 alleviated kidney inflammation in DKD mice. Mechanistically, IGFBP5 increased glycolysis, which was characterized by increases in lactic acid and the extracellular acidification rate, by activating the transcription factor early growth response 1 (EGR1) and enhancing the expression of PFKFB3 in endothelial cells. Furthermore, a mutation in PFKFB3 attenuated renal inflammation in DKD mice. Taken together, we provided evidence that IGFBP5 enhanced kidney inflammation through metabolic reprogramming of glomerular endothelial cells. Our results provide new mechanistic insights into the effect of IGFBP5 on kidney and highlight potential therapeutic opportunities for IGFBP5 and the metabolic regulators involved in DKD.","container-title":"Cell Death &amp; Disease","DOI":"10.1038/s41419-022-04803-y","ISSN":"2041-4889","issue":"4","journalAbbreviation":"Cell Death Dis","language":"en","license":"2022 The Author(s)","note":"number: 4\npublisher: Nature Publishing Group","page":"1-12","source":"www.nature.com","title":"IGFBP5 promotes diabetic kidney disease progression by enhancing PFKFB3-mediated endothelial glycolysis","volume":"13","author":[{"family":"Song","given":"Chengcheng"},{"family":"Wang","given":"Shuqiang"},{"family":"Fu","given":"Zhangning"},{"family":"Chi","given":"Kun"},{"family":"Geng","given":"Xiaodong"},{"family":"Liu","given":"Chao"},{"family":"Cai","given":"Guangyan"},{"family":"Chen","given":"Xiangmei"},{"family":"Wu","given":"Di"},{"family":"Hong","given":"Quan"}],"issued":{"date-parts":[["2022",4,13]]}}}],"schema":"https://github.com/citation-style-language/schema/raw/master/csl-citation.json"} </w:instrText>
            </w:r>
            <w:r w:rsidRPr="0026705F">
              <w:rPr>
                <w:sz w:val="18"/>
                <w:szCs w:val="18"/>
                <w:lang w:val="en-US"/>
              </w:rPr>
              <w:fldChar w:fldCharType="separate"/>
            </w:r>
            <w:r w:rsidR="00873504" w:rsidRPr="0026705F">
              <w:rPr>
                <w:sz w:val="18"/>
                <w:lang w:val="en-US"/>
              </w:rPr>
              <w:t>[67,68]</w:t>
            </w:r>
            <w:r w:rsidRPr="0026705F">
              <w:rPr>
                <w:sz w:val="18"/>
                <w:szCs w:val="18"/>
                <w:lang w:val="en-US"/>
              </w:rPr>
              <w:fldChar w:fldCharType="end"/>
            </w:r>
          </w:p>
        </w:tc>
      </w:tr>
      <w:tr w:rsidR="005A5782" w:rsidRPr="0026705F" w14:paraId="0A344C7C" w14:textId="72DE637E" w:rsidTr="003B34ED">
        <w:trPr>
          <w:trHeight w:val="981"/>
          <w:jc w:val="center"/>
        </w:trPr>
        <w:tc>
          <w:tcPr>
            <w:tcW w:w="2684" w:type="dxa"/>
            <w:shd w:val="clear" w:color="auto" w:fill="auto"/>
            <w:tcMar>
              <w:top w:w="100" w:type="dxa"/>
              <w:left w:w="100" w:type="dxa"/>
              <w:bottom w:w="100" w:type="dxa"/>
              <w:right w:w="100" w:type="dxa"/>
            </w:tcMar>
          </w:tcPr>
          <w:p w14:paraId="00000184"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Coiled-Coil Domain-Containing Protein 80 (CCDC80)</w:t>
            </w:r>
          </w:p>
          <w:p w14:paraId="00000185"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*608298)</w:t>
            </w:r>
          </w:p>
        </w:tc>
        <w:tc>
          <w:tcPr>
            <w:tcW w:w="5670" w:type="dxa"/>
            <w:shd w:val="clear" w:color="auto" w:fill="auto"/>
            <w:tcMar>
              <w:top w:w="100" w:type="dxa"/>
              <w:left w:w="100" w:type="dxa"/>
              <w:bottom w:w="100" w:type="dxa"/>
              <w:right w:w="100" w:type="dxa"/>
            </w:tcMar>
          </w:tcPr>
          <w:p w14:paraId="00000186"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Present in adipocytes and preadipocytes. Protein activity is associated with glycosaminoglycan binding, cell adhesion and response to bacteria. Function is also linked to obesity.</w:t>
            </w:r>
          </w:p>
        </w:tc>
        <w:tc>
          <w:tcPr>
            <w:tcW w:w="1134" w:type="dxa"/>
          </w:tcPr>
          <w:p w14:paraId="589BD0CF" w14:textId="651C98B2" w:rsidR="005A5782" w:rsidRPr="0026705F" w:rsidRDefault="006E6FFA"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ixPuuQqP","properties":{"formattedCitation":"[69,70]","plainCitation":"[69,70]","noteIndex":0},"citationItems":[{"id":"yYDU4LE6/BiuPHpZs","uris":["http://zotero.org/users/local/FCDre8wk/items/NZ3ZGMWL"],"itemData":{"id":908,"type":"article-journal","abstract":"Coiled-coil domain-containing 80 (CCDC80) is an adipocyte-secreted protein that modulates glucose homeostasis in response to diet-induced obesity in mice. The objective of this study was to analyze the link between human CCDC80 and obesity. CCDC80 protein expression was assessed in paired visceral adipose tissue (VAT) and subcutaneous adipose tissue (SAT) from 10 patients (body mass index range 22.4–38.8 kg/m2). Circulating CCDC80 levels were quantified in serum samples from two independent cross-sectional cohorts comprising 33 lean and 15 obese (cohort 1) and 32 morbidly obese (cohort 2) male patients. Insulin sensitivity, insulin secretion and blood neutrophil count were quantified in serum samples from both cohorts. Additionally, circulating free insulin-like growth factor (IGF)-1 levels and oral glucose tolerance tests were assessed in cohort 1, whereas C-reactive protein levels and degree of atherosclerosis and hepatic steatosis were studied in cohort 2. In lean patients, total CCDC80 protein content assessed by immunoblotting was lower in VAT than in SAT. In obese patients, CCDC80 was increased in VAT (P &lt; 0.05) but equivalent in SAT compared with lean counterparts. In cohort 1, serum CCDC80 correlated negatively with the acute insulin response to glucose and IGF-1 levels and positively with blood neutrophil count independent of BMI, but not with insulin sensitivity. In cohort 2, serum CCDC80 was positively linked to the inflammatory biomarker C-reactive protein (r = 0.46; P = 0.009), atherosclerosis (carotid intima-media thickness, r = 0.62; P &lt; 0.001) and hepatic steatosis (analysis of variance P = 0.025). Overall, these results suggest for the first time that CCDC80 may be a component of the obesity-altered secretome in VAT and could act as an adipokine whose circulant levels are linked to glucose tolerance derangements and related to inflammation-associated chronic complications.","container-title":"Molecular Medicine","DOI":"10.2119/molmed.2017.00067","ISSN":"1528-3658","issue":"1","journalAbbreviation":"Mol Med","language":"en","license":"2017 The Author(s)","note":"number: 1\npublisher: BioMed Central","page":"225-234","source":"molmed.biomedcentral.com","title":"Adipose Tissue and Serum CCDC80 in Obesity and Its Association with Related Metabolic Disease","volume":"23","author":[{"family":"Osorio-Conles","given":"Óscar"},{"family":"Guitart","given":"María"},{"family":"Moreno-Navarrete","given":"José María"},{"family":"Escoté","given":"Xavier"},{"family":"Duran","given":"Xavier"},{"family":"Fernandez-Real","given":"José Manuel"},{"family":"Gómez-Foix","given":"Anna María"},{"family":"Fernández-Veledo","given":"Sonia"},{"family":"Vendrell","given":"Joan"}],"issued":{"date-parts":[["2017",1]]}}},{"id":"yYDU4LE6/wWHDui6h","uris":["http://zotero.org/users/local/FCDre8wk/items/82L8CEZ9"],"itemData":{"id":907,"type":"article-journal","abstract":"Pulmonary arterial hypertension (PAH) is a heterogeneous disorder associated with a progressive increase in pulmonary artery resistance and pressure. Although various therapies have been developed, the 5-year survival rate of PAH patients remains low. There is thus an important need to identify novel genes that are commonly dysregulated in PAH of various etiologies and could be used as biomarkers and/or therapeutic targets. In this study, we performed comparative transcriptome analysis of five mammalian PAH datasets downloaded from a public database. We identified 228 differentially expressed genes (DEGs) from a rat PAH model caused by inhibition of vascular endothelial growth factor receptor under hypoxic conditions, 379 DEGs from a mouse PAH model associated with systemic sclerosis, 850 DEGs from a mouse PAH model associated with schistosomiasis, 1598 DEGs from one cohort of human PAH patients, and 4260 DEGs from a second cohort of human PAH patients. Gene-by-gene comparison identified four genes that were differentially upregulated or downregulated in parallel in all five sets of DEGs. Expression of coiled-coil domain containing 80 (CCDC80) and anterior gradient two genes was significantly increased in the five datasets, whereas expression of SMAD family member six and granzyme A was significantly decreased. Weighted gene co-expression network analysis revealed a connection between CCDC80 and collagen type I alpha 1 (COL1A1) expression. To validate the function of CCDC80 in vivo, we knocked out ccdc80 in zebrafish using the clustered regularly interspaced short palindromic repeats (CRISPR)/Cas9 system. In vivo imaging of zebrafish expressing a fluorescent protein in endothelial cells showed that ccdc80 deletion significantly increased the diameter of the ventral artery, a vessel supplying blood to the gills. We also demonstrated that expression of col1a1 and endothelin-1 mRNA was significantly decreased in the ccdc80-knockout zebrafish. Finally, we examined Ccdc80 immunoreactivity in a rat PAHmodel and found increased expression in the hypertrophied media and adventitia of the pre-acinar pulmonary arteries (PAs) and in the thickened intima, media, and adventitia of the obstructed intra-acinar PAs. These results suggest that increased expression of CCDC80 may be involved in the pathogenesis of PAH, potentially by modulating the expression of endothelin-1 and COL1A1.","container-title":"Frontiers in Pharmacology","ISSN":"1663-9812","source":"Frontiers","title":"Comparative Transcriptome Analysis Identifies CCDC80 as a Novel Gene Associated with Pulmonary Arterial Hypertension","URL":"https://www.frontiersin.org/articles/10.3389/fphar.2016.00142","volume":"7","author":[{"family":"Sasagawa","given":"Shota"},{"family":"Nishimura","given":"Yuhei"},{"family":"Sawada","given":"Hirofumi"},{"family":"Zhang","given":"Erquan"},{"family":"Okabe","given":"Shiko"},{"family":"Murakami","given":"Soichiro"},{"family":"Ashikawa","given":"Yoshifumi"},{"family":"Yuge","given":"Mizuki"},{"family":"Kawaguchi","given":"Koki"},{"family":"Kawase","given":"Reiko"},{"family":"Mitani","given":"Yoshihide"},{"family":"Maruyama","given":"Kazuo"},{"family":"Tanaka","given":"Toshio"}],"accessed":{"date-parts":[["2023",10,11]]},"issued":{"date-parts":[["2016"]]}}}],"schema":"https://github.com/citation-style-language/schema/raw/master/csl-citation.json"} </w:instrText>
            </w:r>
            <w:r w:rsidRPr="0026705F">
              <w:rPr>
                <w:sz w:val="18"/>
                <w:szCs w:val="18"/>
                <w:lang w:val="en-US"/>
              </w:rPr>
              <w:fldChar w:fldCharType="separate"/>
            </w:r>
            <w:r w:rsidR="00873504" w:rsidRPr="0026705F">
              <w:rPr>
                <w:sz w:val="18"/>
                <w:lang w:val="en-US"/>
              </w:rPr>
              <w:t>[69,70]</w:t>
            </w:r>
            <w:r w:rsidRPr="0026705F">
              <w:rPr>
                <w:sz w:val="18"/>
                <w:szCs w:val="18"/>
                <w:lang w:val="en-US"/>
              </w:rPr>
              <w:fldChar w:fldCharType="end"/>
            </w:r>
          </w:p>
        </w:tc>
      </w:tr>
      <w:tr w:rsidR="005A5782" w:rsidRPr="0026705F" w14:paraId="1366E726" w14:textId="6CA66EBC" w:rsidTr="003B34ED">
        <w:trPr>
          <w:trHeight w:val="925"/>
          <w:jc w:val="center"/>
        </w:trPr>
        <w:tc>
          <w:tcPr>
            <w:tcW w:w="2684" w:type="dxa"/>
            <w:shd w:val="clear" w:color="auto" w:fill="auto"/>
            <w:tcMar>
              <w:top w:w="100" w:type="dxa"/>
              <w:left w:w="100" w:type="dxa"/>
              <w:bottom w:w="100" w:type="dxa"/>
              <w:right w:w="100" w:type="dxa"/>
            </w:tcMar>
          </w:tcPr>
          <w:p w14:paraId="00000187"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Keratin 7, Type II  (KRT7)</w:t>
            </w:r>
          </w:p>
          <w:p w14:paraId="00000188"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*148059)</w:t>
            </w:r>
          </w:p>
        </w:tc>
        <w:tc>
          <w:tcPr>
            <w:tcW w:w="5670" w:type="dxa"/>
            <w:shd w:val="clear" w:color="auto" w:fill="auto"/>
            <w:tcMar>
              <w:top w:w="100" w:type="dxa"/>
              <w:left w:w="100" w:type="dxa"/>
              <w:bottom w:w="100" w:type="dxa"/>
              <w:right w:w="100" w:type="dxa"/>
            </w:tcMar>
          </w:tcPr>
          <w:p w14:paraId="00000189"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KRT7 is expressed in epithelial cells of internal organs and glandular vessels. It is found in large quantities in the thyroid, lungs or bladder. Altered expression in cancers of the colon, esophagus as well as the cervix.</w:t>
            </w:r>
          </w:p>
        </w:tc>
        <w:tc>
          <w:tcPr>
            <w:tcW w:w="1134" w:type="dxa"/>
          </w:tcPr>
          <w:p w14:paraId="47F324D2" w14:textId="1E77316B" w:rsidR="005A5782" w:rsidRPr="0026705F" w:rsidRDefault="00C40A4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CJYN2vZq","properties":{"formattedCitation":"[71,72]","plainCitation":"[71,72]","noteIndex":0},"citationItems":[{"id":"yYDU4LE6/SzkFthA8","uris":["http://zotero.org/users/local/FCDre8wk/items/CXGLH97R"],"itemData":{"id":937,"type":"article-journal","abstract":"Keratin 7 (KRT7) is a member of the keratin gene family. KRT7 is abnormally expressed in various types of cancer and promotes the malignant progression of tumors. However, the role of KRT7 in ovarian cancer remains unclear. The present study aimed to validate the role of KRT7 in ovarian cancer progression. KRT7 expression levels in patients with ovarian cancer were analyzed using data obtained from the Human Protein Atlas and The Cancer Genome Atlas databases. KRT7 mRNA and protein expression levels were upregulated in ovarian cancer tissue compared with normal tissue. KRT7 expression was associated with the grading, staging and poor prognosis of ovarian cancer. The differentially expressed genes affected by KRT7 were primarily enriched in the functions of cell migration, cell adhesion and cell growth. In vitro studies, including a CCK8 assay, were used to detect cell proliferation. In addition, wound healing and transwell assays were performed to analyze cell migration. The results demonstrated that KRT7 overexpression was associated with increased proliferation, migration and epithelial‑mesenchymal transition (EMT) of ovarian cancer cells, and the migration and EMT of ovarian cancers cells were decreased following knockdown with KRT7 small interfering RNA. In vivo, knockdown of KRT7 inhibited tumor growth of ovarian cancer. Furthermore, KRT7 regulated EMT in ovarian cancer via the TGF‑β/Smad2/3 pathway, and regulated cell‑matrix adhesion through integrin‑β1‑focal adhesion kinase signaling. These results suggest that KRT7 may be a potential molecular marker for prognosis prediction in patients with ovarian cancer.","container-title":"Oncology Reports","DOI":"10.3892/or.2020.7886","ISSN":"1021-335X","issue":"2","note":"publisher: Spandidos Publications","page":"481-492","source":"www.spandidos-publications.com","title":"KRT7 promotes epithelial‑mesenchymal transition in ovarian cancer via the TGF‑β/Smad2/3 signaling pathway","volume":"45","author":[{"family":"An","given":"Qiang"},{"family":"Liu","given":"Ting"},{"family":"Wang","given":"Ming-Yang"},{"family":"Yang","given":"Yu-Jia"},{"family":"Zhang","given":"Zhen-Dong"},{"family":"Liu","given":"Zhen-Jiang"},{"family":"Yang","given":"Bing"}],"issued":{"date-parts":[["2021",2,1]]}},"locator":"7"},{"id":"yYDU4LE6/7OLw9GsG","uris":["http://zotero.org/users/local/FCDre8wk/items/QYSLWC65"],"itemData":{"id":935,"type":"article-journal","abstract":"The clinical course of IBD, characterized by relapses and remissions, is difficult to predict. Initial diagnosis can be challenging, and novel disease markers are needed. Keratin 7 (K7) is a cytoskeletal intermediate filament protein not expressed in the colonic epithelium but has been reported in IBD-associated colorectal tumors. Our aim was to analyze whether K7 is expressed in chronic colonic inflammatory diseases and evaluate its potential as a novel biomarker. K7 was analyzed in two patient cohorts using immunohistochemistry-stained colon samples and single-cell quantitative digital pathology methods. K7 was correlated to pathological changes and clinical patient characteristics. Our data shows that K7 is expressed de novo in the colonic epithelium of ulcerative colitis and Crohn’s disease IBD patients, but not in collagenous or lymphocytic colitis. K7 mRNA expression was significantly increased in colons of IBD patients compared to controls when assessed in publicly available datasets. While K7 increased in areas with inflammatory activity, it was not expressed in specific crypt compartments and did not correlate with neutrophils or stool calprotectin. K7 was increased in areas proximal to pathological alterations and was most pronounced in drug-resistant ulcerative colitis. In conclusion, colonic epithelial K7 is neo-expressed selectively in IBD patients and could be investigated for its potential as a disease biomarker.","container-title":"Scientific Reports","DOI":"10.1038/s41598-022-26603-2","ISSN":"2045-2322","journalAbbreviation":"Sci Rep","note":"PMID: 36564440\nPMCID: PMC9789078","page":"22213","source":"PubMed Central","title":"Colonocyte keratin 7 is expressed de novo in inflammatory bowel diseases and associated with pathological changes and drug-resistance","volume":"12","author":[{"family":"Polari","given":"Lauri"},{"family":"Tenhami","given":"Mervi"},{"family":"Anttila","given":"Santeri"},{"family":"Helenius","given":"Terhi"},{"family":"Kujari","given":"Harry"},{"family":"Kallajoki","given":"Markku"},{"family":"Voutilainen","given":"Markku"},{"family":"Toivola","given":"Diana M."}],"issued":{"date-parts":[["2022",12,23]]}}}],"schema":"https://github.com/citation-style-language/schema/raw/master/csl-citation.json"} </w:instrText>
            </w:r>
            <w:r w:rsidRPr="0026705F">
              <w:rPr>
                <w:sz w:val="18"/>
                <w:szCs w:val="18"/>
                <w:lang w:val="en-US"/>
              </w:rPr>
              <w:fldChar w:fldCharType="separate"/>
            </w:r>
            <w:r w:rsidR="00873504" w:rsidRPr="0026705F">
              <w:rPr>
                <w:sz w:val="18"/>
                <w:lang w:val="en-US"/>
              </w:rPr>
              <w:t>[71,72]</w:t>
            </w:r>
            <w:r w:rsidRPr="0026705F">
              <w:rPr>
                <w:sz w:val="18"/>
                <w:szCs w:val="18"/>
                <w:lang w:val="en-US"/>
              </w:rPr>
              <w:fldChar w:fldCharType="end"/>
            </w:r>
          </w:p>
        </w:tc>
      </w:tr>
      <w:tr w:rsidR="005A5782" w:rsidRPr="0026705F" w14:paraId="6DBE55D3" w14:textId="55D87650" w:rsidTr="003B34ED">
        <w:trPr>
          <w:trHeight w:val="1267"/>
          <w:jc w:val="center"/>
        </w:trPr>
        <w:tc>
          <w:tcPr>
            <w:tcW w:w="2684" w:type="dxa"/>
            <w:shd w:val="clear" w:color="auto" w:fill="auto"/>
            <w:tcMar>
              <w:top w:w="100" w:type="dxa"/>
              <w:left w:w="100" w:type="dxa"/>
              <w:bottom w:w="100" w:type="dxa"/>
              <w:right w:w="100" w:type="dxa"/>
            </w:tcMar>
          </w:tcPr>
          <w:p w14:paraId="0000018A"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Secreted Protein, Acidic, Cysteine-Rich (SPARC)</w:t>
            </w:r>
          </w:p>
          <w:p w14:paraId="0000018B"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*182120)</w:t>
            </w:r>
          </w:p>
        </w:tc>
        <w:tc>
          <w:tcPr>
            <w:tcW w:w="5670" w:type="dxa"/>
            <w:shd w:val="clear" w:color="auto" w:fill="auto"/>
            <w:tcMar>
              <w:top w:w="100" w:type="dxa"/>
              <w:left w:w="100" w:type="dxa"/>
              <w:bottom w:w="100" w:type="dxa"/>
              <w:right w:w="100" w:type="dxa"/>
            </w:tcMar>
          </w:tcPr>
          <w:p w14:paraId="0000018C"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Bone matrix protein. Associated with bone mineralization, proliferation, differentiation, migration, and angiogenesis. Gene overexpression in gastrointestinal cancers, breast cancer, glioblastoma.</w:t>
            </w:r>
          </w:p>
        </w:tc>
        <w:tc>
          <w:tcPr>
            <w:tcW w:w="1134" w:type="dxa"/>
          </w:tcPr>
          <w:p w14:paraId="6C3FB5B9" w14:textId="7FBC15E4" w:rsidR="005A5782" w:rsidRPr="0026705F" w:rsidRDefault="00C40A4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Y697RDoM","properties":{"formattedCitation":"[73,74]","plainCitation":"[73,74]","noteIndex":0},"citationItems":[{"id":"yYDU4LE6/XhljUypO","uris":["http://zotero.org/users/local/FCDre8wk/items/AKJEHFU3"],"itemData":{"id":940,"type":"article-journal","abstract":"Gastric cancer is the second most common cancer in the world and the fifth leading cause of cancer-related death in Taiwan. To improve the survival of gastric cancer patients, biomarkers for early detection and effective anticancer therapy are required. An essential first step is to profile gene expression in gastric cancer and identify genes that are aberrantly expressed, and to do this cDNA microarrays were performed. The clinic–pathologic correlation and prognostic significance of the aberrantly expressed genes were evaluated to identify novel biomarkers of gastric cancer. Fresh surgical samples of tumour tissue and matching noncancerous mucosa were obtained immediately after gastric resection in 43 patients. Secreted Protein, Acidic and Rich in Cysteine (SPARC) (Osteonectins), one of the most highly expressed genes in both intestinal and diffuse gastric cancers in our microarray results, was selected for further study. The overexpression of SPARC was verified using real-time quantitative-reverse transcription–polymerase chain reaction (Q-RT–PCR), Northern blot and immunohistochemical staining. The expression of SPARC in tumour tissues was, on average, 4.27-fold increased (95% CI 2.68–5.85) compared to adjacent noncancerous mucosa (P&lt;0.001). The expression of SPARC was higher in advanced (T2, T3 and T4) cancer compared to the early (T1) cancer (P=0.048) with regard to depth of wall invasion. Higher expression of SPARC was significantly associated with lymph node metastasis (P&lt;0.001), lymphatic invasion (P=0.004) and perineural invasion (P=0.047). Expression of SPARC in patients in stage II and above was significantly higher than those in stage I (P=0.017). The 3-year survival of patients with lower expression of SPARC was significantly better than those with a higher expression (log rank P=0.047). These data indicate the potential of SPARC as a prognostic marker for gastric cancer.","container-title":"British Journal of Cancer","DOI":"10.1038/sj.bjc.6602213","ISSN":"1532-1827","issue":"11","journalAbbreviation":"Br J Cancer","language":"en","license":"2004 The Author(s)","note":"number: 11\npublisher: Nature Publishing Group","page":"1924-1930","source":"www.nature.com","title":"Overexpression of SPARC gene in human gastric carcinoma and its clinic–pathologic significance","volume":"91","author":[{"family":"Wang","given":"C.-S."},{"family":"Lin","given":"K.-H."},{"family":"Chen","given":"S.-L."},{"family":"Chan","given":"Y.-F."},{"family":"Hsueh","given":"S."}],"issued":{"date-parts":[["2004",11]]}}},{"id":"yYDU4LE6/C1BZAahx","uris":["http://zotero.org/users/local/FCDre8wk/items/G3846EM8"],"itemData":{"id":942,"type":"article-journal","abstract":"Secreted protein, acidic and rich in cysteine (SPARC) is a matricellular protein that mediates cell-matrix interactions. It has been shown, depending on the type of cancer, to possess either pro- or anti-tumorigenic properties. The transcriptional regulation of the SPARC gene expression has not been fully elucidated and the effects of anti-cancer drugs on this process have not been explored.","container-title":"Molecular Cancer","DOI":"10.1186/1476-4598-9-210","ISSN":"1476-4598","issue":"1","journalAbbreviation":"Molecular Cancer","page":"210","source":"BioMed Central","title":"Brg-1 mediates the constitutive and fenretinide-induced expression of SPARC in mammary carcinoma cells via its interaction with transcription factor Sp1","volume":"9","author":[{"family":"Xu","given":"Yong Zhong"},{"family":"Heravi","given":"Mitra"},{"family":"Thuraisingam","given":"Thusanth"},{"family":"Marco","given":"Sergio Di"},{"family":"Muanza","given":"Thierry"},{"family":"Radzioch","given":"Danuta"}],"issued":{"date-parts":[["2010",8,5]]}}}],"schema":"https://github.com/citation-style-language/schema/raw/master/csl-citation.json"} </w:instrText>
            </w:r>
            <w:r w:rsidRPr="0026705F">
              <w:rPr>
                <w:sz w:val="18"/>
                <w:szCs w:val="18"/>
                <w:lang w:val="en-US"/>
              </w:rPr>
              <w:fldChar w:fldCharType="separate"/>
            </w:r>
            <w:r w:rsidR="00873504" w:rsidRPr="0026705F">
              <w:rPr>
                <w:sz w:val="18"/>
                <w:lang w:val="en-US"/>
              </w:rPr>
              <w:t>[73,74]</w:t>
            </w:r>
            <w:r w:rsidRPr="0026705F">
              <w:rPr>
                <w:sz w:val="18"/>
                <w:szCs w:val="18"/>
                <w:lang w:val="en-US"/>
              </w:rPr>
              <w:fldChar w:fldCharType="end"/>
            </w:r>
          </w:p>
        </w:tc>
      </w:tr>
      <w:tr w:rsidR="005A5782" w:rsidRPr="0026705F" w14:paraId="39EF6242" w14:textId="632B722A" w:rsidTr="003B34ED">
        <w:trPr>
          <w:trHeight w:val="145"/>
          <w:jc w:val="center"/>
        </w:trPr>
        <w:tc>
          <w:tcPr>
            <w:tcW w:w="2684" w:type="dxa"/>
            <w:shd w:val="clear" w:color="auto" w:fill="auto"/>
            <w:tcMar>
              <w:top w:w="100" w:type="dxa"/>
              <w:left w:w="100" w:type="dxa"/>
              <w:bottom w:w="100" w:type="dxa"/>
              <w:right w:w="100" w:type="dxa"/>
            </w:tcMar>
          </w:tcPr>
          <w:p w14:paraId="0000018D"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Superoxide Dismutase 3 (SOD3)</w:t>
            </w:r>
          </w:p>
          <w:p w14:paraId="0000018E" w14:textId="77777777" w:rsidR="005A5782" w:rsidRPr="0026705F" w:rsidRDefault="005A5782" w:rsidP="005A5782">
            <w:pPr>
              <w:widowControl w:val="0"/>
              <w:pBdr>
                <w:top w:val="nil"/>
                <w:left w:val="nil"/>
                <w:bottom w:val="nil"/>
                <w:right w:val="nil"/>
                <w:between w:val="nil"/>
              </w:pBdr>
              <w:rPr>
                <w:sz w:val="18"/>
                <w:szCs w:val="18"/>
                <w:lang w:val="en-US"/>
              </w:rPr>
            </w:pPr>
            <w:r w:rsidRPr="0026705F">
              <w:rPr>
                <w:sz w:val="18"/>
                <w:szCs w:val="18"/>
                <w:lang w:val="en-US"/>
              </w:rPr>
              <w:t>(MIM *185490)</w:t>
            </w:r>
          </w:p>
        </w:tc>
        <w:tc>
          <w:tcPr>
            <w:tcW w:w="5670" w:type="dxa"/>
            <w:shd w:val="clear" w:color="auto" w:fill="auto"/>
            <w:tcMar>
              <w:top w:w="100" w:type="dxa"/>
              <w:left w:w="100" w:type="dxa"/>
              <w:bottom w:w="100" w:type="dxa"/>
              <w:right w:w="100" w:type="dxa"/>
            </w:tcMar>
          </w:tcPr>
          <w:p w14:paraId="0000018F" w14:textId="77777777" w:rsidR="005A5782" w:rsidRPr="0026705F" w:rsidRDefault="005A5782" w:rsidP="006A4790">
            <w:pPr>
              <w:widowControl w:val="0"/>
              <w:pBdr>
                <w:top w:val="nil"/>
                <w:left w:val="nil"/>
                <w:bottom w:val="nil"/>
                <w:right w:val="nil"/>
                <w:between w:val="nil"/>
              </w:pBdr>
              <w:rPr>
                <w:sz w:val="18"/>
                <w:szCs w:val="18"/>
                <w:lang w:val="en-US"/>
              </w:rPr>
            </w:pPr>
            <w:r w:rsidRPr="0026705F">
              <w:rPr>
                <w:sz w:val="18"/>
                <w:szCs w:val="18"/>
                <w:lang w:val="en-US"/>
              </w:rPr>
              <w:t>Associated with the extracellular matrix. It has antioxidant as well as prooxidant properties, which involves controlling redox-dependent processes.</w:t>
            </w:r>
          </w:p>
        </w:tc>
        <w:tc>
          <w:tcPr>
            <w:tcW w:w="1134" w:type="dxa"/>
          </w:tcPr>
          <w:p w14:paraId="14C7AE1F" w14:textId="1C6CA847" w:rsidR="005A5782" w:rsidRPr="0026705F" w:rsidRDefault="00C40A49" w:rsidP="005A5782">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PaMeigEl","properties":{"formattedCitation":"[75,76]","plainCitation":"[75,76]","noteIndex":0},"citationItems":[{"id":"yYDU4LE6/T1nx8Zia","uris":["http://zotero.org/users/local/FCDre8wk/items/SEI4HQ7H"],"itemData":{"id":945,"type":"article-journal","abstract":"Mesenchymal stem cells (MSCs) have been extensively studied and implicated for the cell-based therapy in several diseases due to theirs immunomodulatory properties. Embryonic stem cells and induced-pluripotent stem cells have either ethical issues or concerns regarding the formation of teratomas, introduction of mutations into genome during prolonged culture, respectively which limit their uses in clinical settings. On the other hand, MSCs also encounter certain limitation of circumscribed survival and reduced immunomodulatory potential during transplantation. Plethora of research is undergoing to improve the efficacy of MSCs during therapy. Several compounds and novel techniques have been employed to increase the therapeutic potency of MSCs. MSCs secreted superoxide dismutase 3 (SOD3) may be the mechanism for exhibiting direct antioxidant activities by MSCs. SOD3 is a well known antioxidant enzyme and recently known to possess immunomodulatory properties. Along with superoxide scavenging property, SOD3 also displays anti-angiogenic, anti-chemotactic and anti-inflammatory functions in both enzymatic and non-enzymatic manners. In this review, we summarize the emerging role of SOD3 secreted from MSCs and SOD3’s effects during cell-based therapy.","container-title":"Cell &amp; Bioscience","DOI":"10.1186/s13578-020-00386-3","ISSN":"2045-3701","issue":"1","journalAbbreviation":"Cell &amp; Bioscience","page":"22","source":"BioMed Central","title":"Insights into superoxide dismutase 3 in regulating biological and functional properties of mesenchymal stem cells","volume":"10","author":[{"family":"Sah","given":"Shyam Kishor"},{"family":"Agrahari","given":"Gaurav"},{"family":"Kim","given":"Tae-Yoon"}],"issued":{"date-parts":[["2020",2,27]]}}},{"id":"yYDU4LE6/jbxLYX35","uris":["http://zotero.org/users/local/FCDre8wk/items/WMSNXN7C"],"itemData":{"id":947,"type":"chapter","abstract":"Superoxide dismutase 3 (SOD3 or EC-SOD) is the only scavenger of superoxide in the extracellular space allowing for the catalyzed dismutation of the superoxide radical into hydrogen peroxide. The activity and distribution of the enzyme are regulated at several levels, suggesting the need for balanced activity in the extracellular space. The protein acts as an antioxidant by inhibiting reactions fueled by superoxide, including the reaction with nitric oxide, which generates peroxynitrite. However, the enzyme can also be categorized as a prooxidant providing hydrogen peroxide, which is known to control diverse redox-regulated processes by the oxidation of specific target proteins. The dual role of SOD3 as an antioxidant or prooxidant is central to fine-tuning the redox tone in the extracellular environment and warrants further investigations to fully understand the role of this protein in health and disease.","container-title":"Oxidative Stress","ISBN":"978-0-12-818606-0","note":"DOI: 10.1016/B978-0-12-818606-0.00012-2","page":"183-215","publisher":"Academic Press","source":"ScienceDirect","title":"Chapter 12 - Extracellular superoxide dismutase (SOD3): An antioxidant or prooxidant in the extracellular space?","title-short":"Chapter 12 - Extracellular superoxide dismutase (SOD3)","URL":"https://www.sciencedirect.com/science/article/pii/B9780128186060000122","author":[{"family":"Zachariae","given":"Elias D. F."},{"family":"Hu","given":"Lili"},{"family":"Petersen","given":"Steen Vang"}],"editor":[{"family":"Sies","given":"Helmut"}],"accessed":{"date-parts":[["2023",10,12]]},"issued":{"date-parts":[["2020",1,1]]}}}],"schema":"https://github.com/citation-style-language/schema/raw/master/csl-citation.json"} </w:instrText>
            </w:r>
            <w:r w:rsidRPr="0026705F">
              <w:rPr>
                <w:sz w:val="18"/>
                <w:szCs w:val="18"/>
                <w:lang w:val="en-US"/>
              </w:rPr>
              <w:fldChar w:fldCharType="separate"/>
            </w:r>
            <w:r w:rsidR="00873504" w:rsidRPr="0026705F">
              <w:rPr>
                <w:sz w:val="18"/>
                <w:lang w:val="en-US"/>
              </w:rPr>
              <w:t>[75,76]</w:t>
            </w:r>
            <w:r w:rsidRPr="0026705F">
              <w:rPr>
                <w:sz w:val="18"/>
                <w:szCs w:val="18"/>
                <w:lang w:val="en-US"/>
              </w:rPr>
              <w:fldChar w:fldCharType="end"/>
            </w:r>
          </w:p>
        </w:tc>
      </w:tr>
      <w:tr w:rsidR="005A5782" w:rsidRPr="0026705F" w14:paraId="2F995951" w14:textId="4B6F8E36" w:rsidTr="003B34ED">
        <w:trPr>
          <w:trHeight w:val="145"/>
          <w:jc w:val="center"/>
        </w:trPr>
        <w:tc>
          <w:tcPr>
            <w:tcW w:w="2684" w:type="dxa"/>
            <w:shd w:val="clear" w:color="auto" w:fill="auto"/>
            <w:tcMar>
              <w:top w:w="100" w:type="dxa"/>
              <w:left w:w="100" w:type="dxa"/>
              <w:bottom w:w="100" w:type="dxa"/>
              <w:right w:w="100" w:type="dxa"/>
            </w:tcMar>
          </w:tcPr>
          <w:p w14:paraId="00000190"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lastRenderedPageBreak/>
              <w:t>Tissue Inhibitor of Metalloproteinase 1 (TIMP1)</w:t>
            </w:r>
          </w:p>
          <w:p w14:paraId="00000191"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*305370)</w:t>
            </w:r>
          </w:p>
        </w:tc>
        <w:tc>
          <w:tcPr>
            <w:tcW w:w="5670" w:type="dxa"/>
            <w:shd w:val="clear" w:color="auto" w:fill="auto"/>
            <w:tcMar>
              <w:top w:w="100" w:type="dxa"/>
              <w:left w:w="100" w:type="dxa"/>
              <w:bottom w:w="100" w:type="dxa"/>
              <w:right w:w="100" w:type="dxa"/>
            </w:tcMar>
          </w:tcPr>
          <w:p w14:paraId="00000192" w14:textId="77777777" w:rsidR="005A5782" w:rsidRPr="0026705F" w:rsidRDefault="005A5782" w:rsidP="006A4790">
            <w:pPr>
              <w:widowControl w:val="0"/>
              <w:pBdr>
                <w:top w:val="nil"/>
                <w:left w:val="nil"/>
                <w:bottom w:val="nil"/>
                <w:right w:val="nil"/>
                <w:between w:val="nil"/>
              </w:pBdr>
              <w:rPr>
                <w:sz w:val="18"/>
                <w:szCs w:val="18"/>
                <w:lang w:val="en-US"/>
              </w:rPr>
            </w:pPr>
            <w:r w:rsidRPr="0026705F">
              <w:rPr>
                <w:sz w:val="18"/>
                <w:szCs w:val="18"/>
                <w:lang w:val="en-US"/>
              </w:rPr>
              <w:t>Inhibits the activity of extracellular matrix proteins. Affects cell proliferation and apoptosis. Increased expression in gastric and pancreatic cancer.</w:t>
            </w:r>
          </w:p>
        </w:tc>
        <w:tc>
          <w:tcPr>
            <w:tcW w:w="1134" w:type="dxa"/>
          </w:tcPr>
          <w:p w14:paraId="11AF9B3E" w14:textId="54CBC4A5" w:rsidR="005A5782" w:rsidRPr="0026705F" w:rsidRDefault="00165FCB" w:rsidP="005A5782">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Nkudg5iZ","properties":{"formattedCitation":"[77,78]","plainCitation":"[77,78]","noteIndex":0},"citationItems":[{"id":"yYDU4LE6/zpSV7Y92","uris":["http://zotero.org/users/local/FCDre8wk/items/T765P2MH"],"itemData":{"id":950,"type":"article-journal","abstract":"Unresolved inflammation is a significant predictor for developing chronic pain, and targeting the mechanisms underlying inflammation offers opportunities for therapeutic intervention. During inflammation, matrix metalloproteinase (MMP) activity contributes to tissue remodeling and inflammatory signaling, and is regulated by tissue inhibitors of metalloproteinases (TIMPs). TIMP-1 and -2 have known roles in pain, but only in the context of MMP inhibition. However, TIMP-1 also has receptor-mediated cell signaling functions that are not well understood. Here, we examined how TIMP-1-dependent cell signaling impacts inflammatory hypersensitivity and ongoing pain. We found that hindpaw injection of complete Freund’s adjuvant (CFA) increased cutaneous TIMP-1 expression that peaked prior to development of mechanical hypersensitivity, suggesting that TIMP-1 inhibits the development of inflammatory hypersensitivity. To examine this possibility, we injected TIMP-1 knockout (T1KO) mice with CFA and found that T1KO mice exhibited rapid onset thermal and mechanical hypersensitivity at the site of inflammation that was absent or attenuated in WT controls. We also found that T1KO mice exhibited hypersensitivity in adjacent tissues innervated by different sets of afferents, as well as skin contralateral to the site of inflammation. Replacement of recombinant murine (rm)TIMP-1 alleviated hypersensitivity when administered at the site and time of inflammation. Administration of either the MMP inhibiting N-terminal or the cell signaling C-terminal domains recapitulated the antinociceptive effect of full-length rmTIMP-1, suggesting that rmTIMP-1inhibits hypersensitivity through MMP inhibition and receptor-mediated cell signaling. We also found that hypersensitivity was not due to genotype-specific differences in MMP-9 activity or expression, nor to differences in cytokine expression. Administration of rmTIMP-1 prevented mechanical hypersensitivity and ongoing pain in WT mice, collectively suggesting a novel role for TIMP-1 in the attenuation of inflammatory pain.","container-title":"Frontiers in Molecular Neuroscience","ISSN":"1662-5099","source":"Frontiers","title":"TIMP-1 Attenuates the Development of Inflammatory Pain Through MMP-Dependent and Receptor-Mediated Cell Signaling Mechanisms","URL":"https://www.frontiersin.org/articles/10.3389/fnmol.2019.00220","volume":"12","author":[{"family":"Knight","given":"Brittany E."},{"family":"Kozlowski","given":"Nathan"},{"family":"Havelin","given":"Joshua"},{"family":"King","given":"Tamara"},{"family":"Crocker","given":"Stephen J."},{"family":"Young","given":"Erin E."},{"family":"Baumbauer","given":"Kyle M."}],"accessed":{"date-parts":[["2023",10,12]]},"issued":{"date-parts":[["2019"]]}}},{"id":"yYDU4LE6/THCag3gc","uris":["http://zotero.org/users/local/FCDre8wk/items/6QXU8RB5"],"itemData":{"id":949,"type":"article-journal","abstract":"Tissue inhibitor matrix metalloproteinase 1 (TIMP1) plays a vital role in carcinogenesis, yet its precise functional roles and regulation remain unclear. In this study, we aim to investigate its biological function and clinical significance in human colon cancer.","container-title":"Journal of Experimental &amp; Clinical Cancer Research","DOI":"10.1186/s13046-016-0427-7","ISSN":"1756-9966","issue":"1","journalAbbreviation":"Journal of Experimental &amp; Clinical Cancer Research","page":"148","source":"BioMed Central","title":"TIMP1 is a prognostic marker for the progression and metastasis of colon cancer through FAK-PI3K/AKT and MAPK pathway","volume":"35","author":[{"family":"Song","given":"Guohe"},{"family":"Xu","given":"Shifeng"},{"family":"Zhang","given":"Hong"},{"family":"Wang","given":"Yupeng"},{"family":"Xiao","given":"Chao"},{"family":"Jiang","given":"Tao"},{"family":"Wu","given":"Leilei"},{"family":"Zhang","given":"Tao"},{"family":"Sun","given":"Xing"},{"family":"Zhong","given":"Lin"},{"family":"Zhou","given":"Chongzhi"},{"family":"Wang","given":"Zhaowen"},{"family":"Peng","given":"Zhihai"},{"family":"Chen","given":"Jian"},{"family":"Wang","given":"Xiaoliang"}],"issued":{"date-parts":[["2016",9,20]]}}}],"schema":"https://github.com/citation-style-language/schema/raw/master/csl-citation.json"} </w:instrText>
            </w:r>
            <w:r w:rsidRPr="0026705F">
              <w:rPr>
                <w:sz w:val="18"/>
                <w:szCs w:val="18"/>
                <w:lang w:val="en-US"/>
              </w:rPr>
              <w:fldChar w:fldCharType="separate"/>
            </w:r>
            <w:r w:rsidR="00873504" w:rsidRPr="0026705F">
              <w:rPr>
                <w:sz w:val="18"/>
                <w:lang w:val="en-US"/>
              </w:rPr>
              <w:t>[77,78]</w:t>
            </w:r>
            <w:r w:rsidRPr="0026705F">
              <w:rPr>
                <w:sz w:val="18"/>
                <w:szCs w:val="18"/>
                <w:lang w:val="en-US"/>
              </w:rPr>
              <w:fldChar w:fldCharType="end"/>
            </w:r>
          </w:p>
        </w:tc>
      </w:tr>
      <w:tr w:rsidR="005A5782" w:rsidRPr="0026705F" w14:paraId="29043C03" w14:textId="18E34309" w:rsidTr="003B34ED">
        <w:trPr>
          <w:trHeight w:val="145"/>
          <w:jc w:val="center"/>
        </w:trPr>
        <w:tc>
          <w:tcPr>
            <w:tcW w:w="2684" w:type="dxa"/>
            <w:shd w:val="clear" w:color="auto" w:fill="auto"/>
            <w:tcMar>
              <w:top w:w="100" w:type="dxa"/>
              <w:left w:w="100" w:type="dxa"/>
              <w:bottom w:w="100" w:type="dxa"/>
              <w:right w:w="100" w:type="dxa"/>
            </w:tcMar>
          </w:tcPr>
          <w:p w14:paraId="00000193"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Cadherin 2 (CDH2)</w:t>
            </w:r>
          </w:p>
          <w:p w14:paraId="00000194"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*114020)</w:t>
            </w:r>
          </w:p>
        </w:tc>
        <w:tc>
          <w:tcPr>
            <w:tcW w:w="5670" w:type="dxa"/>
            <w:shd w:val="clear" w:color="auto" w:fill="auto"/>
            <w:tcMar>
              <w:top w:w="100" w:type="dxa"/>
              <w:left w:w="100" w:type="dxa"/>
              <w:bottom w:w="100" w:type="dxa"/>
              <w:right w:w="100" w:type="dxa"/>
            </w:tcMar>
          </w:tcPr>
          <w:p w14:paraId="00000195"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Linked to many physiological processes such as bone composition, cartilage formation, cell adhesion or nervous system development (neurulation, maintenance of synapses, neuronal migration).</w:t>
            </w:r>
          </w:p>
        </w:tc>
        <w:tc>
          <w:tcPr>
            <w:tcW w:w="1134" w:type="dxa"/>
          </w:tcPr>
          <w:p w14:paraId="618F7BDF" w14:textId="4909B10B" w:rsidR="005A5782" w:rsidRPr="0026705F" w:rsidRDefault="00E15EDB"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Y5jrbXen","properties":{"formattedCitation":"[79,80]","plainCitation":"[79,80]","noteIndex":0},"citationItems":[{"id":"yYDU4LE6/5fU3G3O4","uris":["http://zotero.org/users/local/FCDre8wk/items/BAGGGEL5"],"itemData":{"id":979,"type":"article-journal","abstract":"This proof-of-concept study investigates gene expression in core needle biopsies (CNB) to predict whether individuals diagnosed with ductal carcinoma in situ (DCIS) on CNB were affected by invasion at the time of diagnosis.","container-title":"Breast Cancer Research and Treatment","DOI":"10.1007/s10549-020-05797-x","ISSN":"1573-7217","issue":"2","journalAbbreviation":"Breast Cancer Res Treat","language":"en","page":"333-346","source":"Springer Link","title":"CDH2/N-cadherin and early diagnosis of invasion in patients with ductal carcinoma in situ","volume":"183","author":[{"family":"Guvakova","given":"Marina A."},{"family":"Prabakaran","given":"Indira"},{"family":"Wu","given":"Zhengdong"},{"family":"Hoffman","given":"Daniel I."},{"family":"Huang","given":"Ye"},{"family":"Tchou","given":"Julia"},{"family":"Zhang","given":"Paul J."}],"issued":{"date-parts":[["2020",9,1]]}}},{"id":"yYDU4LE6/pcNTECj4","uris":["http://zotero.org/users/local/FCDre8wk/items/MZTVWSRZ"],"itemData":{"id":978,"type":"article-journal","abstract":"CDH2 belongs to the classic cadherin family of Ca2+-dependent cell adhesion molecules with a meticulously described dual role in cell adhesion and β-catenin signaling. During CNS development, CDH2 is involved in a wide range of processes including maintenance of neuroepithelial integrity, neural tube closure (neurulation), confinement of radial glia progenitor cells (RGPCs) to the ventricular zone and maintaining their proliferation-differentiation balance, postmitotic neural precursor migration, axon guidance, synaptic development and maintenance. In the past few years, direct and indirect evidence linked CDH2 to various neurological diseases, and in this review, we summarize recent developments regarding CDH2 function and its involvement in pathological alterations of the CNS.","container-title":"Frontiers in Neuroscience","ISSN":"1662-453X","source":"Frontiers","title":"Flying under the radar: CDH2 (N-cadherin), an important hub molecule in neurodevelopmental and neurodegenerative diseases","title-short":"Flying under the radar","URL":"https://www.frontiersin.org/articles/10.3389/fnins.2022.972059","volume":"16","author":[{"family":"László","given":"Zsófia I."},{"family":"Lele","given":"Zsolt"}],"accessed":{"date-parts":[["2023",10,12]]},"issued":{"date-parts":[["2022"]]}}}],"schema":"https://github.com/citation-style-language/schema/raw/master/csl-citation.json"} </w:instrText>
            </w:r>
            <w:r w:rsidRPr="0026705F">
              <w:rPr>
                <w:sz w:val="18"/>
                <w:szCs w:val="18"/>
                <w:lang w:val="en-US"/>
              </w:rPr>
              <w:fldChar w:fldCharType="separate"/>
            </w:r>
            <w:r w:rsidR="00873504" w:rsidRPr="0026705F">
              <w:rPr>
                <w:sz w:val="18"/>
                <w:lang w:val="en-US"/>
              </w:rPr>
              <w:t>[79,80]</w:t>
            </w:r>
            <w:r w:rsidRPr="0026705F">
              <w:rPr>
                <w:sz w:val="18"/>
                <w:szCs w:val="18"/>
                <w:lang w:val="en-US"/>
              </w:rPr>
              <w:fldChar w:fldCharType="end"/>
            </w:r>
          </w:p>
        </w:tc>
      </w:tr>
      <w:tr w:rsidR="005A5782" w:rsidRPr="0026705F" w14:paraId="227F12C9" w14:textId="588FFE6A" w:rsidTr="003B34ED">
        <w:trPr>
          <w:trHeight w:val="991"/>
          <w:jc w:val="center"/>
        </w:trPr>
        <w:tc>
          <w:tcPr>
            <w:tcW w:w="2684" w:type="dxa"/>
            <w:shd w:val="clear" w:color="auto" w:fill="auto"/>
            <w:tcMar>
              <w:top w:w="100" w:type="dxa"/>
              <w:left w:w="100" w:type="dxa"/>
              <w:bottom w:w="100" w:type="dxa"/>
              <w:right w:w="100" w:type="dxa"/>
            </w:tcMar>
          </w:tcPr>
          <w:p w14:paraId="00000196"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Prostaglandin I2 Synthase (PTGIS)</w:t>
            </w:r>
          </w:p>
          <w:p w14:paraId="00000197"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*601699)</w:t>
            </w:r>
          </w:p>
        </w:tc>
        <w:tc>
          <w:tcPr>
            <w:tcW w:w="5670" w:type="dxa"/>
            <w:shd w:val="clear" w:color="auto" w:fill="auto"/>
            <w:tcMar>
              <w:top w:w="100" w:type="dxa"/>
              <w:left w:w="100" w:type="dxa"/>
              <w:bottom w:w="100" w:type="dxa"/>
              <w:right w:w="100" w:type="dxa"/>
            </w:tcMar>
          </w:tcPr>
          <w:p w14:paraId="00000198"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Present in the tonsils, bladder, heart or lungs in the areas of plasma membranes, nuclear membranes and endoplasmic reticulum. Essential in the vascular system, it regulates vasodilation, inhibits platelet aggregation and cell growth.</w:t>
            </w:r>
          </w:p>
        </w:tc>
        <w:tc>
          <w:tcPr>
            <w:tcW w:w="1134" w:type="dxa"/>
          </w:tcPr>
          <w:p w14:paraId="272011A2" w14:textId="7574D271" w:rsidR="005A5782" w:rsidRPr="0026705F" w:rsidRDefault="00E15EDB"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Nyl8HjBR","properties":{"formattedCitation":"[81,82]","plainCitation":"[81,82]","noteIndex":0},"citationItems":[{"id":"yYDU4LE6/0JbXBLTu","uris":["http://zotero.org/users/local/FCDre8wk/items/V8KCJVYJ"],"itemData":{"id":983,"type":"article-journal","abstract":"Prostacyclin synthase (PTGIS; EC 5.3.99.4) catalyzes isomerization of prostaglandin H2 to prostacyclin, a potent vasodilator and inhibitor of platelet aggregation. At present, limited data exist on functional coupling and possible ways of regulating PTGIS due to insufficient information about protein–protein interactions in which this crucial enzyme is involved. The aim of this study is to isolate protein partners for PTGIS from rat tissue lysates. Using CNBr-activated Sepharose 4B with covalently immobilized PTGIS as an affinity sorbent, we confidently identified 58 unique proteins by mass spectrometry (LC-MS/MS). The participation of these proteins in lysate complex formation was characterized by SEC lysate profiling. Several potential members of the PTGIS subinteractome have been validated by surface plasmon resonance (SPR) analysis. SPR revealed that PTGIS interacted with full-length cytochrome P450 2J2 and glutathione S-transferase (GST). In addition, PTGIS was shown to bind synthetic peptides corresponding to sequences of for GSTA1, GSTM1, aldo-keto reductase (AKR1A1), glutaredoxin 3 (GLRX3) and histidine triad nucleotide binding protein 2 (HINT2). Prostacyclin synthase could potentially be involved in functional interactions with identified novel protein partners participating in iron and heme metabolism, oxidative stress, xenobiotic and drugs metabolism, glutathione and prostaglandin metabolism. The possible biological role of the recognized interaction is discussed in the context of PTGIS functioning.","container-title":"Biology","DOI":"10.3390/biology8020049","ISSN":"2079-7737","issue":"2","journalAbbreviation":"Biology (Basel)","note":"PMID: 31226805\nPMCID: PMC6628129","page":"49","source":"PubMed Central","title":"Affinity Isolation and Mass Spectrometry Identification of Prostacyclin Synthase (PTGIS) Subinteractome","volume":"8","author":[{"family":"Ershov","given":"Pavel V."},{"family":"Mezentsev","given":"Yuri V."},{"family":"Kopylov","given":"Arthur T."},{"family":"Yablokov","given":"Evgeniy O."},{"family":"Svirid","given":"Andrey V."},{"family":"Lushchyk","given":"Aliaksandr Ya."},{"family":"Kaluzhskiy","given":"Leonid A."},{"family":"Gilep","given":"Andrei A."},{"family":"Usanov","given":"Sergey A."},{"family":"Medvedev","given":"Alexey E."},{"family":"Ivanov","given":"Alexis S."}],"issued":{"date-parts":[["2019",6,20]]}}},{"id":"yYDU4LE6/v5aZatQG","uris":["http://zotero.org/users/local/FCDre8wk/items/SXGA7J2K"],"itemData":{"id":982,"type":"article-journal","abstract":"The activation of hepatic stellate cells (HSCs) is a central event in the progression of liver fibrosis. Multiple studies proved that DNA methylation might accelerate HSCs activation. However, the specific pathogenesis of liver fibrosis remains not fully addressed. Our laboratory performed Genome methylation screening to find out the methylated gene in mice with liver fibrosis. The pilot experiments showed that the promoter of prostacyclin synthase (PTGIS) gene was hypermethylated in CCl4-induced liver fibrosis mouse model. Moreover, the down-regulated PTGIS expression can be restored by DNMTs-RNAi and 5-aza-2-deoxycytidine (5-azadC), an inhibitor of DNA methyltransferase (DNMTs). Methylation-specific PCR (MSP) showed that the methylation status of PTGIS in HSC-T6 cells cultures with TGF-β1 (10 ng/mL) was elevated compared with control group. Chromatin immunoprecipitation (ChIP) assay indicated that PTGIS methylation was mainly induced by DNMT1 and DNMT3b. We further investigated the function of PTGIS in liver fibrosis by Recombinant Hepatic-adeno-associated virus (rAAV8)-PTGIS overexpression. The data indicated that overexpression of PTGIS in mouse liver accompanied by elevated apoptosis-related proteins expression in primary HSCs. Conversely, PTGIS silencing mediated by RNAi enhanced the expression of α-SMA and COL1a1 in vitro. Those results illustrated that adding PTGIS expression inhibits the activation of HSCs and alleviates liver fibrosis. Therefore, our study unveils the role of PTGIS in HSCs activation, which may provide a possible explanation for CCl4-mediated liver fibrosis.","container-title":"Frontiers in Pharmacology","ISSN":"1663-9812","source":"Frontiers","title":"DNA Methylation of PTGIS Enhances Hepatic Stellate Cells Activation and Liver Fibrogenesis","URL":"https://www.frontiersin.org/articles/10.3389/fphar.2018.00553","volume":"9","author":[{"family":"Pan","given":"Xue-yin"},{"family":"Yang","given":"Yang"},{"family":"Meng","given":"Hong-wu"},{"family":"Li","given":"Hai-di"},{"family":"Chen","given":"Xin"},{"family":"Huang","given":"Hui-min"},{"family":"Bu","given":"Fang-tian"},{"family":"Yu","given":"Hai-xia"},{"family":"Wang","given":"Qin"},{"family":"Huang","given":"Cheng"},{"family":"Meng","given":"Xiao-ming"},{"family":"Li","given":"Jun"}],"accessed":{"date-parts":[["2023",10,12]]},"issued":{"date-parts":[["2018"]]}}}],"schema":"https://github.com/citation-style-language/schema/raw/master/csl-citation.json"} </w:instrText>
            </w:r>
            <w:r w:rsidRPr="0026705F">
              <w:rPr>
                <w:sz w:val="18"/>
                <w:szCs w:val="18"/>
                <w:lang w:val="en-US"/>
              </w:rPr>
              <w:fldChar w:fldCharType="separate"/>
            </w:r>
            <w:r w:rsidR="00873504" w:rsidRPr="0026705F">
              <w:rPr>
                <w:sz w:val="18"/>
                <w:lang w:val="en-US"/>
              </w:rPr>
              <w:t>[81,82]</w:t>
            </w:r>
            <w:r w:rsidRPr="0026705F">
              <w:rPr>
                <w:sz w:val="18"/>
                <w:szCs w:val="18"/>
                <w:lang w:val="en-US"/>
              </w:rPr>
              <w:fldChar w:fldCharType="end"/>
            </w:r>
          </w:p>
        </w:tc>
      </w:tr>
      <w:tr w:rsidR="005A5782" w:rsidRPr="0026705F" w14:paraId="00007EBE" w14:textId="145147A0" w:rsidTr="003B34ED">
        <w:trPr>
          <w:trHeight w:val="991"/>
          <w:jc w:val="center"/>
        </w:trPr>
        <w:tc>
          <w:tcPr>
            <w:tcW w:w="2684" w:type="dxa"/>
            <w:shd w:val="clear" w:color="auto" w:fill="auto"/>
            <w:tcMar>
              <w:top w:w="100" w:type="dxa"/>
              <w:left w:w="100" w:type="dxa"/>
              <w:bottom w:w="100" w:type="dxa"/>
              <w:right w:w="100" w:type="dxa"/>
            </w:tcMar>
          </w:tcPr>
          <w:p w14:paraId="00000199"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Serpin Peptidase Inhibitor, Clade E, Member 2 (SERPINE2)</w:t>
            </w:r>
          </w:p>
          <w:p w14:paraId="0000019A"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*177010)</w:t>
            </w:r>
          </w:p>
        </w:tc>
        <w:tc>
          <w:tcPr>
            <w:tcW w:w="5670" w:type="dxa"/>
            <w:shd w:val="clear" w:color="auto" w:fill="auto"/>
            <w:tcMar>
              <w:top w:w="100" w:type="dxa"/>
              <w:left w:w="100" w:type="dxa"/>
              <w:bottom w:w="100" w:type="dxa"/>
              <w:right w:w="100" w:type="dxa"/>
            </w:tcMar>
          </w:tcPr>
          <w:p w14:paraId="0000019B" w14:textId="77777777" w:rsidR="005A5782" w:rsidRPr="0026705F" w:rsidRDefault="005A5782" w:rsidP="006A4790">
            <w:pPr>
              <w:widowControl w:val="0"/>
              <w:pBdr>
                <w:top w:val="nil"/>
                <w:left w:val="nil"/>
                <w:bottom w:val="nil"/>
                <w:right w:val="nil"/>
                <w:between w:val="nil"/>
              </w:pBdr>
              <w:rPr>
                <w:sz w:val="18"/>
                <w:szCs w:val="18"/>
                <w:lang w:val="en-US"/>
              </w:rPr>
            </w:pPr>
            <w:r w:rsidRPr="0026705F">
              <w:rPr>
                <w:sz w:val="18"/>
                <w:szCs w:val="18"/>
                <w:lang w:val="en-US"/>
              </w:rPr>
              <w:t>Found in the extracellular matrix of endothelial cells, macrophages, fibroblasts or chondrocytes. Regulates the blood clotting system and proteolysis.</w:t>
            </w:r>
          </w:p>
        </w:tc>
        <w:tc>
          <w:tcPr>
            <w:tcW w:w="1134" w:type="dxa"/>
          </w:tcPr>
          <w:p w14:paraId="0D357B74" w14:textId="47D00264" w:rsidR="005A5782" w:rsidRPr="0026705F" w:rsidRDefault="000B68C1" w:rsidP="005A5782">
            <w:pPr>
              <w:widowControl w:val="0"/>
              <w:pBdr>
                <w:top w:val="nil"/>
                <w:left w:val="nil"/>
                <w:bottom w:val="nil"/>
                <w:right w:val="nil"/>
                <w:between w:val="nil"/>
              </w:pBdr>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D9iEwseL","properties":{"formattedCitation":"[83,84]","plainCitation":"[83,84]","noteIndex":0},"citationItems":[{"id":"yYDU4LE6/LavWwj2k","uris":["http://zotero.org/users/local/FCDre8wk/items/J446W5AX"],"itemData":{"id":987,"type":"article-journal","abstract":"Although increases in cardiovascular load (pressure overload) are known to elicit ventricular remodeling including cardiomyocyte hypertrophy and interstitial fibrosis, the molecular mechanisms of pressure overload or AngII -induced cardiac interstitial fibrosis remain elusive. In this study, serpinE2/protease nexin-1 was over-expressed in a cardiac fibrosis model induced by pressure-overloaded via transverse aortic constriction (TAC) in mouse. Knockdown of serpinE2 attenuates cardiac fibrosis in a mouse model of TAC. At meantime, the results showed that serpinE2 significantly were increased with collagen accumulations induced by AngII or TGF-β stimulation in vitro. Intriguingly, extracellular collagen in myocardial fibroblast was reduced by knockdown of serpinE2 compared with the control in vitro. In stark contrast, the addition of exogenous PN-1 up-regulated the content of collagen in myocardial fibroblast. The MEK1/2- ERK1/2 signaling probably promoted the expression of serpinE2 via transcription factors Elk1 in myocardial fibroblast. In conclusion, stress-induced the ERK1/2 signaling pathway activation up-regulated serpinE2 expression, consequently led accumulation of collagen protein, and contributed to cardiac fibrosis.","container-title":"Scientific Reports","DOI":"10.1038/srep37635","ISSN":"2045-2322","issue":"1","journalAbbreviation":"Sci Rep","language":"en","license":"2016 The Author(s)","note":"number: 1\npublisher: Nature Publishing Group","page":"37635","source":"www.nature.com","title":"Overexpression of SerpinE2/protease nexin-1 Contribute to Pathological Cardiac Fibrosis via increasing Collagen Deposition","volume":"6","author":[{"family":"Li","given":"Xuelian"},{"family":"Zhao","given":"Dandan"},{"family":"Guo","given":"Zhenfeng"},{"family":"Li","given":"Tianshi"},{"family":"Qili","given":"Muge"},{"family":"Xu","given":"Bozhi"},{"family":"Qian","given":"Ming"},{"family":"Liang","given":"Haihai"},{"family":"E","given":"Xiaoqiang"},{"family":"Chege Gitau","given":"Samuel"},{"family":"Wang","given":"Lu"},{"family":"Huangfu","given":"Longtao"},{"family":"Wu","given":"Qiuxia"},{"family":"Xu","given":"Chaoqian"},{"family":"Shan","given":"Hongli"}],"issued":{"date-parts":[["2016",11,23]]}}},{"id":"yYDU4LE6/u4PPuYB9","uris":["http://zotero.org/users/local/FCDre8wk/items/GUVQ3KAU"],"itemData":{"id":988,"type":"article-journal","abstract":"Serine proteinase inhibitor, clade E member 2 (SERPINE2), also known as protease nexin‑1 (PN‑1), is a member of the serpin family. Despite several reported roles of SERPINE2 in tumor development the histological distribution of SERPINE2 and its expression levels in a large variety of tumors remains unclear. Through expressed sequence tag database analysis, immunohistochemical staining of tissue microarrays and a literature review, it was revealed that SERPINE2 expression varied according to growth stages and tissue types. SERPINE2 is differentially expressed in a number of tumors and their normal tissue counterparts. SERPINE2 is identified most abundantly in adenocarcinomas. SERPINE2 serves diverse roles in a variety of tumors and therefore may serve as a promising biomarker for tumor diagnosis and prognosis.","container-title":"Oncology Letters","DOI":"10.3892/ol.2018.7819","ISSN":"1792-1074","issue":"4","note":"publisher: Spandidos Publications","page":"4523-4530","source":"www.spandidos-publications.com","title":"Expression pattern of human SERPINE2 in a variety of human tumors","volume":"15","author":[{"family":"Yang","given":"Ying"},{"family":"Xin","given":"Xiangke"},{"family":"Fu","given":"Xing"},{"family":"Xu","given":"Danmei"}],"issued":{"date-parts":[["2018",4,1]]}}}],"schema":"https://github.com/citation-style-language/schema/raw/master/csl-citation.json"} </w:instrText>
            </w:r>
            <w:r w:rsidRPr="0026705F">
              <w:rPr>
                <w:sz w:val="18"/>
                <w:szCs w:val="18"/>
                <w:lang w:val="en-US"/>
              </w:rPr>
              <w:fldChar w:fldCharType="separate"/>
            </w:r>
            <w:r w:rsidR="00873504" w:rsidRPr="0026705F">
              <w:rPr>
                <w:sz w:val="18"/>
                <w:lang w:val="en-US"/>
              </w:rPr>
              <w:t>[83,84]</w:t>
            </w:r>
            <w:r w:rsidRPr="0026705F">
              <w:rPr>
                <w:sz w:val="18"/>
                <w:szCs w:val="18"/>
                <w:lang w:val="en-US"/>
              </w:rPr>
              <w:fldChar w:fldCharType="end"/>
            </w:r>
          </w:p>
        </w:tc>
      </w:tr>
      <w:tr w:rsidR="005A5782" w:rsidRPr="0026705F" w14:paraId="2E0AEAB5" w14:textId="57CDB8B4" w:rsidTr="003B34ED">
        <w:trPr>
          <w:trHeight w:val="1055"/>
          <w:jc w:val="center"/>
        </w:trPr>
        <w:tc>
          <w:tcPr>
            <w:tcW w:w="2684" w:type="dxa"/>
            <w:shd w:val="clear" w:color="auto" w:fill="auto"/>
            <w:tcMar>
              <w:top w:w="100" w:type="dxa"/>
              <w:left w:w="100" w:type="dxa"/>
              <w:bottom w:w="100" w:type="dxa"/>
              <w:right w:w="100" w:type="dxa"/>
            </w:tcMar>
          </w:tcPr>
          <w:p w14:paraId="0000019C"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Matrix Metalloproteinase 1 (MMP1)</w:t>
            </w:r>
          </w:p>
          <w:p w14:paraId="0000019D"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*120353)</w:t>
            </w:r>
          </w:p>
        </w:tc>
        <w:tc>
          <w:tcPr>
            <w:tcW w:w="5670" w:type="dxa"/>
            <w:shd w:val="clear" w:color="auto" w:fill="auto"/>
            <w:tcMar>
              <w:top w:w="100" w:type="dxa"/>
              <w:left w:w="100" w:type="dxa"/>
              <w:bottom w:w="100" w:type="dxa"/>
              <w:right w:w="100" w:type="dxa"/>
            </w:tcMar>
          </w:tcPr>
          <w:p w14:paraId="0000019E"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Involved in degrading ECM components and the basement membrane. Engaged in physiological processes (tissue reconstruction, reproduction, embryogenesis) and pathological ones (inflammation, cardiovascular disease, metastasis). Increased expression in breast, lung, and bladder cancers.</w:t>
            </w:r>
          </w:p>
        </w:tc>
        <w:tc>
          <w:tcPr>
            <w:tcW w:w="1134" w:type="dxa"/>
          </w:tcPr>
          <w:p w14:paraId="0A33A7A3" w14:textId="4CDB81FD" w:rsidR="005A5782" w:rsidRPr="0026705F" w:rsidRDefault="000B68C1"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9iMs13Dr","properties":{"formattedCitation":"[85,86]","plainCitation":"[85,86]","noteIndex":0},"citationItems":[{"id":"yYDU4LE6/rmlJs7nE","uris":["http://zotero.org/users/local/FCDre8wk/items/GIZMIV5X"],"itemData":{"id":992,"type":"article-journal","abstract":"Knockdown of MMP1 inhibits the EMT and Schwann‐like cell differentiation in PC through blocking the NT‐3/TrkC signaling pathway, contributing to the suppression of PNI.","container-title":"Journal of Clinical Laboratory Analysis","DOI":"10.1002/jcla.24719","ISSN":"0887-8013","issue":"11","journalAbbreviation":"J Clin Lab Anal","note":"PMID: 36181286\nPMCID: PMC9701873","page":"e24719","source":"PubMed Central","title":"Downregulation of MMP1 functions in preventing perineural invasion of pancreatic cancer through blocking the NT‐3/TrkC signaling pathway","volume":"36","author":[{"family":"Xu","given":"Xiaoqing"},{"family":"Lu","given":"Xiaomin"},{"family":"Chen","given":"Liping"},{"family":"Peng","given":"Ke"},{"family":"Ji","given":"Fuhai"}],"issued":{"date-parts":[["2022",9,30]]}}},{"id":"yYDU4LE6/6cf93ssf","uris":["http://zotero.org/users/local/FCDre8wk/items/XDCI4L8G"],"itemData":{"id":991,"type":"article-journal","abstract":"Papillary thyroid cancer (PTC) is one of the malignancies with an excellent prognosis. However, in PTC, progression or dedifferentiation into poorly differentiated thyroid cancer (PDTC) or anaplastic thyroid cancer (ATC) extremely jeopardizes patients’ prognosis. MMP1 is a zinc-dependent endopeptidase, and its role in PTC progression and dedifferentiation is unclear. In this study, transcriptome data of PDTC/ATC and PTC from the Gene Expression Omnibus and The Cancer Genome Atlas databases were utilized to perform an integrated analysis of MMP1 as a potential regulator of tumor progression and dedifferentiation in PTC. Both bulk and single-cell RNA-sequencing data confirmed the high expression of MMP1 in ATC tissues and cells, and further study verified that MMP1 possessed good diagnostic and prognostic value in PTC and PDTC/ATC. Up-regulated MMP1 was found to be positively related to more aggressive clinical characteristics, worse survival, extracellular matrix-related pathways, oncogenic immune microenvironment, more mutations, higher stemness, and more dedifferentiation of PTC. Meanwhile, in vitro experiments verified the high level of MMP1 in PDTC/ATC cell lines, and MMP1 knockdown and its inhibitor triolein could both inhibit the cell viability of PTC and PDTC/ATC. In conclusion, our findings suggest that MMP1 is a potential regulator of tumor progression and dedifferentiation in PTC, and might become a novel therapeutic target for PTC, especially for more aggressive PDTC and ATC.","container-title":"Frontiers in Oncology","ISSN":"2234-943X","source":"Frontiers","title":"MMP1 acts as a potential regulator of tumor progression and dedifferentiation in papillary thyroid cancer","URL":"https://www.frontiersin.org/articles/10.3389/fonc.2022.1030590","volume":"12","author":[{"family":"Zhou","given":"Jun"},{"family":"Xu","given":"Ming"},{"family":"Tan","given":"Jie"},{"family":"Zhou","given":"Lin"},{"family":"Dong","given":"Fang"},{"family":"Huang","given":"Tao"}],"accessed":{"date-parts":[["2023",10,12]]},"issued":{"date-parts":[["2022"]]}}}],"schema":"https://github.com/citation-style-language/schema/raw/master/csl-citation.json"} </w:instrText>
            </w:r>
            <w:r w:rsidRPr="0026705F">
              <w:rPr>
                <w:sz w:val="18"/>
                <w:szCs w:val="18"/>
                <w:lang w:val="en-US"/>
              </w:rPr>
              <w:fldChar w:fldCharType="separate"/>
            </w:r>
            <w:r w:rsidR="00873504" w:rsidRPr="0026705F">
              <w:rPr>
                <w:sz w:val="18"/>
                <w:lang w:val="en-US"/>
              </w:rPr>
              <w:t>[85,86]</w:t>
            </w:r>
            <w:r w:rsidRPr="0026705F">
              <w:rPr>
                <w:sz w:val="18"/>
                <w:szCs w:val="18"/>
                <w:lang w:val="en-US"/>
              </w:rPr>
              <w:fldChar w:fldCharType="end"/>
            </w:r>
          </w:p>
        </w:tc>
      </w:tr>
      <w:tr w:rsidR="005A5782" w:rsidRPr="0026705F" w14:paraId="73DAF79F" w14:textId="7AB2CE4F" w:rsidTr="003B34ED">
        <w:trPr>
          <w:trHeight w:val="991"/>
          <w:jc w:val="center"/>
        </w:trPr>
        <w:tc>
          <w:tcPr>
            <w:tcW w:w="2684" w:type="dxa"/>
            <w:shd w:val="clear" w:color="auto" w:fill="auto"/>
            <w:tcMar>
              <w:top w:w="100" w:type="dxa"/>
              <w:left w:w="100" w:type="dxa"/>
              <w:bottom w:w="100" w:type="dxa"/>
              <w:right w:w="100" w:type="dxa"/>
            </w:tcMar>
          </w:tcPr>
          <w:p w14:paraId="0000019F"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Matrix Metalloproteinase 3 (MMP3)</w:t>
            </w:r>
          </w:p>
          <w:p w14:paraId="000001A0"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*185250)</w:t>
            </w:r>
          </w:p>
        </w:tc>
        <w:tc>
          <w:tcPr>
            <w:tcW w:w="5670" w:type="dxa"/>
            <w:shd w:val="clear" w:color="auto" w:fill="auto"/>
            <w:tcMar>
              <w:top w:w="100" w:type="dxa"/>
              <w:left w:w="100" w:type="dxa"/>
              <w:bottom w:w="100" w:type="dxa"/>
              <w:right w:w="100" w:type="dxa"/>
            </w:tcMar>
          </w:tcPr>
          <w:p w14:paraId="000001A1"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Digests various components of the ECM, associated with fibrinolysis, cell differentiation, ossification of cartilage, wound healing, and the development of atherosclerosis.</w:t>
            </w:r>
          </w:p>
        </w:tc>
        <w:tc>
          <w:tcPr>
            <w:tcW w:w="1134" w:type="dxa"/>
          </w:tcPr>
          <w:p w14:paraId="38A1B272" w14:textId="113E3723" w:rsidR="005A5782" w:rsidRPr="0026705F" w:rsidRDefault="000B68C1"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{"citationID":"LmEfiQJU","properties":{"formattedCitation":"[87,88]","plainCitation":"[87,88]","noteIndex":0},"citationItems":[{"id":"yYDU4LE6/5GlxoO0y","uris":["http://zotero.org/users/local/FCDre8wk/items/IQLUE99N"],"itemData":{"id":998,"type":"article-journal","abstract":"J. Neurochem. (2011) 116, 22–32. Abstract Matrix metalloproteinase-3 (MMP-3) is a member of the class of zinc-dependent proteases known to degrade the extracellular matrix. MMP-3 activity is regulated at three different levels: gene expression, proteolytic activation of the zymogen, and inhibition by the endogenous tissue inhibitors of metalloproteinase. A line of evidence indicates a role of MMP-3 in neurodegeneration. In neuronal cells, MMP-3 expression is increased in response to cell stress, and the cleaved, active MMP-3 participates in apoptotic signaling. In the extracellular space, MMP-3 triggers microglia to produce proinflammatory and cytotoxic molecules as well as MMP-3, which in turn contribute to neuronal damage. MMP-3 is increased in various experimental models of Parkinson’s disease that are produced by selective toxins and by inflammagen, and the neuronal death is attenuated by various ways that inhibit MMP-3. α-Synuclein, whose gene mutations are associated with familial forms of Parkinson’s disease, is proteolyzed by MMP-3. Contribution of MMP-3 toward the pathogenesis of Alzheimer’s disease and other neurodegenerative diseases has also been suggested. Thus, modulation of MMP-3 expression and/or activity could be of therapeutic value for neurodegenerative diseases.","container-title":"Journal of Neurochemistry","DOI":"10.1111/j.1471-4159.2010.07082.x","ISSN":"1471-4159","issue":"1","language":"en","license":"© 2010 The Authors. Journal of Neurochemistry © 2010 International Society for Neurochemistry","note":"_eprint: https://onlinelibrary.wiley.com/doi/pdf/10.1111/j.1471-4159.2010.07082.x","page":"22-32","source":"Wiley Online Library","title":"Role of matrix metalloproteinase-3 in neurodegeneration","volume":"116","author":[{"family":"Kim","given":"Eun-Mee"},{"family":"Hwang","given":"Onyou"}],"issued":{"date-parts":[["2011"]]}}},{"id":"yYDU4LE6/ctNIwlDo","uris":["http://zotero.org/users/local/FCDre8wk/items/9PIBJ5X8"],"itemData":{"id":996,"type":"article-journal","abstract":"Cells must alter their expression profiles and morphological characteristics but also reshape the extracellular matrix (ECM) to fulfill their functions throughout their lifespan. Matrix metalloproteinase 3 (MMP-3) is a member of the matrix metalloproteinase (MMP) family, which can degrade multiple ECM components. MMP-3 can activate multiple pro-MMPs and thus initiates the MMP-mediated degradation reactions. In this review, we summarized the function of MMP-3 and discussed its effects on biological activities. From this point of view, we emphasized the positive and negative roles of MMP-3 in the pathogenesis of disease and cell differentiation, highlighting that MMP-3 is especially closely involved in the occurrence and development of osteoarthritis. Then, we discussed some pathways that were shown to regulate MMP-3. By writing this review, we hope to provide new topics of interest for researchers and attract more researchers to investigate MMP-3.","container-title":"Frontiers in Physiology","ISSN":"1664-042X","source":"Frontiers","title":"Matrix Metalloproteinase 3: A Promoting and Destabilizing Factor in the Pathogenesis of Disease and Cell Differentiation","title-short":"Matrix Metalloproteinase 3","URL":"https://www.frontiersin.org/articles/10.3389/fphys.2021.663978","volume":"12","author":[{"family":"Wan","given":"Jiangtao"},{"family":"Zhang","given":"Guowei"},{"family":"Li","given":"Xin"},{"family":"Qiu","given":"Xianshuai"},{"family":"Ouyang","given":"Jun"},{"family":"Dai","given":"Jingxing"},{"family":"Min","given":"Shaoxiong"}],"accessed":{"date-parts":[["2023",10,12]]},"issued":{"date-parts":[["2021"]]}}}],"schema":"https://github.com/citation-style-language/schema/raw/master/csl-citation.json"} </w:instrText>
            </w:r>
            <w:r w:rsidRPr="0026705F">
              <w:rPr>
                <w:sz w:val="18"/>
                <w:szCs w:val="18"/>
                <w:lang w:val="en-US"/>
              </w:rPr>
              <w:fldChar w:fldCharType="separate"/>
            </w:r>
            <w:r w:rsidR="00873504" w:rsidRPr="0026705F">
              <w:rPr>
                <w:sz w:val="18"/>
                <w:lang w:val="en-US"/>
              </w:rPr>
              <w:t>[87,88]</w:t>
            </w:r>
            <w:r w:rsidRPr="0026705F">
              <w:rPr>
                <w:sz w:val="18"/>
                <w:szCs w:val="18"/>
                <w:lang w:val="en-US"/>
              </w:rPr>
              <w:fldChar w:fldCharType="end"/>
            </w:r>
          </w:p>
        </w:tc>
      </w:tr>
      <w:tr w:rsidR="005A5782" w:rsidRPr="0026705F" w14:paraId="325A7C88" w14:textId="2E47A219" w:rsidTr="003B34ED">
        <w:trPr>
          <w:trHeight w:val="768"/>
          <w:jc w:val="center"/>
        </w:trPr>
        <w:tc>
          <w:tcPr>
            <w:tcW w:w="2684" w:type="dxa"/>
            <w:shd w:val="clear" w:color="auto" w:fill="auto"/>
            <w:tcMar>
              <w:top w:w="100" w:type="dxa"/>
              <w:left w:w="100" w:type="dxa"/>
              <w:bottom w:w="100" w:type="dxa"/>
              <w:right w:w="100" w:type="dxa"/>
            </w:tcMar>
          </w:tcPr>
          <w:p w14:paraId="000001A2"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Superoxide Dismutase 2 (SOD2)</w:t>
            </w:r>
          </w:p>
          <w:p w14:paraId="000001A3"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*147460)</w:t>
            </w:r>
          </w:p>
        </w:tc>
        <w:tc>
          <w:tcPr>
            <w:tcW w:w="5670" w:type="dxa"/>
            <w:shd w:val="clear" w:color="auto" w:fill="auto"/>
            <w:tcMar>
              <w:top w:w="100" w:type="dxa"/>
              <w:left w:w="100" w:type="dxa"/>
              <w:bottom w:w="100" w:type="dxa"/>
              <w:right w:w="100" w:type="dxa"/>
            </w:tcMar>
          </w:tcPr>
          <w:p w14:paraId="000001A4"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Mediates regulation of oxidative stress, metabolism and inflammation. Present in mitochondria of appendix, liver, bone marrow, bladder, among others.</w:t>
            </w:r>
          </w:p>
        </w:tc>
        <w:tc>
          <w:tcPr>
            <w:tcW w:w="1134" w:type="dxa"/>
          </w:tcPr>
          <w:p w14:paraId="0D225507" w14:textId="490929AE" w:rsidR="005A5782" w:rsidRPr="0026705F" w:rsidRDefault="00AA5316"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jonKSHsp","properties":{"formattedCitation":"[89,90]","plainCitation":"[89,90]","noteIndex":0},"citationItems":[{"id":"yYDU4LE6/0lskftrf","uris":["http://zotero.org/users/local/FCDre8wk/items/AGPA9PP9"],"itemData":{"id":1000,"type":"article-journal","abstract":"CD44, a cell-adhesion molecule has a dual role in tumor growth and progression; it acts as a tumor suppressor as well as a tumor promoter. In our previous work, we developed a tetracycline-off regulated expression of CD44’s gene in the breast cancer (BC) cell line MCF-7 (B5 clone). Using cDNA oligo gene expression microarray, we identified SOD2 (superoxide dismutase 2) as a potential CD44-downstream transcriptional target involved in BC metastasis. SOD2 gene belongs to the family of iron/manganese superoxide dismutase family and encodes a mitochondrial protein. SOD2 plays a role in cell proliferation and cell invasion via activation of different signaling pathways regulating angiogenic abilities of breast tumor cells. This review will focus on the findings supporting the underlying mechanisms associated with the oncogenic potential of SOD2 in the onset and progression of cancer, especially in BC and the potential clinical relevance of its various inhibitors.","container-title":"Molecules","DOI":"10.3390/molecules27030811","ISSN":"1420-3049","issue":"3","language":"en","license":"http://creativecommons.org/licenses/by/3.0/","note":"number: 3\npublisher: Multidisciplinary Digital Publishing Institute","page":"811","source":"www.mdpi.com","title":"SOD2, a Potential Transcriptional Target Underpinning CD44-Promoted Breast Cancer Progression","volume":"27","author":[{"family":"Alateyah","given":"Nouralhuda"},{"family":"Gupta","given":"Ishita"},{"family":"Rusyniak","given":"Radoslaw Stefan"},{"family":"Ouhtit","given":"Allal"}],"issued":{"date-parts":[["2022",1]]}}},{"id":"yYDU4LE6/Lzpl4Xdq","uris":["http://zotero.org/users/local/FCDre8wk/items/RCXXNVMV"],"itemData":{"id":1002,"type":"article-journal","abstract":"Oxidative stress caused by chronic intermittent hypoxia (CIH) is the hallmark of obstructive sleep apnea (OSA). Among the first line of defense against oxidative stress is the dismutation of superoxide radicals, which in the mitochondria is carried out by manganese superoxide dismutase (SOD2). In this study, wild-type (WT) and SOD2-heterozygous knockout (SOD2+/−) mice were exposed to CIH or normoxic (Nor) conditions. After 4 weeks, pulmonary artery pressure was measured, and the mice were processed to harvest either serum for cytokine assays or lungs for flow cytometry and histopathological studies. Herein, we showed that heterozygous deletion of SOD2 markedly deteriorated pulmonary remodeling and increased the oxidative stress, especially promoted the infiltration of macrophages in the lungs of CIH mouse. Moreover, in the intermittent hypoxia (IH)-treated RAW264.7 cells, SOD2 knockdown increased the nucleotide-binding domain-like receptor protein 3 (NLRP3) inflammasome activation accompanied with the IL-1β elevation and caspase-1 activity. Additionally, mitochondrial ROS (mtROS) scavenger mito-TEMPO abolished NLRP3 inflammasome activation in IH-treated RAW264.7 cells. Collectively, our results supported that SOD2 contributed to the pathogenesis of CIH-induced lung remodeling. Meanwhile, SOD2 knockdown exacerbates oxidative damage through assembly and activation of NLRP3 inflammasome in macrophages. SOD2 may be a novel therapeutic target for CIH-induced pulmonary inflammation and arteriole remodeling.","container-title":"Acta Pharmacologica Sinica","DOI":"10.1038/s41401-019-0349-y","ISSN":"1745-7254","issue":"9","journalAbbreviation":"Acta Pharmacol Sin","language":"en","license":"2020 CPS and SIMM","note":"number: 9\npublisher: Nature Publishing Group","page":"1197-1207","source":"www.nature.com","title":"Heterozygous SOD2 deletion deteriorated chronic intermittent hypoxia-induced lung inflammation and vascular remodeling through mtROS-NLRP3 signaling pathway","volume":"41","author":[{"family":"Song","given":"Jie-qiong"},{"family":"Jiang","given":"Li-yan"},{"family":"Fu","given":"Cui-ping"},{"family":"Wu","given":"Xu"},{"family":"Liu","given":"Zi-long"},{"family":"Xie","given":"Liang"},{"family":"Wu","given":"Xiao-dan"},{"family":"Hao","given":"Sheng-yu"},{"family":"Li","given":"Shan-qun"}],"issued":{"date-parts":[["2020",9]]}}}],"schema":"https://github.com/citation-style-language/schema/raw/master/csl-citation.json"} </w:instrText>
            </w:r>
            <w:r w:rsidRPr="0026705F">
              <w:rPr>
                <w:sz w:val="18"/>
                <w:szCs w:val="18"/>
                <w:lang w:val="en-US"/>
              </w:rPr>
              <w:fldChar w:fldCharType="separate"/>
            </w:r>
            <w:r w:rsidR="00873504" w:rsidRPr="0026705F">
              <w:rPr>
                <w:sz w:val="18"/>
                <w:lang w:val="en-US"/>
              </w:rPr>
              <w:t>[89,90]</w:t>
            </w:r>
            <w:r w:rsidRPr="0026705F">
              <w:rPr>
                <w:sz w:val="18"/>
                <w:szCs w:val="18"/>
                <w:lang w:val="en-US"/>
              </w:rPr>
              <w:fldChar w:fldCharType="end"/>
            </w:r>
          </w:p>
        </w:tc>
      </w:tr>
      <w:tr w:rsidR="005A5782" w:rsidRPr="0026705F" w14:paraId="54684B4A" w14:textId="7924AD01" w:rsidTr="003B34ED">
        <w:trPr>
          <w:trHeight w:val="991"/>
          <w:jc w:val="center"/>
        </w:trPr>
        <w:tc>
          <w:tcPr>
            <w:tcW w:w="2684" w:type="dxa"/>
            <w:shd w:val="clear" w:color="auto" w:fill="auto"/>
            <w:tcMar>
              <w:top w:w="100" w:type="dxa"/>
              <w:left w:w="100" w:type="dxa"/>
              <w:bottom w:w="100" w:type="dxa"/>
              <w:right w:w="100" w:type="dxa"/>
            </w:tcMar>
          </w:tcPr>
          <w:p w14:paraId="000001A5"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S100 Calcium-Binding Protein A4 (S100A4)</w:t>
            </w:r>
          </w:p>
          <w:p w14:paraId="000001A6"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*114210)</w:t>
            </w:r>
          </w:p>
        </w:tc>
        <w:tc>
          <w:tcPr>
            <w:tcW w:w="5670" w:type="dxa"/>
            <w:shd w:val="clear" w:color="auto" w:fill="auto"/>
            <w:tcMar>
              <w:top w:w="100" w:type="dxa"/>
              <w:left w:w="100" w:type="dxa"/>
              <w:bottom w:w="100" w:type="dxa"/>
              <w:right w:w="100" w:type="dxa"/>
            </w:tcMar>
          </w:tcPr>
          <w:p w14:paraId="000001A7"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Involved in differentiation, proliferation, cell motility, angiogenesis and cytokine activity. Present in neutrophils, macrophages, T lymphocytes, lung cells, bone marrow cells, appendix cells and adipose.</w:t>
            </w:r>
          </w:p>
        </w:tc>
        <w:tc>
          <w:tcPr>
            <w:tcW w:w="1134" w:type="dxa"/>
          </w:tcPr>
          <w:p w14:paraId="0F0DF9CD" w14:textId="698EF847" w:rsidR="005A5782" w:rsidRPr="0026705F" w:rsidRDefault="00AA5316"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FV9iERRN","properties":{"formattedCitation":"[91,92]","plainCitation":"[91,92]","noteIndex":0},"citationItems":[{"id":"yYDU4LE6/v4k7aapa","uris":["http://zotero.org/users/local/FCDre8wk/items/6V5FZN5M"],"itemData":{"id":1004,"type":"article-journal","abstract":"S100A4, an important member of the S100 family of proteins, is best known for its significant role in promoting cancer progression and metastasis. In addition to its expression in tumors, upregulation of S100A4 expression has been associated with various non-tumor pathophysiology processes. However, the mechanisms underlying the role of S100A4 remain unclear. Activated “host” cells (fibroblasts, immunocytes, vascular cells, among others) secrete S100A4 into the extracellular space in various non-tumor human disorders, where it executes its biological functions by interacting with intracellular target proteins. However, the exact molecular mechanisms underlying these interactions in different non-tumor pathophysiologies vary, and S100A4 is likely one of the cross-linking factors that acts as common intrinsic constituents of biological mechanisms. Numerous studies have indicated that the S100A4-mediated epithelial–mesenchymal transition plays a vital role in the occurrence and development of various non-tumor pathophysiologies. Epithelial–mesenchymal transition can be categorized into three general subtypes based on the phenotype and function of the output cells. S100A4 regulates tissue fibrosis associated with the type II epithelial–mesenchymal transition via various signaling pathways. Additionally, S100A4 stimulates fibroblasts to secrete fibronectin and collagen, thus forming the structural components of the extracellular matrix (ECM) and stimulating their deposition in tissues, contributing to the formation of a pro-inflammatory niche. Simultaneously, S100A4 enhances the motility of macrophages, neutrophils, and leukocytes and promotes the recruitment and chemotaxis of these inflammatory cells to regulate inflammation and immune functions. S100A4 also exerts a neuroprotective pro-survival effect on neurons by rescuing them from brain injury and participates in angiogenesis by interacting with other target molecules. In this review, we summarize the role of S100A4 in fibrosis, inflammation, immune response, neuroprotection, angiogenesis, and some common non-tumor diseases as well as its possible involvement in molecular pathways and potential clinical value.","container-title":"Cell &amp; Bioscience","DOI":"10.1186/s13578-017-0191-1","ISSN":"2045-3701","issue":"1","journalAbbreviation":"Cell &amp; Bioscience","page":"64","source":"BioMed Central","title":"Role of metastasis-induced protein S100A4 in human non-tumor pathophysiologies","volume":"7","author":[{"family":"Fei","given":"Fei"},{"family":"Qu","given":"Jie"},{"family":"Li","given":"Chunyuan"},{"family":"Wang","given":"Xinlu"},{"family":"Li","given":"Yuwei"},{"family":"Zhang","given":"Shiwu"}],"issued":{"date-parts":[["2017",11,25]]}}},{"id":"yYDU4LE6/3xZsW0q1","uris":["http://zotero.org/users/local/FCDre8wk/items/4T5C355H"],"itemData":{"id":1006,"type":"article-journal","abstract":"The metastasis associated protein S100A4 is a small calcium binding protein that is associated with metastatic tumors and appears to be a molecular marker for clinical prognosis. Below we discuss its biochemical properties and possible cellular functions in metastasis including cell motility, invasion, apoptosis, angiogenesis and differentiation.","container-title":"British Journal of Cancer","DOI":"10.1038/sj.bjc.6602613","ISSN":"1532-1827","issue":"11","journalAbbreviation":"Br J Cancer","language":"en","license":"2005 The Author(s)","note":"number: 11\npublisher: Nature Publishing Group","page":"1955-1958","source":"www.nature.com","title":"The metastasis associated protein S100A4: role in tumour progression and metastasis","title-short":"The metastasis associated protein S100A4","volume":"92","author":[{"family":"Helfman","given":"D. M."},{"family":"Kim","given":"E. J."},{"family":"Lukanidin","given":"E."},{"family":"Grigorian","given":"M."}],"issued":{"date-parts":[["2005",6]]}}}],"schema":"https://github.com/citation-style-language/schema/raw/master/csl-citation.json"} </w:instrText>
            </w:r>
            <w:r w:rsidRPr="0026705F">
              <w:rPr>
                <w:sz w:val="18"/>
                <w:szCs w:val="18"/>
                <w:lang w:val="en-US"/>
              </w:rPr>
              <w:fldChar w:fldCharType="separate"/>
            </w:r>
            <w:r w:rsidR="00873504" w:rsidRPr="0026705F">
              <w:rPr>
                <w:sz w:val="18"/>
                <w:lang w:val="en-US"/>
              </w:rPr>
              <w:t>[91,92]</w:t>
            </w:r>
            <w:r w:rsidRPr="0026705F">
              <w:rPr>
                <w:sz w:val="18"/>
                <w:szCs w:val="18"/>
                <w:lang w:val="en-US"/>
              </w:rPr>
              <w:fldChar w:fldCharType="end"/>
            </w:r>
          </w:p>
        </w:tc>
      </w:tr>
      <w:tr w:rsidR="005A5782" w:rsidRPr="0026705F" w14:paraId="401D4693" w14:textId="2634D975" w:rsidTr="003B34ED">
        <w:trPr>
          <w:trHeight w:val="991"/>
          <w:jc w:val="center"/>
        </w:trPr>
        <w:tc>
          <w:tcPr>
            <w:tcW w:w="2684" w:type="dxa"/>
            <w:shd w:val="clear" w:color="auto" w:fill="auto"/>
            <w:tcMar>
              <w:top w:w="100" w:type="dxa"/>
              <w:left w:w="100" w:type="dxa"/>
              <w:bottom w:w="100" w:type="dxa"/>
              <w:right w:w="100" w:type="dxa"/>
            </w:tcMar>
          </w:tcPr>
          <w:p w14:paraId="000001A8"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Interferon-Alpha-Inducible Protein 6 (IFI6)</w:t>
            </w:r>
          </w:p>
          <w:p w14:paraId="000001A9"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*147572)</w:t>
            </w:r>
          </w:p>
        </w:tc>
        <w:tc>
          <w:tcPr>
            <w:tcW w:w="5670" w:type="dxa"/>
            <w:shd w:val="clear" w:color="auto" w:fill="auto"/>
            <w:tcMar>
              <w:top w:w="100" w:type="dxa"/>
              <w:left w:w="100" w:type="dxa"/>
              <w:bottom w:w="100" w:type="dxa"/>
              <w:right w:w="100" w:type="dxa"/>
            </w:tcMar>
          </w:tcPr>
          <w:p w14:paraId="000001AA"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Regulates apoptotic activity in mitochondria and cell proliferation. It also has functions related to the immune system. Present in breast and gastric tumors.</w:t>
            </w:r>
          </w:p>
        </w:tc>
        <w:tc>
          <w:tcPr>
            <w:tcW w:w="1134" w:type="dxa"/>
          </w:tcPr>
          <w:p w14:paraId="548728E1" w14:textId="2DCD7A61" w:rsidR="005A5782" w:rsidRPr="0026705F" w:rsidRDefault="00CA73C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PjEmfYY1","properties":{"formattedCitation":"[93,94]","plainCitation":"[93,94]","noteIndex":0},"citationItems":[{"id":"yYDU4LE6/GRqEZTs1","uris":["http://zotero.org/users/local/FCDre8wk/items/PLX7HKQE"],"itemData":{"id":1009,"type":"article-journal","abstract":"Esophageal squamous cell carcinoma (ESCC) is one of the most lethal forms of adult cancer with poor prognosis. Substantial evidence indicates that reactive oxygen species (ROS) are important modulators of aggressive cancer behavior. However, the mechanism by which ESCC cells integrate redox signals to modulate carcinoma progression remains elusive.","container-title":"Journal of Experimental &amp; Clinical Cancer Research","DOI":"10.1186/s13046-020-01646-3","ISSN":"1756-9966","issue":"1","journalAbbreviation":"Journal of Experimental &amp; Clinical Cancer Research","page":"144","source":"BioMed Central","title":"IFI6 depletion inhibits esophageal squamous cell carcinoma progression through reactive oxygen species accumulation via mitochondrial dysfunction and endoplasmic reticulum stress","volume":"39","author":[{"family":"Liu","given":"Zhenchuan"},{"family":"Gu","given":"Shaorui"},{"family":"Lu","given":"Tiancheng"},{"family":"Wu","given":"Kaiqing"},{"family":"Li","given":"Lei"},{"family":"Dong","given":"Chenglai"},{"family":"Zhou","given":"Yongxin"}],"issued":{"date-parts":[["2020",7,29]]}}},{"id":"yYDU4LE6/OOoe3B6S","uris":["http://zotero.org/users/local/FCDre8wk/items/WSMRTMXU"],"itemData":{"id":1010,"type":"article-journal","abstract":"Hepatitis B virus is an enveloped DNA virus, that infects more than three hundred and sixty million people worldwide and leads to severe chronic liver diseases. Interferon-alpha inducible protein 6 (IFI6) is an IFN-stimulated gene (ISG) whose expression is highly regulated by the stimulation of type I IFN-alpha that restricts various kinds of virus infections by targeting different stages of the viral life cycle. This study aims to investigate the antiviral activity of IFI6 against HBV replication and gene expression. The IFI6 was highly induced by the stimulation of IFN-α in hepatoma cells. The overexpression of IFI6 inhibited while knockdown of IFI6 elevated replication and gene expression of HBV in HepG2 cells. Further study determined that IFI6 inhibited HBV replication by reducing EnhII/Cp of the HBV without affecting liver enriched transcription factors that have significant importance in regulating HBV enhancer activity. Furthermore, deletion mutation of EnhII/Cp and CHIP analysis revealed 100 bps (1715-1815 nt) putative sites involved in IFI6 mediated inhibition of HBV. Detailed analysis with EMSA demonstrated that 1715-1770 nt of EnhII/Cp was specifically involved in binding with IFI6 and restricted EnhII/Cp promoter activity. Moreover, IFI6 was localized mainly inside the nucleus to involve in the anti-HBV activity of IFI6. In vivo analysis based on the hydrodynamic injection of IFI6 expression plasmid along with HBV revealed significant inhibition of HBV DNA replication and gene expression. Overall, our results suggested a novel mechanism of IFI6 mediated HBV regulation that could develop potential therapeutics for efficient HBV infection treatment.","container-title":"Frontiers in Immunology","DOI":"10.3389/fimmu.2021.634937","ISSN":"1664-3224","journalAbbreviation":"Front Immunol","note":"PMID: 33868257\nPMCID: PMC8047077","page":"634937","source":"PubMed Central","title":"The Functional and Antiviral Activity of Interferon Alpha-Inducible IFI6 Against Hepatitis B Virus Replication and Gene Expression","volume":"12","author":[{"family":"Sajid","given":"Muhammad"},{"family":"Ullah","given":"Hafiz"},{"family":"Yan","given":"Kun"},{"family":"He","given":"Miao"},{"family":"Feng","given":"Jiangpeng"},{"family":"Shereen","given":"Muhammad Adnan"},{"family":"Hao","given":"Ruidong"},{"family":"Li","given":"Qiaohong"},{"family":"Guo","given":"Deyin"},{"family":"Chen","given":"Yu"},{"family":"Zhou","given":"Li"}],"issued":{"date-parts":[["2021",4,1]]}}}],"schema":"https://github.com/citation-style-language/schema/raw/master/csl-citation.json"} </w:instrText>
            </w:r>
            <w:r w:rsidRPr="0026705F">
              <w:rPr>
                <w:sz w:val="18"/>
                <w:szCs w:val="18"/>
                <w:lang w:val="en-US"/>
              </w:rPr>
              <w:fldChar w:fldCharType="separate"/>
            </w:r>
            <w:r w:rsidR="00873504" w:rsidRPr="0026705F">
              <w:rPr>
                <w:sz w:val="18"/>
                <w:lang w:val="en-US"/>
              </w:rPr>
              <w:t>[93,94]</w:t>
            </w:r>
            <w:r w:rsidRPr="0026705F">
              <w:rPr>
                <w:sz w:val="18"/>
                <w:szCs w:val="18"/>
                <w:lang w:val="en-US"/>
              </w:rPr>
              <w:fldChar w:fldCharType="end"/>
            </w:r>
          </w:p>
        </w:tc>
      </w:tr>
      <w:tr w:rsidR="005A5782" w:rsidRPr="0026705F" w14:paraId="3E29566F" w14:textId="60383599" w:rsidTr="003B34ED">
        <w:trPr>
          <w:trHeight w:val="832"/>
          <w:jc w:val="center"/>
        </w:trPr>
        <w:tc>
          <w:tcPr>
            <w:tcW w:w="2684" w:type="dxa"/>
            <w:shd w:val="clear" w:color="auto" w:fill="auto"/>
            <w:tcMar>
              <w:top w:w="100" w:type="dxa"/>
              <w:left w:w="100" w:type="dxa"/>
              <w:bottom w:w="100" w:type="dxa"/>
              <w:right w:w="100" w:type="dxa"/>
            </w:tcMar>
          </w:tcPr>
          <w:p w14:paraId="000001AB"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Adrenomedullin (ADM)</w:t>
            </w:r>
          </w:p>
          <w:p w14:paraId="000001AC"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*103275)</w:t>
            </w:r>
          </w:p>
        </w:tc>
        <w:tc>
          <w:tcPr>
            <w:tcW w:w="5670" w:type="dxa"/>
            <w:shd w:val="clear" w:color="auto" w:fill="auto"/>
            <w:tcMar>
              <w:top w:w="100" w:type="dxa"/>
              <w:left w:w="100" w:type="dxa"/>
              <w:bottom w:w="100" w:type="dxa"/>
              <w:right w:w="100" w:type="dxa"/>
            </w:tcMar>
          </w:tcPr>
          <w:p w14:paraId="000001AD"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Function related to maintaining normal blood pressure, dilating blood vessels. Expressed in the tissues of the cardiovascular system, kidney and lung. Increased expression observed in cardiovascular disease and renal insufficiency.</w:t>
            </w:r>
          </w:p>
        </w:tc>
        <w:tc>
          <w:tcPr>
            <w:tcW w:w="1134" w:type="dxa"/>
          </w:tcPr>
          <w:p w14:paraId="676D2411" w14:textId="19C7C959" w:rsidR="005A5782" w:rsidRPr="0026705F" w:rsidRDefault="00CA73C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3mMxmHp4","properties":{"formattedCitation":"[95,96]","plainCitation":"[95,96]","noteIndex":0},"citationItems":[{"id":"yYDU4LE6/nmJRVWVM","uris":["http://zotero.org/users/local/FCDre8wk/items/DPAAM622"],"itemData":{"id":1015,"type":"article-journal","abstract":"Sepsis remains a major medical challenge, for which, apart from improvements in supportive care, treatment has not relevantly changed over the last few decades. Vasodilation and vascular leakage play a pivotal role in the development of septic shock, with vascular leakage being caused by disrupted endothelial integrity. Adrenomedullin (ADM), a free circulating peptide involved in regulation of endothelial barrier function and vascular tone, is implicated in the pathophysiology of sepsis. ADM levels are increased during sepsis, and correlate with extent of vasodilation, as well as with disease severity and mortality. In vitro and preclinical in vivo data show that administration of ADM exerts anti-inflammatory, antimicrobial, and protective effects on endothelial barrier function during sepsis, but other work suggests that it may also decrease blood pressure, which could be detrimental for patients with septic shock. Work has been carried out to negate ADMs putative negative effects, while preserving or even potentiating its beneficial actions. Preclinical studies have demonstrated that the use of antibodies that bind to the N-terminus of ADM results in an overall increase of circulating ADM levels and improves sepsis outcome. Similar beneficial effects were obtained using coadministration of ADM and ADM-binding protein-1. It is hypothesized that the mechanism behind the beneficial effects of ADM binding involves prolongation of its half-life and a shift of ADM from the interstitium to the circulation. This in turn results in increased ADM activity in the blood compartment, where it exerts beneficial endothelial barrier-stabilizing effects, whereas its detrimental vasodilatory effects in the interstitium are reduced. Up till now, in vivo data on ADM-targeted treatments in humans are lacking; however, the first study in septic patients with an N-terminus antibody (Adrecizumab) is currently being conducted.","container-title":"Frontiers in Immunology","ISSN":"1664-3224","source":"Frontiers","title":"Adrenomedullin and Adrenomedullin-Targeted Therapy As Treatment Strategies Relevant for Sepsis","URL":"https://www.frontiersin.org/articles/10.3389/fimmu.2018.00292","volume":"9","author":[{"family":"Geven","given":"Christopher"},{"family":"Kox","given":"Matthijs"},{"family":"Pickkers","given":"Peter"}],"accessed":{"date-parts":[["2023",10,12]]},"issued":{"date-parts":[["2018"]]}}},{"id":"yYDU4LE6/dCldRVbC","uris":["http://zotero.org/users/local/FCDre8wk/items/QVZG5NQH"],"itemData":{"id":1017,"type":"article-journal","abstract":"The aim of this study was to evaluate the association of ADM genetic variant and HBP among Lithuanian adolescents aged 12–15 years. This is a cross-sectional study of a randomly selected sample of 675 12–15-years-old schoolchildren who were surveyed during November 2010 to April 2012 in the baseline survey. Single-nucleotide polymorphism (SNP) of ADM gene (rs7129220) was evaluated using real-time PCR. Logistic regression analyses were used to test the associations of ADM (rs7129220) polymorphism with HBP under four inheritance models based on the Akaike Information Criterion (AIC) and to calculate the odds ratios. In the multivariate analysis, boys carrying ADM AG genotype (vs. carriers of ADM GG genotype), ADM AG + AA genotype (vs. carriers of ADM GG genotype) and ADM AG genotype (vs. carriers of ADM GG + AA genotype) had higher odds of having hypertension in codominant, dominant, and overdominant inheritance models. Girls with ADM AG + AA had increased odds of prehypertension compared to girls with the ADM GG genotype carriers in dominant inheritance model. Significant associations were observed in additive models separately for boys (hypertension) and girls (prehypertension). Our results indicate that ADM gene polymorphism was significantly associated with higher odds of HBP in Lithuanian adolescents aged 12–15 years.","container-title":"Scientific Reports","DOI":"10.1038/s41598-019-43287-3","ISSN":"2045-2322","issue":"1","journalAbbreviation":"Sci Rep","language":"en","license":"2019 The Author(s)","note":"number: 1\npublisher: Nature Publishing Group","page":"6807","source":"www.nature.com","title":"Associations of the adrenomedullin gene polymorphism with prehypertension and hypertension in Lithuanian children and adolescents: a cross-sectional study","title-short":"Associations of the adrenomedullin gene polymorphism with prehypertension and hypertension in Lithuanian children and adolescents","volume":"9","author":[{"family":"Simonyte","given":"Sandrita"},{"family":"Kuciene","given":"Renata"},{"family":"Dulskiene","given":"Virginija"},{"family":"Lesauskaite","given":"Vaiva"}],"issued":{"date-parts":[["2019",5,2]]}}}],"schema":"https://github.com/citation-style-language/schema/raw/master/csl-citation.json"} </w:instrText>
            </w:r>
            <w:r w:rsidRPr="0026705F">
              <w:rPr>
                <w:sz w:val="18"/>
                <w:szCs w:val="18"/>
                <w:lang w:val="en-US"/>
              </w:rPr>
              <w:fldChar w:fldCharType="separate"/>
            </w:r>
            <w:r w:rsidR="00873504" w:rsidRPr="0026705F">
              <w:rPr>
                <w:sz w:val="18"/>
                <w:lang w:val="en-US"/>
              </w:rPr>
              <w:t>[95,96]</w:t>
            </w:r>
            <w:r w:rsidRPr="0026705F">
              <w:rPr>
                <w:sz w:val="18"/>
                <w:szCs w:val="18"/>
                <w:lang w:val="en-US"/>
              </w:rPr>
              <w:fldChar w:fldCharType="end"/>
            </w:r>
          </w:p>
        </w:tc>
      </w:tr>
      <w:tr w:rsidR="005A5782" w:rsidRPr="0026705F" w14:paraId="52E5C2C7" w14:textId="610D992F" w:rsidTr="003B34ED">
        <w:trPr>
          <w:trHeight w:val="1216"/>
          <w:jc w:val="center"/>
        </w:trPr>
        <w:tc>
          <w:tcPr>
            <w:tcW w:w="2684" w:type="dxa"/>
            <w:shd w:val="clear" w:color="auto" w:fill="auto"/>
            <w:tcMar>
              <w:top w:w="100" w:type="dxa"/>
              <w:left w:w="100" w:type="dxa"/>
              <w:bottom w:w="100" w:type="dxa"/>
              <w:right w:w="100" w:type="dxa"/>
            </w:tcMar>
          </w:tcPr>
          <w:p w14:paraId="000001AE"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Tumor Necrosis Factor Receptor Superfamily, Member 11B (TNFRSF11B)</w:t>
            </w:r>
          </w:p>
          <w:p w14:paraId="000001AF"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*602643)</w:t>
            </w:r>
          </w:p>
        </w:tc>
        <w:tc>
          <w:tcPr>
            <w:tcW w:w="5670" w:type="dxa"/>
            <w:shd w:val="clear" w:color="auto" w:fill="auto"/>
            <w:tcMar>
              <w:top w:w="100" w:type="dxa"/>
              <w:left w:w="100" w:type="dxa"/>
              <w:bottom w:w="100" w:type="dxa"/>
              <w:right w:w="100" w:type="dxa"/>
            </w:tcMar>
          </w:tcPr>
          <w:p w14:paraId="000001B0"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Associated with bone resorption through negative modulation of osteoclast formation. Supposed to act as a regulator in the cardiovascular system and prevent the arrangement of calcium deposits in the arteries</w:t>
            </w:r>
          </w:p>
        </w:tc>
        <w:tc>
          <w:tcPr>
            <w:tcW w:w="1134" w:type="dxa"/>
          </w:tcPr>
          <w:p w14:paraId="61BA8753" w14:textId="3EC779E4" w:rsidR="005A5782" w:rsidRPr="0026705F" w:rsidRDefault="00CA73C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BW5RrcqT","properties":{"formattedCitation":"[97,98]","plainCitation":"[97,98]","noteIndex":0},"citationItems":[{"id":"yYDU4LE6/JoAmxOvp","uris":["http://zotero.org/users/local/FCDre8wk/items/WKES8258"],"itemData":{"id":1019,"type":"article-journal","abstract":"Osteoprotegerin (OPG), additionally termed tumor necrosis factor receptor superfamily member 11B, is produced by vascular smooth muscle cells (VSMCs) and endothelial cells in the vasculature, and its release may be modulated by pro‑inflammatory cytokines, including interleukin‑1β and tumor necrosis factor‑α. The present study investigated the effects of treatment with low‑dose human recombinant OPG on abdominal aortic aneurysm (AAA) development in mice. Mice were treated with 1 µg human recombinant OPG four times (or vehicle) for 2 weeks prior to inducing AAA. A total of two different models for inducing AAA were used to investigate the hypothesis as to whether OPG is involved in key events of AAA development, using osmotic mini‑pumps with angiotensin II in apolipoprotein‑E (ApoE‑/‑) mice for 28 days or using periaortic application of CaCl2 on the aorta in C57Bl/6J mice for 14 days. OPG was continuously administered during the experimental period. Histological staining using Masson's trichrome, Verhoeff's van‑Gieson and picro‑sirius red, in addition to reverse transcription‑quantitative polymerase chain reaction analysis of various markers, were used to analyze phenotypic alterations. Treatment with OPG had no inhibitory effect on AAA development in the angiotensin II model in ApoE‑/‑ mice, which developed suprarenal aneurysms, although it increased vessel wall thickness of the aorta and total collagen in C57Bl/6J mice using the CaCl2 model that induced infrarenal dilation of the aorta. Treatment with OPG did not inhibit aneurysm development and key events, including inflammation, extracellular matrix or VSMC remodeling, in aortas from OPG‑treated mice with periaortic treatment with CaCl2. The results indicated that mice treated with low levels of human recombinant OPG may have a more stable aneurysmal phenotype due to compensatory production of collagen and increased vessel wall thickness of the aorta, potentially protecting the aneurysm from rupture. Further studies investigating rupture models of AAA in addition to using higher levels of OPG are require to verify this speculation. Furthermore, treatment with low levels of OPG in patients with AAA may represent a novel therapeutic strategy for the treatment of AAA as well as attenuate the adverse effects associated with the administration of normal and high dosages of OPG.","container-title":"Molecular Medicine Reports","DOI":"10.3892/mmr.2018.8936","ISSN":"1791-2997","issue":"1","note":"publisher: Spandidos Publications","page":"41-48","source":"www.spandidos-publications.com","title":"Effects of osteoprotegerin/TNFRSF11B in two models of abdominal aortic aneurysms","volume":"18","author":[{"family":"Vorkapic","given":"Emina"},{"family":"Kunath","given":"Anne"},{"family":"Wågsäter","given":"Dick"}],"issued":{"date-parts":[["2018",7,1]]}}},{"id":"yYDU4LE6/jh6FhiVN","uris":["http://zotero.org/users/local/FCDre8wk/items/Z2JW83DE"],"itemData":{"id":1021,"type":"article-journal","abstract":"Peri-implantitis was an inflammatory progress on the tissue around the implant. The Osteoprotegerin G1181C (rs2073618) polymorphism was reported to be related to the increased risk of the peri-implantitis, whereas another found no relationship. The present study was conducted to research the relationship between Osteoprotegerin rs2073618 polymorphism and peri-implantitis susceptibility.","container-title":"BMC Oral Health","DOI":"10.1186/s12903-022-02657-6","ISSN":"1472-6831","issue":"1","journalAbbreviation":"BMC Oral Health","page":"598","source":"BioMed Central","title":"Association between Osteoprotegerin rs2073618 polymorphism and peri-implantitis susceptibility: a meta-analysis","title-short":"Association between Osteoprotegerin rs2073618 polymorphism and peri-implantitis susceptibility","volume":"22","author":[{"family":"Xu","given":"Min"},{"family":"Zhang","given":"Churen"},{"family":"Han","given":"Ye"},{"family":"Yue","given":"Zhaoguo"},{"family":"Shu","given":"Chang"},{"family":"Hou","given":"Jianxia"}],"issued":{"date-parts":[["2022",12,12]]}}}],"schema":"https://github.com/citation-style-language/schema/raw/master/csl-citation.json"} </w:instrText>
            </w:r>
            <w:r w:rsidRPr="0026705F">
              <w:rPr>
                <w:sz w:val="18"/>
                <w:szCs w:val="18"/>
                <w:lang w:val="en-US"/>
              </w:rPr>
              <w:fldChar w:fldCharType="separate"/>
            </w:r>
            <w:r w:rsidR="00873504" w:rsidRPr="0026705F">
              <w:rPr>
                <w:sz w:val="18"/>
                <w:lang w:val="en-US"/>
              </w:rPr>
              <w:t>[97,98]</w:t>
            </w:r>
            <w:r w:rsidRPr="0026705F">
              <w:rPr>
                <w:sz w:val="18"/>
                <w:szCs w:val="18"/>
                <w:lang w:val="en-US"/>
              </w:rPr>
              <w:fldChar w:fldCharType="end"/>
            </w:r>
          </w:p>
        </w:tc>
      </w:tr>
      <w:tr w:rsidR="005A5782" w:rsidRPr="0026705F" w14:paraId="536E400E" w14:textId="4BE66088" w:rsidTr="003B34ED">
        <w:trPr>
          <w:trHeight w:val="598"/>
          <w:jc w:val="center"/>
        </w:trPr>
        <w:tc>
          <w:tcPr>
            <w:tcW w:w="2684" w:type="dxa"/>
            <w:shd w:val="clear" w:color="auto" w:fill="auto"/>
            <w:tcMar>
              <w:top w:w="100" w:type="dxa"/>
              <w:left w:w="100" w:type="dxa"/>
              <w:bottom w:w="100" w:type="dxa"/>
              <w:right w:w="100" w:type="dxa"/>
            </w:tcMar>
          </w:tcPr>
          <w:p w14:paraId="000001B1"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lastRenderedPageBreak/>
              <w:t>Cathepsin K (CTSK)</w:t>
            </w:r>
          </w:p>
          <w:p w14:paraId="000001B2"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*601105)</w:t>
            </w:r>
          </w:p>
        </w:tc>
        <w:tc>
          <w:tcPr>
            <w:tcW w:w="5670" w:type="dxa"/>
            <w:shd w:val="clear" w:color="auto" w:fill="auto"/>
            <w:tcMar>
              <w:top w:w="100" w:type="dxa"/>
              <w:left w:w="100" w:type="dxa"/>
              <w:bottom w:w="100" w:type="dxa"/>
              <w:right w:w="100" w:type="dxa"/>
            </w:tcMar>
          </w:tcPr>
          <w:p w14:paraId="000001B3"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 xml:space="preserve">Present in osteoclasts and </w:t>
            </w:r>
            <w:proofErr w:type="spellStart"/>
            <w:r w:rsidRPr="0026705F">
              <w:rPr>
                <w:sz w:val="18"/>
                <w:szCs w:val="18"/>
                <w:lang w:val="en-US"/>
              </w:rPr>
              <w:t>chondroclasts</w:t>
            </w:r>
            <w:proofErr w:type="spellEnd"/>
            <w:r w:rsidRPr="0026705F">
              <w:rPr>
                <w:sz w:val="18"/>
                <w:szCs w:val="18"/>
                <w:lang w:val="en-US"/>
              </w:rPr>
              <w:t>, associated with bone resorption and extracellular matrix degradation. Expression is also prominent in breast cancer.</w:t>
            </w:r>
          </w:p>
        </w:tc>
        <w:tc>
          <w:tcPr>
            <w:tcW w:w="1134" w:type="dxa"/>
          </w:tcPr>
          <w:p w14:paraId="60121207" w14:textId="58BA2456" w:rsidR="005A5782" w:rsidRPr="0026705F" w:rsidRDefault="00CA73C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3b8Ckgrf","properties":{"formattedCitation":"[99,100]","plainCitation":"[99,100]","noteIndex":0},"citationItems":[{"id":"yYDU4LE6/amwauoaB","uris":["http://zotero.org/users/local/FCDre8wk/items/P2WYV4DW"],"itemData":{"id":1024,"type":"article-journal","abstract":"Cathepsin K plays an important role in bone resorption. The reports of the association of serum cathepsin K with bone mineral density (BMD) and bone turnover markers are conflicting and the role of serum cathepsin K as a bone turnover marker is unclear. The aims of the study were as follows: (1) to investigate the association of serum cathepsin K with BMD and markers of bone turnover and (2) to evaluate the correlations of single-nucleotide polymorphisms (SNPs) within the CTSK gene with serum cathepsin K, BMD, and markers of bone metabolism in postmenopausal Chinese women. A cross-sectional study was conducted with 1752 postmenopausal Chinese women. Four tagging SNPs (rs12085336, rs12746973, rs4379678, and rs10847) of the CTSK gene were genotyped. Serum cathepsin K of 768 and markers of bone metabolism of 1752 including serum intact PTH, 25-hydroxyvitamin D [25(OH)D], procollagen type 1 N-terminal propeptide (P1NP), and β-CrossLaps of type I collagen containing cross- linked C-telopeptide (β-CTX) were measured. The BMD of the lumbar spine and proximal femur were measured by dual-energy X-ray absorptiometry (DXA). No significant relationship was detected between serum cathepsin K and age, BMI, BMD or bone metabolic markers (all P &gt; 0.05) after adjustment for age and BMI. We failed to identify any significant association between the genotypes or haplotypes of CTSK and BMD, bone turnover markers, or serum cathepsin K. Neither serum cathepsin K nor CTSK gene polymorphisms was correlated with BMD or bone turnover markers. Genetic polymorphisms of CTSK may not be a major contributor to variations in the serum cathepsin K or BMD in postmenopausal Chinese women. The results implied that serum cathepsin K may not be viewed as a substitute for bone turnover markers.","container-title":"Frontiers in Endocrinology","ISSN":"1664-2392","source":"Frontiers","title":"Associations of Serum Cathepsin K and Polymorphisms in CTSK Gene With Bone Mineral Density and Bone Metabolism Markers in Postmenopausal Chinese Women","URL":"https://www.frontiersin.org/articles/10.3389/fendo.2020.00048","volume":"11","author":[{"family":"Gao","given":"Li-hong"},{"family":"Li","given":"Shan-shan"},{"family":"Yue","given":"Hua"},{"family":"Zhang","given":"Zhen-lin"}],"accessed":{"date-parts":[["2023",10,12]]},"issued":{"date-parts":[["2020"]]}}},{"id":"yYDU4LE6/oth1datc","uris":["http://zotero.org/users/local/FCDre8wk/items/BNXHEQ8I"],"itemData":{"id":1026,"type":"article-journal","abstract":"Pycnodyostosis, an autosomal recessive osteosclerosing skeletal disorder, has recently been shown to result from mutations in the cathepsin K gene. Cathepsin K, a lysosomal cysteine protease with an abundant expression in osteoclasts, has been implicated in osteoclast-mediated bone resorption and remodeling. DNA sequence analysis of the cathepsin K gene in a nonconsanguineous family demonstrated compound heterozygozity for mutations in two affected siblings. We have identified a missense mutation with a single base G→A transition at cDNA nucleotide 236, resulting in conversion of a conserved glycine to a glutamine residue (G79E). The other mutation is an A→T transition at nucleotide 154, leading to the substitution of a lysine residue by a STOP codon (K52X) predicting premature termination of the precursor cathepsin K polypeptide. Sequencing of genomic and cDNAs from the parents demonstrated that the missense mutation was inherited from the father and the nonsense mutation from the mother. Protein expression in both affected children was virtually absent, while in the parents was reduced by 50–80% compared with controls. The protein studies demonstrate that even significantly reduced cathepsin K levels do not have any phenotypic effect, whereas absent cathepsin K results in pycnodysostosis.","container-title":"Journal of Bone and Mineral Research","DOI":"10.1359/jbmr.1999.14.10.1649","ISSN":"1523-4681","issue":"10","language":"en","license":"Copyright © 1999 ASBMR","note":"_eprint: https://onlinelibrary.wiley.com/doi/pdf/10.1359/jbmr.1999.14.10.1649","page":"1649-1653","source":"Wiley Online Library","title":"Mutations of CTSK Result in Pycnodysostosis via a Reduction in Cathepsin K Protein","volume":"14","author":[{"family":"Ho","given":"Nicola"},{"family":"Punturieri","given":"Antonello"},{"family":"Wilkin","given":"Douglas"},{"family":"Szabo","given":"Jinny"},{"family":"Johnson","given":"Maureen"},{"family":"Whaley","given":"Justine"},{"family":"Davis","given":"Joie"},{"family":"Clark","given":"Alison"},{"family":"Weiss","given":"Stephen"},{"family":"Francomano","given":"Clair"}],"issued":{"date-parts":[["1999"]]}}}],"schema":"https://github.com/citation-style-language/schema/raw/master/csl-citation.json"} </w:instrText>
            </w:r>
            <w:r w:rsidRPr="0026705F">
              <w:rPr>
                <w:sz w:val="18"/>
                <w:szCs w:val="18"/>
                <w:lang w:val="en-US"/>
              </w:rPr>
              <w:fldChar w:fldCharType="separate"/>
            </w:r>
            <w:r w:rsidR="00873504" w:rsidRPr="0026705F">
              <w:rPr>
                <w:sz w:val="18"/>
                <w:lang w:val="en-US"/>
              </w:rPr>
              <w:t>[99,100]</w:t>
            </w:r>
            <w:r w:rsidRPr="0026705F">
              <w:rPr>
                <w:sz w:val="18"/>
                <w:szCs w:val="18"/>
                <w:lang w:val="en-US"/>
              </w:rPr>
              <w:fldChar w:fldCharType="end"/>
            </w:r>
            <w:r w:rsidRPr="0026705F">
              <w:rPr>
                <w:sz w:val="18"/>
                <w:szCs w:val="18"/>
                <w:lang w:val="en-US"/>
              </w:rPr>
              <w:t xml:space="preserve"> </w:t>
            </w:r>
          </w:p>
        </w:tc>
      </w:tr>
      <w:tr w:rsidR="005A5782" w:rsidRPr="0026705F" w14:paraId="479C4B47" w14:textId="304A8178" w:rsidTr="003B34ED">
        <w:trPr>
          <w:trHeight w:val="826"/>
          <w:jc w:val="center"/>
        </w:trPr>
        <w:tc>
          <w:tcPr>
            <w:tcW w:w="2684" w:type="dxa"/>
            <w:shd w:val="clear" w:color="auto" w:fill="auto"/>
            <w:tcMar>
              <w:top w:w="100" w:type="dxa"/>
              <w:left w:w="100" w:type="dxa"/>
              <w:bottom w:w="100" w:type="dxa"/>
              <w:right w:w="100" w:type="dxa"/>
            </w:tcMar>
          </w:tcPr>
          <w:p w14:paraId="000001B4"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Chemokine, CXC Motif, Ligand 12 (CXCL12)</w:t>
            </w:r>
          </w:p>
          <w:p w14:paraId="000001B5"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*600835)</w:t>
            </w:r>
          </w:p>
        </w:tc>
        <w:tc>
          <w:tcPr>
            <w:tcW w:w="5670" w:type="dxa"/>
            <w:shd w:val="clear" w:color="auto" w:fill="auto"/>
            <w:tcMar>
              <w:top w:w="100" w:type="dxa"/>
              <w:left w:w="100" w:type="dxa"/>
              <w:bottom w:w="100" w:type="dxa"/>
              <w:right w:w="100" w:type="dxa"/>
            </w:tcMar>
          </w:tcPr>
          <w:p w14:paraId="000001B6" w14:textId="5D8351FB" w:rsidR="005A5782" w:rsidRPr="0026705F" w:rsidRDefault="005A5782" w:rsidP="006A4790">
            <w:pPr>
              <w:widowControl w:val="0"/>
              <w:spacing w:after="160" w:line="256" w:lineRule="auto"/>
              <w:rPr>
                <w:sz w:val="18"/>
                <w:szCs w:val="18"/>
                <w:lang w:val="en-US"/>
              </w:rPr>
            </w:pPr>
            <w:r w:rsidRPr="0026705F">
              <w:rPr>
                <w:sz w:val="18"/>
                <w:szCs w:val="18"/>
                <w:lang w:val="en-US"/>
              </w:rPr>
              <w:t xml:space="preserve">Important factor in embryonic development, hematopoiesis, creation of new blood </w:t>
            </w:r>
            <w:r w:rsidR="008A316F" w:rsidRPr="0026705F">
              <w:rPr>
                <w:sz w:val="18"/>
                <w:szCs w:val="18"/>
                <w:lang w:val="en-US"/>
              </w:rPr>
              <w:t>vessels</w:t>
            </w:r>
            <w:r w:rsidRPr="0026705F">
              <w:rPr>
                <w:sz w:val="18"/>
                <w:szCs w:val="18"/>
                <w:lang w:val="en-US"/>
              </w:rPr>
              <w:t xml:space="preserve"> and inflammation. Also associated with cancer growth. Expressed by bone marrow stromal cells and endothelial cells in the brain.</w:t>
            </w:r>
          </w:p>
        </w:tc>
        <w:tc>
          <w:tcPr>
            <w:tcW w:w="1134" w:type="dxa"/>
          </w:tcPr>
          <w:p w14:paraId="355593CA" w14:textId="456A3FBC" w:rsidR="005A5782" w:rsidRPr="0026705F" w:rsidRDefault="00CA73C9"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cUluVocx","properties":{"formattedCitation":"[101,102]","plainCitation":"[101,102]","noteIndex":0},"citationItems":[{"id":"yYDU4LE6/8XLTCh6H","uris":["http://zotero.org/users/local/FCDre8wk/items/W3DJU5IW"],"itemData":{"id":1028,"type":"article-journal","abstract":"The chemokine CXCL12/stromal cell-derived factor 1 alpha has first been described in the immune system where it functions include chemotaxis for lymphocytes and macrophages, migration of hematopoietic cells from fetal liver to bone marrow and the formation of large blood vessels. Among other chemokines, CXCL12 has recently attracted much attention in the brain as it has been shown that it can be produced not only by glial cells but also by neurons. In addition, its receptors CXCR4 and CXCR7, which are belonging to the G protein-coupled receptors family, are abundantly expressed in diverse brain area, CXCR4 being a major co-receptor for human immunodeficiency virus 1 entry. This chemokine system has been shown to play important roles in brain plasticity processes occurring during development but also in the physiology of the brain in normal and pathological conditions. For example, in neurons, CXCR4 stimulation has been shown regulate the synaptic release of glutamate and γ-aminobutyric acid (GABA). It can also act post-synaptically by activating a G protein activated inward rectifier K+ (GIRK), a voltage-gated K channel Kv2.1 associated to neuronal survival, and by increasing high voltage activated Ca2+ currents. In addition, it has been recently evidenced that there are several cross-talks between the CXCL12/CXCR4–7 system and other neurotransmitter systems in the brain (such as GABA, glutamate, opioids, and cannabinoids). Overall, this chemokine system could be one of the key players of the neuro-immune interface that participates in shaping the brain in response to changes in the environment.","container-title":"Frontiers in Cellular Neuroscience","ISSN":"1662-5102","source":"Frontiers","title":"CXCL12 chemokine and its receptors as major players in the interactions between immune and nervous systems","URL":"https://www.frontiersin.org/articles/10.3389/fncel.2014.00065","volume":"8","author":[{"family":"Guyon","given":"Alice"}],"accessed":{"date-parts":[["2023",10,12]]},"issued":{"date-parts":[["2014"]]}}},{"id":"yYDU4LE6/Og9r1utC","uris":["http://zotero.org/users/local/FCDre8wk/items/ND9BPQKF"],"itemData":{"id":1030,"type":"article-journal","abstract":"The CXC chemokine CXCL12 is an important factor in physiological and pathological processes, including embryogenesis, hematopoiesis, angiogenesis and inflammation, because it activates and/or induces migration of hematopoietic progenitor and stem cells, endothelial cells and most leukocytes. Therefore, CXCL12 activity is tightly regulated at multiple levels. CXCL12 has the unique property of existing in six splice variants in humans, each having a specific tissue distribution and in vivo activity. Controlled splice variant transcription and mRNA stability determine the CXCL12 expression profile. CXCL12 fulfills its functions in homeostatic and pathological conditions by interacting with its receptors CXC chemokine receptor 4 (CXCR4) and atypical chemokine receptor 3 (ACKR3) and by binding to glycosaminoglycans (GAGs) in tissues and on the endothelium to allow a proper presentation to passing leukocytes. Homodimerizaton and heterodimerization of CXCL12 and its receptors can alter their signaling activity, as exemplified by the synergy between CXCL12 and other chemokines in leukocyte migration assays. Receptor binding may also initiate CXCL12 internalization and its subsequent removal from the environment. Furthermore, CXCL12 activity is regulated by posttranslational modifications. Proteolytic removal of NH2- or COOH-terminal amino acids, citrullination of arginine residues by peptidyl arginine deiminases or nitration of tyrosine residues reduce CXCL12 activity. This review summarizes the interactions of CXCL12 with the cellular environment and discusses the different levels of CXCL12 activity regulation.","container-title":"Cellular &amp; Molecular Immunology","DOI":"10.1038/cmi.2017.107","ISSN":"2042-0226","issue":"4","journalAbbreviation":"Cell Mol Immunol","language":"en","license":"2017 CSI and USTC","note":"number: 4\npublisher: Nature Publishing Group","page":"299-311","source":"www.nature.com","title":"The unique structural and functional features of CXCL12","volume":"15","author":[{"family":"Janssens","given":"Rik"},{"family":"Struyf","given":"Sofie"},{"family":"Proost","given":"Paul"}],"issued":{"date-parts":[["2018",4]]}}}],"schema":"https://github.com/citation-style-language/schema/raw/master/csl-citation.json"} </w:instrText>
            </w:r>
            <w:r w:rsidRPr="0026705F">
              <w:rPr>
                <w:sz w:val="18"/>
                <w:szCs w:val="18"/>
                <w:lang w:val="en-US"/>
              </w:rPr>
              <w:fldChar w:fldCharType="separate"/>
            </w:r>
            <w:r w:rsidR="00873504" w:rsidRPr="0026705F">
              <w:rPr>
                <w:sz w:val="18"/>
                <w:lang w:val="en-US"/>
              </w:rPr>
              <w:t>[101,102]</w:t>
            </w:r>
            <w:r w:rsidRPr="0026705F">
              <w:rPr>
                <w:sz w:val="18"/>
                <w:szCs w:val="18"/>
                <w:lang w:val="en-US"/>
              </w:rPr>
              <w:fldChar w:fldCharType="end"/>
            </w:r>
          </w:p>
        </w:tc>
      </w:tr>
      <w:tr w:rsidR="005A5782" w:rsidRPr="0026705F" w14:paraId="5200B5BD" w14:textId="2F1372E4" w:rsidTr="003B34ED">
        <w:trPr>
          <w:trHeight w:val="843"/>
          <w:jc w:val="center"/>
        </w:trPr>
        <w:tc>
          <w:tcPr>
            <w:tcW w:w="2684" w:type="dxa"/>
            <w:shd w:val="clear" w:color="auto" w:fill="auto"/>
            <w:tcMar>
              <w:top w:w="100" w:type="dxa"/>
              <w:left w:w="100" w:type="dxa"/>
              <w:bottom w:w="100" w:type="dxa"/>
              <w:right w:w="100" w:type="dxa"/>
            </w:tcMar>
          </w:tcPr>
          <w:p w14:paraId="000001B7"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Major Histocompatibility Complex, Class I, B (HLA-B)</w:t>
            </w:r>
          </w:p>
          <w:p w14:paraId="000001B8"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*142830)</w:t>
            </w:r>
          </w:p>
        </w:tc>
        <w:tc>
          <w:tcPr>
            <w:tcW w:w="5670" w:type="dxa"/>
            <w:shd w:val="clear" w:color="auto" w:fill="auto"/>
            <w:tcMar>
              <w:top w:w="100" w:type="dxa"/>
              <w:left w:w="100" w:type="dxa"/>
              <w:bottom w:w="100" w:type="dxa"/>
              <w:right w:w="100" w:type="dxa"/>
            </w:tcMar>
          </w:tcPr>
          <w:p w14:paraId="000001B9"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A part of HLA class I, associated with immune response.  Expression is seen in spleen, lymph node, lung, intestine, skin.</w:t>
            </w:r>
          </w:p>
        </w:tc>
        <w:tc>
          <w:tcPr>
            <w:tcW w:w="1134" w:type="dxa"/>
          </w:tcPr>
          <w:p w14:paraId="182B6BBF" w14:textId="4CE84CFD" w:rsidR="005A5782" w:rsidRPr="0026705F" w:rsidRDefault="00A7535E"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RGzUEz7B","properties":{"formattedCitation":"[103,104]","plainCitation":"[103,104]","noteIndex":0},"citationItems":[{"id":"yYDU4LE6/AzD0bkXU","uris":["http://zotero.org/users/local/FCDre8wk/items/ZBXVUJ8N"],"itemData":{"id":973,"type":"article-journal","abstract":"Human leukocyte antigen (HLA) genes are the most polymorphic loci in the human genome and code for proteins that play a key role in guiding adaptive immune responses by presenting foreign and self peptides (ligands) to T cells. Each person carries up to 6 HLA class I variants (maternal and paternal copies of HLA-A, HLA-B and HLA-C genes) and also multiple HLA class II variants, which cumulatively define the landscape of peptides presented to T cells. Each HLA variant has its own repertoire of presented peptides with a certain sequence motif which is mainly defined by peptide anchor residues (typically the second and the last positions for HLA class I ligands) forming key interactions with the peptide-binding groove of HLA. In this study, we aimed to characterize HLA binding preferences in terms of molecular functions of presented proteins. To focus on the ligand presentation bias introduced specifically by HLA-peptide interaction we performed large-scale in silico predictions of binding of all peptides from human proteome for a wide range of HLA variants and established which functions are characteristic for proteins that are more or less preferentially presented by different HLA variants using statistical calculations and gene ontology (GO) analysis. We demonstrated marked distinctions between HLA variants in molecular functions of preferentially presented proteins (e.g. some HLA variants preferentially present membrane and receptor proteins, while others – ribosomal and DNA-binding proteins) and reduced presentation of extracellular matrix and collagen proteins by the majority of HLA variants. To explain these observations we demonstrated that HLA preferentially presents proteins enriched in amino acids which are required as anchor residues for the particular HLA variant. Our observations can be extrapolated to explain the protective effect of certain HLA alleles in infectious diseases, and we hypothesize that they can also explain susceptibility to certain autoimmune diseases and cancers. We demonstrate that these differences lead to differential presentation of HIV, influenza virus, SARS-CoV-1 and SARS-CoV-2 proteins by various HLA alleles. Taking into consideration that HLA alleles are inherited in haplotypes, we hypothesized that haplotypes composed of a combination of HLA variants with different presentation preferences should be more advantageous as they allow presenting a larger repertoire of peptides and avoiding holes in immunopeptidome. Indeed, we demonstrated that HLA-A/HLA-B and HLA-A/HLA-C haplotypes which have a high frequency in the human population are comprised of HLA variants that are more distinct in terms of functions of preferentially presented proteins than the control pairs.","container-title":"Frontiers in Immunology","DOI":"10.3389/fimmu.2022.1067463","ISSN":"1664-3224","journalAbbreviation":"Front Immunol","note":"PMID: 36605212\nPMCID: PMC9808399","page":"1067463","source":"PubMed Central","title":"HLA variants have different preferences to present proteins with specific molecular functions which are complemented in frequent haplotypes","volume":"13","author":[{"family":"Karnaukhov","given":"Vadim"},{"family":"Paes","given":"Wayne"},{"family":"Woodhouse","given":"Isaac B."},{"family":"Partridge","given":"Thomas"},{"family":"Nicastri","given":"Annalisa"},{"family":"Brackenridge","given":"Simon"},{"family":"Shcherbinin","given":"Dmitrii"},{"family":"Chudakov","given":"Dmitry M."},{"family":"Zvyagin","given":"Ivan V."},{"family":"Ternette","given":"Nicola"},{"family":"Koohy","given":"Hashem"},{"family":"Borrow","given":"Persephone"},{"family":"Shugay","given":"Mikhail"}],"issued":{"date-parts":[["2022",12,20]]}}},{"id":"yYDU4LE6/sTx6xWTk","uris":["http://zotero.org/users/local/FCDre8wk/items/FYBI47IH"],"itemData":{"id":975,"type":"article-journal","abstract":"Human leucocyte antigen B*27 (HLA-B*27) is strongly associated with inflammatory diseases of the spine and pelvis (for example, ankylosing spondylitis (AS)) and the eye (that is, acute anterior uveitis (AAU))1. How HLA-B*27 facilitates disease remains unknown, but one possible mechanism could involve presentation of pathogenic peptides to CD8+ T cells. Here we isolated orphan T cell receptors (TCRs) expressing a disease-associated public β-chain variable region–complementary-determining region 3β (BV9–CDR3β) motif2–4 from blood and synovial fluid T cells from individuals with AS and from the eye in individuals with AAU. These TCRs showed consistent α-chain variable region (AV21) chain pairing and were clonally expanded in the joint and eye. We used HLA-B*27:05 yeast display peptide libraries to identify shared self-peptides and microbial peptides that activated the AS- and AAU-derived TCRs. Structural analysis revealed that TCR cross-reactivity for peptide–MHC was rooted in a shared binding motif present in both self-antigens and microbial antigens that engages the BV9–CDR3β TCRs. These findings support the hypothesis that microbial antigens and self-antigens could play a pathogenic role in HLA-B*27-associated disease.","container-title":"Nature","DOI":"10.1038/s41586-022-05501-7","ISSN":"1476-4687","issue":"7941","language":"en","license":"2022 The Author(s), under exclusive licence to Springer Nature Limited","note":"number: 7941\npublisher: Nature Publishing Group","page":"771-777","source":"www.nature.com","title":"Autoimmunity-associated T cell receptors recognize HLA-B*27-bound peptides","volume":"612","author":[{"family":"Yang","given":"Xinbo"},{"family":"Garner","given":"Lee I."},{"family":"Zvyagin","given":"Ivan V."},{"family":"Paley","given":"Michael A."},{"family":"Komech","given":"Ekaterina A."},{"family":"Jude","given":"Kevin M."},{"family":"Zhao","given":"Xiang"},{"family":"Fernandes","given":"Ricardo A."},{"family":"Hassman","given":"Lynn M."},{"family":"Paley","given":"Grace L."},{"family":"Savvides","given":"Christina S."},{"family":"Brackenridge","given":"Simon"},{"family":"Quastel","given":"Max N."},{"family":"Chudakov","given":"Dmitriy M."},{"family":"Bowness","given":"Paul"},{"family":"Yokoyama","given":"Wayne M."},{"family":"McMichael","given":"Andrew J."},{"family":"Gillespie","given":"Geraldine M."},{"family":"Garcia","given":"K. Christopher"}],"issued":{"date-parts":[["2022",12]]}}}],"schema":"https://github.com/citation-style-language/schema/raw/master/csl-citation.json"} </w:instrText>
            </w:r>
            <w:r w:rsidRPr="0026705F">
              <w:rPr>
                <w:sz w:val="18"/>
                <w:szCs w:val="18"/>
                <w:lang w:val="en-US"/>
              </w:rPr>
              <w:fldChar w:fldCharType="separate"/>
            </w:r>
            <w:r w:rsidR="00873504" w:rsidRPr="0026705F">
              <w:rPr>
                <w:sz w:val="18"/>
                <w:lang w:val="en-US"/>
              </w:rPr>
              <w:t>[103,104]</w:t>
            </w:r>
            <w:r w:rsidRPr="0026705F">
              <w:rPr>
                <w:sz w:val="18"/>
                <w:szCs w:val="18"/>
                <w:lang w:val="en-US"/>
              </w:rPr>
              <w:fldChar w:fldCharType="end"/>
            </w:r>
          </w:p>
        </w:tc>
      </w:tr>
      <w:tr w:rsidR="005A5782" w:rsidRPr="0026705F" w14:paraId="0048F06D" w14:textId="54D14CD6" w:rsidTr="003B34ED">
        <w:trPr>
          <w:trHeight w:val="837"/>
          <w:jc w:val="center"/>
        </w:trPr>
        <w:tc>
          <w:tcPr>
            <w:tcW w:w="2684" w:type="dxa"/>
            <w:shd w:val="clear" w:color="auto" w:fill="auto"/>
            <w:tcMar>
              <w:top w:w="100" w:type="dxa"/>
              <w:left w:w="100" w:type="dxa"/>
              <w:bottom w:w="100" w:type="dxa"/>
              <w:right w:w="100" w:type="dxa"/>
            </w:tcMar>
          </w:tcPr>
          <w:p w14:paraId="000001BA"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Ubiquitin-Like Modifier (ISG15)</w:t>
            </w:r>
          </w:p>
          <w:p w14:paraId="000001BB"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*147571)</w:t>
            </w:r>
          </w:p>
        </w:tc>
        <w:tc>
          <w:tcPr>
            <w:tcW w:w="5670" w:type="dxa"/>
            <w:shd w:val="clear" w:color="auto" w:fill="auto"/>
            <w:tcMar>
              <w:top w:w="100" w:type="dxa"/>
              <w:left w:w="100" w:type="dxa"/>
              <w:bottom w:w="100" w:type="dxa"/>
              <w:right w:w="100" w:type="dxa"/>
            </w:tcMar>
          </w:tcPr>
          <w:p w14:paraId="000001BC"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Responsible for chemotactic activity against neutrophils, intercellular signaling and antiviral response. Gene expression present in salivary glands, bone marrow, spleen.</w:t>
            </w:r>
          </w:p>
        </w:tc>
        <w:tc>
          <w:tcPr>
            <w:tcW w:w="1134" w:type="dxa"/>
          </w:tcPr>
          <w:p w14:paraId="7C7D8E65" w14:textId="4020F9FF" w:rsidR="005A5782" w:rsidRPr="0026705F" w:rsidRDefault="00A7535E"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Ud8Rgla2","properties":{"formattedCitation":"[105,106]","plainCitation":"[105,106]","noteIndex":0},"citationItems":[{"id":"yYDU4LE6/LH2KPLEx","uris":["http://zotero.org/users/local/FCDre8wk/items/MWEGTDFX"],"itemData":{"id":970,"type":"article-journal","abstract":"Interferon-stimulated gene product 15 (ISG15) is a key component of host responses to microbial infection. Despite having been known for four decades, grasping the functions and features of ISG15 has been a slow and elusive process. Substantial work over the past two decades has greatly enhanced this understanding, revealing the complex and variable nature of this protein. This has unveiled multiple mechanisms of action that are only now beginning to be understood. In addition, it has uncovered diversity not only between how ISG15 affects different pathogens but also between the function and structure of ISG15 itself between different host species. Here we review the complexity of ISG15 within the context of viral infection, focusing primarily on its antiviral function and the mechanisms viruses employ to thwart its effects. We highlight what is known regarding the impact of ISG15 sequence and structural diversity on these interactions and discuss the aspects presenting the next frontier toward elucidating a more complete picture of ISG15 function.","collection-title":"Mechanisms and Strategies of Host Response to Pathogens","container-title":"Journal of Molecular Biology","DOI":"10.1016/j.jmb.2019.03.013","ISSN":"0022-2836","issue":"21","journalAbbreviation":"Journal of Molecular Biology","page":"4203-4216","source":"ScienceDirect","title":"ISG15: It's Complicated","title-short":"ISG15","volume":"431","author":[{"family":"Dzimianski","given":"John V."},{"family":"Scholte","given":"Florine E. M."},{"family":"Bergeron","given":"Éric"},{"family":"Pegan","given":"Scott D."}],"issued":{"date-parts":[["2019",10,4]]}}},{"id":"yYDU4LE6/4bfV7MxR","uris":["http://zotero.org/users/local/FCDre8wk/items/EPHJM4N4"],"itemData":{"id":969,"type":"article-journal","abstract":"The host response to viral infection includes the induction of type I interferons and the subsequent upregulation of hundreds of interferon-stimulated genes. Ubiquitin-like protein ISG15 is an interferon-induced protein that has been implicated as a central player in the host antiviral response. Over the past 15 years, efforts to understand how ISG15 protects the host during infection have revealed that its actions are diverse and pathogen-dependent. In this Review, we describe new insights into how ISG15 directly inhibits viral replication and discuss the recent finding that ISG15 modulates the host damage and repair response, immune response and other host signalling pathways. We also explore the viral immune-evasion strategies that counteract the actions of ISG15. These findings are integrated with a discussion of the recent identification of ISG15-deficient individuals and a cellular receptor for ISG15 that provides new insights into how ISG15 shapes the host response to viral infection.","container-title":"Nature Reviews Microbiology","DOI":"10.1038/s41579-018-0020-5","ISSN":"1740-1534","issue":"7","journalAbbreviation":"Nat Rev Microbiol","language":"en","license":"2018 Macmillan Publishers Ltd., part of Springer Nature","note":"number: 7\npublisher: Nature Publishing Group","page":"423-439","source":"www.nature.com","title":"ISG15 in antiviral immunity and beyond","volume":"16","author":[{"family":"Perng","given":"Yi-Chieh"},{"family":"Lenschow","given":"Deborah J."}],"issued":{"date-parts":[["2018",7]]}}}],"schema":"https://github.com/citation-style-language/schema/raw/master/csl-citation.json"} </w:instrText>
            </w:r>
            <w:r w:rsidRPr="0026705F">
              <w:rPr>
                <w:sz w:val="18"/>
                <w:szCs w:val="18"/>
                <w:lang w:val="en-US"/>
              </w:rPr>
              <w:fldChar w:fldCharType="separate"/>
            </w:r>
            <w:r w:rsidR="00873504" w:rsidRPr="0026705F">
              <w:rPr>
                <w:sz w:val="18"/>
                <w:lang w:val="en-US"/>
              </w:rPr>
              <w:t>[105,106]</w:t>
            </w:r>
            <w:r w:rsidRPr="0026705F">
              <w:rPr>
                <w:sz w:val="18"/>
                <w:szCs w:val="18"/>
                <w:lang w:val="en-US"/>
              </w:rPr>
              <w:fldChar w:fldCharType="end"/>
            </w:r>
          </w:p>
        </w:tc>
      </w:tr>
      <w:tr w:rsidR="005A5782" w:rsidRPr="0026705F" w14:paraId="093C3422" w14:textId="77CCC507" w:rsidTr="003B34ED">
        <w:trPr>
          <w:trHeight w:val="705"/>
          <w:jc w:val="center"/>
        </w:trPr>
        <w:tc>
          <w:tcPr>
            <w:tcW w:w="2684" w:type="dxa"/>
            <w:shd w:val="clear" w:color="auto" w:fill="auto"/>
            <w:tcMar>
              <w:top w:w="100" w:type="dxa"/>
              <w:left w:w="100" w:type="dxa"/>
              <w:bottom w:w="100" w:type="dxa"/>
              <w:right w:w="100" w:type="dxa"/>
            </w:tcMar>
          </w:tcPr>
          <w:p w14:paraId="000001BD"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 xml:space="preserve">Membrane </w:t>
            </w:r>
            <w:proofErr w:type="spellStart"/>
            <w:r w:rsidRPr="0026705F">
              <w:rPr>
                <w:i/>
                <w:sz w:val="18"/>
                <w:szCs w:val="18"/>
                <w:lang w:val="en-US"/>
              </w:rPr>
              <w:t>Metalloendopeptidase</w:t>
            </w:r>
            <w:proofErr w:type="spellEnd"/>
            <w:r w:rsidRPr="0026705F">
              <w:rPr>
                <w:i/>
                <w:sz w:val="18"/>
                <w:szCs w:val="18"/>
                <w:lang w:val="en-US"/>
              </w:rPr>
              <w:t xml:space="preserve"> (MME)</w:t>
            </w:r>
          </w:p>
          <w:p w14:paraId="000001BE"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*120520)</w:t>
            </w:r>
          </w:p>
        </w:tc>
        <w:tc>
          <w:tcPr>
            <w:tcW w:w="5670" w:type="dxa"/>
            <w:shd w:val="clear" w:color="auto" w:fill="auto"/>
            <w:tcMar>
              <w:top w:w="100" w:type="dxa"/>
              <w:left w:w="100" w:type="dxa"/>
              <w:bottom w:w="100" w:type="dxa"/>
              <w:right w:w="100" w:type="dxa"/>
            </w:tcMar>
          </w:tcPr>
          <w:p w14:paraId="000001BF"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It has functions related to cell proliferation and migration. Its presence has been detected in intestinal, lung, liver, kidney and brain cells.</w:t>
            </w:r>
          </w:p>
        </w:tc>
        <w:tc>
          <w:tcPr>
            <w:tcW w:w="1134" w:type="dxa"/>
          </w:tcPr>
          <w:p w14:paraId="05AFA5FE" w14:textId="140E851C" w:rsidR="005A5782" w:rsidRPr="0026705F" w:rsidRDefault="00F658D2" w:rsidP="005A5782">
            <w:pPr>
              <w:widowControl w:val="0"/>
              <w:spacing w:after="160" w:line="256" w:lineRule="auto"/>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ViVKKUeN","properties":{"formattedCitation":"[107,108]","plainCitation":"[107,108]","noteIndex":0},"citationItems":[{"id":"yYDU4LE6/54GPcv3C","uris":["http://zotero.org/users/local/FCDre8wk/items/QIJGXZRW"],"itemData":{"id":964,"type":"article-journal","abstract":"Aberrant neuroendocrine signaling is frequent yet poorly understood feature of prostate cancers. Membrane metalloendopeptidase (MME) is responsible for the catalytic inactivation of neuropeptide substrates, and is downregulated in nearly 50% of prostate cancers. However its role in prostate carcinogenesis, including formation of castration-resistant prostate carcinomas, remains uncertain. Here we report that MME cooperates with PTEN in suppression of carcinogenesis by controlling activities of prostate stem/progenitor cells. Lack of MME and PTEN results in development of adenocarcinomas characterized by propensity for vascular invasion and formation of proliferative neuroendocrine clusters after castration. Effects of MME on prostate stem/progenitor cells depend on its catalytic activity and can be recapitulated by addition of the MME substrate, gastrin-releasing peptide (GRP). Knockdown or inhibition of GRP receptor (GRPR) abrogate effects of MME deficiency and delay growth of human prostate cancer xenografts by reducing the number of cancer-propagating cells. In sum, our study provides a definitive proof of tumor-suppressive role of MME, links GRP/GRPR signaling to the control of prostate stem/progenitor cells, and shows how dysregulation of such signaling may promote formation of castration-resistant prostate carcinomas. It also identifies GRPR as a valuable target for therapies aimed at eradication of cancer-propagating cells in prostate cancers with MME downregulation.","container-title":"Oncogenesis","DOI":"10.1038/s41389-020-0222-3","ISSN":"2157-9024","issue":"3","language":"en","license":"2020 The Author(s)","note":"number: 3\npublisher: Nature Publishing Group","page":"1-14","source":"www.nature.com","title":"Membrane metalloendopeptidase suppresses prostate carcinogenesis by attenuating effects of gastrin-releasing peptide on stem/progenitor cells","volume":"9","author":[{"family":"Cheng","given":"Chieh-Yang"},{"family":"Zhou","given":"Zongxiang"},{"family":"Stone","given":"Meredith"},{"family":"Lu","given":"Bao"},{"family":"Flesken-Nikitin","given":"Andrea"},{"family":"Nanus","given":"David M."},{"family":"Nikitin","given":"Alexander Yu"}],"issued":{"date-parts":[["2020",3,23]]}}},{"id":"yYDU4LE6/DLBj4Ub5","uris":["http://zotero.org/users/local/FCDre8wk/items/LH5WE74M"],"itemData":{"id":966,"type":"article-journal","abstract":"Significant expression of neprilysin (NEP) is found on neutrophils, which present the transmembrane integer form of the enzyme. This study aimed to investigate the relationship of neutrophil transmembrane neprilysin (mNEP) with disease severity, adverse remodeling, and outcome in HFrEF. In total, 228 HFrEF, 30 HFpEF patients, and 43 controls were enrolled. Neutrophil mNEP was measured by flow-cytometry. NEP activity in plasma and blood cells was determined for a subset of HFrEF patients using mass-spectrometry. Heart failure (HF) was characterized by reduced neutrophil mNEP compared to controls (p &lt; 0.01). NEP activity on peripheral blood cells was almost 4-fold higher compared to plasma NEP activity (p = 0.031) and correlated with neutrophil mNEP (p = 0.006). Lower neutrophil mNEP was associated with increasing disease severity and markers of adverse remodeling. Higher neutrophil mNEP was associated with reduced risk for mortality, total cardiovascular hospitalizations, and the composite endpoint of both (p &lt; 0.01 for all). This is the first report describing a significant role of neutrophil mNEP in HFrEF. The biological relevance of neutrophil mNEP and exact effects of angiotensin-converting-enzyme inhibitors (ARNi) at the neutrophil site have to be determined. However, the results may suggest early initiation of ARNi already in less severe HF disease, where effects of NEP inhibition may be more pronounced.","container-title":"Cells","DOI":"10.3390/cells10112922","ISSN":"2073-4409","issue":"11","journalAbbreviation":"Cells","note":"PMID: 34831146\nPMCID: PMC8616455","page":"2922","source":"PubMed Central","title":"Relevance of Neutrophil Neprilysin in Heart Failure","volume":"10","author":[{"family":"Prausmüller","given":"Suriya"},{"family":"Spinka","given":"Georg"},{"family":"Arfsten","given":"Henrike"},{"family":"Stasek","given":"Stefanie"},{"family":"Rettl","given":"Rene"},{"family":"Bartko","given":"Philipp Emanuel"},{"family":"Goliasch","given":"Georg"},{"family":"Strunk","given":"Guido"},{"family":"Riebandt","given":"Julia"},{"family":"Mascherbauer","given":"Julia"},{"family":"Bonderman","given":"Diana"},{"family":"Hengstenberg","given":"Christian"},{"family":"Hülsmann","given":"Martin"},{"family":"Pavo","given":"Noemi"}],"issued":{"date-parts":[["2021",10,28]]}}}],"schema":"https://github.com/citation-style-language/schema/raw/master/csl-citation.json"} </w:instrText>
            </w:r>
            <w:r w:rsidRPr="0026705F">
              <w:rPr>
                <w:sz w:val="18"/>
                <w:szCs w:val="18"/>
                <w:lang w:val="en-US"/>
              </w:rPr>
              <w:fldChar w:fldCharType="separate"/>
            </w:r>
            <w:r w:rsidR="00873504" w:rsidRPr="0026705F">
              <w:rPr>
                <w:sz w:val="18"/>
                <w:lang w:val="en-US"/>
              </w:rPr>
              <w:t>[107,108]</w:t>
            </w:r>
            <w:r w:rsidRPr="0026705F">
              <w:rPr>
                <w:sz w:val="18"/>
                <w:szCs w:val="18"/>
                <w:lang w:val="en-US"/>
              </w:rPr>
              <w:fldChar w:fldCharType="end"/>
            </w:r>
          </w:p>
        </w:tc>
      </w:tr>
      <w:tr w:rsidR="005A5782" w:rsidRPr="0026705F" w14:paraId="65A8A81C" w14:textId="3E7FABE8" w:rsidTr="003B34ED">
        <w:trPr>
          <w:trHeight w:val="815"/>
          <w:jc w:val="center"/>
        </w:trPr>
        <w:tc>
          <w:tcPr>
            <w:tcW w:w="2684" w:type="dxa"/>
            <w:shd w:val="clear" w:color="auto" w:fill="auto"/>
            <w:tcMar>
              <w:top w:w="100" w:type="dxa"/>
              <w:left w:w="100" w:type="dxa"/>
              <w:bottom w:w="100" w:type="dxa"/>
              <w:right w:w="100" w:type="dxa"/>
            </w:tcMar>
          </w:tcPr>
          <w:p w14:paraId="000001C0"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RHO Family GTPase 3 (RND3)</w:t>
            </w:r>
          </w:p>
          <w:p w14:paraId="000001C1"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*602924)</w:t>
            </w:r>
          </w:p>
        </w:tc>
        <w:tc>
          <w:tcPr>
            <w:tcW w:w="5670" w:type="dxa"/>
            <w:shd w:val="clear" w:color="auto" w:fill="auto"/>
            <w:tcMar>
              <w:top w:w="100" w:type="dxa"/>
              <w:left w:w="100" w:type="dxa"/>
              <w:bottom w:w="100" w:type="dxa"/>
              <w:right w:w="100" w:type="dxa"/>
            </w:tcMar>
          </w:tcPr>
          <w:p w14:paraId="000001C2"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It has functions related to cell migration, proliferation and modulation of the actin cytoskeleton. Furthermore, involved in the development of cardiovascular diseases and cancers (including gastric cancer).</w:t>
            </w:r>
          </w:p>
        </w:tc>
        <w:tc>
          <w:tcPr>
            <w:tcW w:w="1134" w:type="dxa"/>
          </w:tcPr>
          <w:p w14:paraId="42F2CAAF" w14:textId="6F6C06F8" w:rsidR="005A5782" w:rsidRPr="0026705F" w:rsidRDefault="00F658D2"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fSe2X69f","properties":{"formattedCitation":"[109,110]","plainCitation":"[109,110]","noteIndex":0},"citationItems":[{"id":"yYDU4LE6/xnJhZ1Yp","uris":["http://zotero.org/users/local/FCDre8wk/items/96VUA627"],"itemData":{"id":958,"type":"article-journal","abstract":"Enhanced invasiveness is one of the defining biological traits of glioblastoma cells, which exhibit an infiltrative nature that severely hinders surgical resection. Among the molecular lesions responsible for GBM aggressiveness, aberrant receptor tyrosine kinase (RTK) signalling is well-characterised. Enhanced RTK signalling directly impacts a myriad of cellular pathways and downstream effectors, which include the Rho GTPase family, key regulators of actin cytoskeletal dynamics. Here, we have analysed the functional crosstalk between oncogenic signals emanating from RTKs and Rho GTPases and focused on the specific contribution of Rnd3 to the invasive phenotype of GBM in this context. We found that RTK inhibition with a panel of RTK inhibitors decreased cell motility and cell invasion and promoted dramatic actin cytoskeleton reorganisation through activation of the RhoA/Rho-associated protein kinase 1 (ROCK) axis. RTK inhibition also significantly decreased Rnd3 expression levels. Consistently, shRNA-mediated Rnd3 silencing revealed that Rnd3 depletion promoted substantial changes in the actin cytoskeleton and reduced cell motility and invasion capacity, recapitulating the effects observed upon RTK inhibition. Our results indicate that Rnd3 is a crucial mediator of RTK oncogenic signalling involved in actin cytoskeletal reorganisation, which contributes to determining the invasive phenotype of GBM cells.","container-title":"Cells","DOI":"10.3390/cells11233716","ISSN":"2073-4409","issue":"23","journalAbbreviation":"Cells","note":"PMID: 36496976\nPMCID: PMC9741382","page":"3716","source":"PubMed Central","title":"Rnd3 Is a Crucial Mediator of the Invasive Phenotype of Glioblastoma Cells Downstream of Receptor Tyrosine Kinase Signalling","volume":"11","author":[{"family":"Almarán","given":"Beatriz"},{"family":"Ramis","given":"Guillem"},{"family":"Fernández de Mattos","given":"Silvia"},{"family":"Villalonga","given":"Priam"}],"issued":{"date-parts":[["2022",11,22]]}}},{"id":"yYDU4LE6/tPHSmHvo","uris":["http://zotero.org/users/local/FCDre8wk/items/F8HH8BHY"],"itemData":{"id":960,"type":"article-journal","container-title":"Metabolism - Clinical and Experimental","DOI":"10.1016/j.metabol.2019.153999","ISSN":"0026-0495, 1532-8600","journalAbbreviation":"Metabolism - Clinical and Experimental","language":"English","note":"publisher: Elsevier\nPMID: 31672447","source":"www.metabolismjournal.com","title":"The Rho GTPase RND3 regulates adipocyte lipolysis","URL":"https://www.metabolismjournal.com/article/S0026-0495(19)30214-8/fulltext","volume":"101","author":[{"family":"Dankel","given":"Simon N."},{"family":"Røst","given":"Therese H."},{"family":"Kulyté","given":"Agné"},{"family":"Fandalyuk","given":"Zina"},{"family":"Skurk","given":"Thomas"},{"family":"Hauner","given":"Hans"},{"family":"Sagen","given":"Jørn V."},{"family":"Rydén","given":"Mikael"},{"family":"Arner","given":"Peter"},{"family":"Mellgren","given":"Gunnar"}],"accessed":{"date-parts":[["2023",10,12]]},"issued":{"date-parts":[["2019",12,1]]}}}],"schema":"https://github.com/citation-style-language/schema/raw/master/csl-citation.json"} </w:instrText>
            </w:r>
            <w:r w:rsidRPr="0026705F">
              <w:rPr>
                <w:sz w:val="18"/>
                <w:szCs w:val="18"/>
                <w:lang w:val="en-US"/>
              </w:rPr>
              <w:fldChar w:fldCharType="separate"/>
            </w:r>
            <w:r w:rsidR="00873504" w:rsidRPr="0026705F">
              <w:rPr>
                <w:sz w:val="18"/>
                <w:lang w:val="en-US"/>
              </w:rPr>
              <w:t>[109,110]</w:t>
            </w:r>
            <w:r w:rsidRPr="0026705F">
              <w:rPr>
                <w:sz w:val="18"/>
                <w:szCs w:val="18"/>
                <w:lang w:val="en-US"/>
              </w:rPr>
              <w:fldChar w:fldCharType="end"/>
            </w:r>
          </w:p>
        </w:tc>
      </w:tr>
      <w:tr w:rsidR="005A5782" w:rsidRPr="0026705F" w14:paraId="12462563" w14:textId="77566886" w:rsidTr="003B34ED">
        <w:trPr>
          <w:trHeight w:val="723"/>
          <w:jc w:val="center"/>
        </w:trPr>
        <w:tc>
          <w:tcPr>
            <w:tcW w:w="2684" w:type="dxa"/>
            <w:shd w:val="clear" w:color="auto" w:fill="auto"/>
            <w:tcMar>
              <w:top w:w="100" w:type="dxa"/>
              <w:left w:w="100" w:type="dxa"/>
              <w:bottom w:w="100" w:type="dxa"/>
              <w:right w:w="100" w:type="dxa"/>
            </w:tcMar>
          </w:tcPr>
          <w:p w14:paraId="000001C3"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Dermatopontin (DPT)</w:t>
            </w:r>
          </w:p>
          <w:p w14:paraId="000001C4"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*125597)</w:t>
            </w:r>
          </w:p>
        </w:tc>
        <w:tc>
          <w:tcPr>
            <w:tcW w:w="5670" w:type="dxa"/>
            <w:shd w:val="clear" w:color="auto" w:fill="auto"/>
            <w:tcMar>
              <w:top w:w="100" w:type="dxa"/>
              <w:left w:w="100" w:type="dxa"/>
              <w:bottom w:w="100" w:type="dxa"/>
              <w:right w:w="100" w:type="dxa"/>
            </w:tcMar>
          </w:tcPr>
          <w:p w14:paraId="000001C5"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Associated with wound healing through increased adhesion of fibroblasts and keratinocytes. Involved in cell interactions with the extracellular matrix. Gene expression detected in adipose tissue, heart, intestine.</w:t>
            </w:r>
          </w:p>
        </w:tc>
        <w:tc>
          <w:tcPr>
            <w:tcW w:w="1134" w:type="dxa"/>
          </w:tcPr>
          <w:p w14:paraId="48F4CB6C" w14:textId="76A74DA1" w:rsidR="005A5782" w:rsidRPr="0026705F" w:rsidRDefault="00F658D2"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Mc4OOjeD","properties":{"formattedCitation":"[111,112]","plainCitation":"[111,112]","noteIndex":0},"citationItems":[{"id":"yYDU4LE6/azZKTRl6","uris":["http://zotero.org/users/local/FCDre8wk/items/37MAT7Y9"],"itemData":{"id":954,"type":"article-journal","abstract":"Re-epithelialization is a key event in wound healing and any impairment in that process is associated with various pathological conditions. Epidermal keratinocyte migration and proliferation during re-epithelialization is largely regulated by the cytokines and growth factors from the provisional matrix and dermis. Extracellular matrix consists of numerous growth factors which mediate cell migration via cell membrane receptors. Dermatopontin (DPT), a non-collagenous matrix protein highly expressed in dermis is known for its striking ability to promote cell adhesion. DPT also enhances the biological activity of transforming growth factor beta 1 which plays a central role in the process of wound healing. This study was designed to envisage the role of DPT in keratinocyte migration and proliferation along with its mRNA and protein expression pattern in epidermis. The results showed that DPT promotes keratinocyte migration in a dose dependant fashion but fail to induce proliferation. Further, PCR and immunodetection studies revealed that the mRNA and protein expression of DPT is considerably negligible in the epidermis in contrast to the dermis. To conclude, DPT has a profound role in wound healing specifically during re-epithelialization by promoting keratinocyte migration via paracrine action from the underlying dermis.","container-title":"Scientific Reports","DOI":"10.1038/srep07385","ISSN":"2045-2322","issue":"1","journalAbbreviation":"Sci Rep","language":"en","license":"2014 The Author(s)","note":"number: 1\npublisher: Nature Publishing Group","page":"7385","source":"www.nature.com","title":"Role of Dermatopontin in re-epithelialization: Implications on keratinocyte migration and proliferation","title-short":"Role of Dermatopontin in re-epithelialization","volume":"4","author":[{"family":"Krishnaswamy","given":"Venkat Raghavan"},{"family":"Korrapati","given":"Purna Sai"}],"issued":{"date-parts":[["2014",12,9]]}}},{"id":"yYDU4LE6/jKsWkg7A","uris":["http://zotero.org/users/local/FCDre8wk/items/LALUIXGR"],"itemData":{"id":956,"type":"article-journal","abstract":"The present study aimed to investigate the effect of Dermatopontin (DPT) gene silencing on the apoptosis and proliferation of osteosarcoma MG‑63 cells. Three eukaryotic expression vectors of short hairpin (sh)RNA fragments targeting different loci of DPT were designed and transfected into an osteosarcoma cell line MG‑63. The cells were assigned to a blank, shRNA‑control, DPT‑shRNA‑a, DPT‑shRNA‑b or DPT‑shRNA‑c group. The shRNA with the highest silencing efficiency was screened using reverse transcription‑quantitative polymerase chain reaction and western blotting. The screened shRNA was transfected into MG‑63 cells. The proliferation, cell cycle and apoptosis of MG‑63 cells were measured using a Cell Counting Kit‑8 assay, flow cytometry and Annexin V‑fluorescein isothiocyanate assay. The recombinant plasmids containing DPT shRNA were successfully constructed. DPT gene silencing was able to significantly reduce the proliferation rate of MG‑63 cells (P&lt;0.05). The proportion of cells in the G0/G1 phase and in the G2/M phase increased significantly (both P&lt;0.05), while the proportion of cells in the S phase decreased (P&lt;0.05). Furthermore, the cell apoptosis rate increased significantly (P&lt;0.05). These results demonstrate that DPT gene silencing is able to reduce the proliferation of MG‑63 cells, slow down cell cycle progression and promote apoptosis, hence may become a novel target for the treatment of osteosarcoma.","container-title":"Molecular Medicine Reports","DOI":"10.3892/mmr.2017.7866","ISSN":"1791-2997","issue":"1","note":"publisher: Spandidos Publications","page":"422-427","source":"www.spandidos-publications.com","title":"Effects of Dermatopontin gene silencing on apoptosis and proliferation of osteosarcoma MG‑63 cells","volume":"17","author":[{"family":"Xi","given":"Li-Cheng"},{"family":"Ji","given":"Yun-Xi"},{"family":"Yin","given":"Dong"},{"family":"Zhao","given":"Zi-Xing"},{"family":"Huang","given":"Si-Cheng"},{"family":"Yu","given":"Shao-Lin"},{"family":"Liu","given":"Bo-Yu"},{"family":"Li","given":"Hong-Yu"}],"issued":{"date-parts":[["2018",1,1]]}}}],"schema":"https://github.com/citation-style-language/schema/raw/master/csl-citation.json"} </w:instrText>
            </w:r>
            <w:r w:rsidRPr="0026705F">
              <w:rPr>
                <w:sz w:val="18"/>
                <w:szCs w:val="18"/>
                <w:lang w:val="en-US"/>
              </w:rPr>
              <w:fldChar w:fldCharType="separate"/>
            </w:r>
            <w:r w:rsidR="00873504" w:rsidRPr="0026705F">
              <w:rPr>
                <w:sz w:val="18"/>
                <w:lang w:val="en-US"/>
              </w:rPr>
              <w:t>[111,112]</w:t>
            </w:r>
            <w:r w:rsidRPr="0026705F">
              <w:rPr>
                <w:sz w:val="18"/>
                <w:szCs w:val="18"/>
                <w:lang w:val="en-US"/>
              </w:rPr>
              <w:fldChar w:fldCharType="end"/>
            </w:r>
          </w:p>
        </w:tc>
      </w:tr>
      <w:tr w:rsidR="005A5782" w:rsidRPr="0026705F" w14:paraId="28150EBF" w14:textId="722CDA0E" w:rsidTr="003B34ED">
        <w:trPr>
          <w:trHeight w:val="857"/>
          <w:jc w:val="center"/>
        </w:trPr>
        <w:tc>
          <w:tcPr>
            <w:tcW w:w="2684" w:type="dxa"/>
            <w:shd w:val="clear" w:color="auto" w:fill="auto"/>
            <w:tcMar>
              <w:top w:w="100" w:type="dxa"/>
              <w:left w:w="100" w:type="dxa"/>
              <w:bottom w:w="100" w:type="dxa"/>
              <w:right w:w="100" w:type="dxa"/>
            </w:tcMar>
          </w:tcPr>
          <w:p w14:paraId="000001C6"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C-Type Lectin Domain Family 2, Member B (CLEC2B)</w:t>
            </w:r>
          </w:p>
          <w:p w14:paraId="000001C7"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*603242)</w:t>
            </w:r>
          </w:p>
        </w:tc>
        <w:tc>
          <w:tcPr>
            <w:tcW w:w="5670" w:type="dxa"/>
            <w:shd w:val="clear" w:color="auto" w:fill="auto"/>
            <w:tcMar>
              <w:top w:w="100" w:type="dxa"/>
              <w:left w:w="100" w:type="dxa"/>
              <w:bottom w:w="100" w:type="dxa"/>
              <w:right w:w="100" w:type="dxa"/>
            </w:tcMar>
          </w:tcPr>
          <w:p w14:paraId="000001C8"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Responsible for the activation of lymphocytes. Relieved to plasma following platelet mobilization. Highly expressed in skin, spleen and bone marrow.</w:t>
            </w:r>
          </w:p>
        </w:tc>
        <w:tc>
          <w:tcPr>
            <w:tcW w:w="1134" w:type="dxa"/>
          </w:tcPr>
          <w:p w14:paraId="3DB63389" w14:textId="533A6D78" w:rsidR="005A5782" w:rsidRPr="0026705F" w:rsidRDefault="006E6FFA"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pnOSRRan","properties":{"formattedCitation":"[113,114]","plainCitation":"[113,114]","noteIndex":0},"citationItems":[{"id":"yYDU4LE6/HNKyi2or","uris":["http://zotero.org/users/local/FCDre8wk/items/85E34E5D"],"itemData":{"id":911,"type":"article-journal","abstract":"Patients with cutaneous psoriasis (PsC) and psoriatic arthritis (PsA) are reported with increased cancer risk, but the underlying mechanism is less clear, especially the association between the presence of PsA and cancer risk. Motivated by the role of ferroptosis in the progression of cancers as well as inflammation response in psoriasis, this experiment attempts to investigate the relationship between ferroptosis regulators and hub genes in PsA by bioinformatic analysis. The findings revealed an exclusive correlation between CISD1 (ferroptosis regulator) and CLEC2B (hub gene) in PsA group as well as multiple cancer types. Furthermore, CLEC2B was discovered differentially expressed in a variety of cancers and is closely associated with immune cell infiltration as well as immune checkpoints. These results indicate that ferroptosis may act as a bridge between psoriatic arthritis and the onset of certain malignancies.","container-title":"Scientific Reports","DOI":"10.1038/s41598-022-19135-2","ISSN":"2045-2322","issue":"1","journalAbbreviation":"Sci Rep","language":"en","license":"2022 The Author(s)","note":"number: 1\npublisher: Nature Publishing Group","page":"14653","source":"www.nature.com","title":"An integrative analysis to reveal that CLEC2B and ferroptosis may bridge the gap between psoriatic arthritis and cancer development","volume":"12","author":[{"family":"Li","given":"Xiaobin"},{"family":"Tao","given":"Xiaohua"},{"family":"Ding","given":"Xiaoxia"}],"issued":{"date-parts":[["2022",8,27]]}}},{"id":"yYDU4LE6/kRhU9rIf","uris":["http://zotero.org/users/local/FCDre8wk/items/F9GLRBAP"],"itemData":{"id":912,"type":"article-journal","abstract":"Background\nAs a transmembrane protein, C-type lectin-like receptor 2 (CLEC-2) is mainly expressed on platelets and released into plasma after platelet activation. Activated platelets participate in the regulation of innate immune cells. Patients with different microsatellite statuses have distinct immune profiles. This study aimed to investigate the association of plasma CLEC-2 levels with microsatellite status among colorectal cancer (CRC) patients.\n\nMethods\nA cross-sectional analysis of 430 CRC patients from Harbin Medical University Cancer Hospital was conducted. CLEC-2 levels were measured with fasting venous blood samples drawn from each participant before any treatment. The microsatellite status was evaluated with DNA obtained from fresh frozen tumor tissue samples. The other clinical data were collected and recorded based on the medical system records.\n\nResults\nCLEC-2 levels were significantly higher among patients with high microsatellite instability phenotype than the stable microsatellite group, adjusting for other confounding variables.\n\nConclusions\nThe increased CLEC-2 is associated with the high microsatellite instability subtype of CRC.","container-title":"BMC Cancer","DOI":"10.1186/s12885-022-09834-4","ISSN":"1471-2407","journalAbbreviation":"BMC Cancer","note":"PMID: 35902826\nPMCID: PMC9330644","page":"823","source":"PubMed Central","title":"Association between c-type lectin-like receptor 2 and microsatellite instability in colorectal cancer: a cross-sectional study","title-short":"Association between c-type lectin-like receptor 2 and microsatellite instability in colorectal cancer","volume":"22","author":[{"family":"Zhang","given":"Xin"},{"family":"Yuan","given":"Jia-rui"},{"family":"Wang","given":"Xin"},{"family":"Fu","given":"Shuang"},{"family":"Wang","given":"Rui-tao"},{"family":"Wang","given":"Guang-yu"}],"issued":{"date-parts":[["2022",7,28]]}}}],"schema":"https://github.com/citation-style-language/schema/raw/master/csl-citation.json"} </w:instrText>
            </w:r>
            <w:r w:rsidRPr="0026705F">
              <w:rPr>
                <w:sz w:val="18"/>
                <w:szCs w:val="18"/>
                <w:lang w:val="en-US"/>
              </w:rPr>
              <w:fldChar w:fldCharType="separate"/>
            </w:r>
            <w:r w:rsidR="00873504" w:rsidRPr="0026705F">
              <w:rPr>
                <w:sz w:val="18"/>
                <w:lang w:val="en-US"/>
              </w:rPr>
              <w:t>[113,114]</w:t>
            </w:r>
            <w:r w:rsidRPr="0026705F">
              <w:rPr>
                <w:sz w:val="18"/>
                <w:szCs w:val="18"/>
                <w:lang w:val="en-US"/>
              </w:rPr>
              <w:fldChar w:fldCharType="end"/>
            </w:r>
          </w:p>
        </w:tc>
      </w:tr>
      <w:tr w:rsidR="005A5782" w:rsidRPr="0026705F" w14:paraId="4AE38FAD" w14:textId="11E3F0B4" w:rsidTr="003B34ED">
        <w:trPr>
          <w:trHeight w:val="1199"/>
          <w:jc w:val="center"/>
        </w:trPr>
        <w:tc>
          <w:tcPr>
            <w:tcW w:w="2684" w:type="dxa"/>
            <w:shd w:val="clear" w:color="auto" w:fill="auto"/>
            <w:tcMar>
              <w:top w:w="100" w:type="dxa"/>
              <w:left w:w="100" w:type="dxa"/>
              <w:bottom w:w="100" w:type="dxa"/>
              <w:right w:w="100" w:type="dxa"/>
            </w:tcMar>
          </w:tcPr>
          <w:p w14:paraId="000001C9"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Cytochrome P450, Family 7, Subfamily B, Polypeptide 1 (CYP7B1)</w:t>
            </w:r>
          </w:p>
          <w:p w14:paraId="000001CA"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*603711)</w:t>
            </w:r>
          </w:p>
        </w:tc>
        <w:tc>
          <w:tcPr>
            <w:tcW w:w="5670" w:type="dxa"/>
            <w:shd w:val="clear" w:color="auto" w:fill="auto"/>
            <w:tcMar>
              <w:top w:w="100" w:type="dxa"/>
              <w:left w:w="100" w:type="dxa"/>
              <w:bottom w:w="100" w:type="dxa"/>
              <w:right w:w="100" w:type="dxa"/>
            </w:tcMar>
          </w:tcPr>
          <w:p w14:paraId="000001CB"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Associated with the alternative pathway of bile acid synthesis. Involved in the metabolism of sex hormones. Expressed in the liver, brain, thyroid gland.</w:t>
            </w:r>
          </w:p>
          <w:p w14:paraId="000001CC" w14:textId="77777777" w:rsidR="005A5782" w:rsidRPr="0026705F" w:rsidRDefault="005A5782" w:rsidP="006A4790">
            <w:pPr>
              <w:widowControl w:val="0"/>
              <w:spacing w:after="160" w:line="256" w:lineRule="auto"/>
              <w:rPr>
                <w:sz w:val="18"/>
                <w:szCs w:val="18"/>
                <w:lang w:val="en-US"/>
              </w:rPr>
            </w:pPr>
          </w:p>
        </w:tc>
        <w:tc>
          <w:tcPr>
            <w:tcW w:w="1134" w:type="dxa"/>
          </w:tcPr>
          <w:p w14:paraId="7095EC60" w14:textId="6523F291" w:rsidR="005A5782" w:rsidRPr="0026705F" w:rsidRDefault="006E6FFA"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GOJ22A5K","properties":{"formattedCitation":"[115,116]","plainCitation":"[115,116]","noteIndex":0},"citationItems":[{"id":"yYDU4LE6/5HPevS21","uris":["http://zotero.org/users/local/FCDre8wk/items/228WZ6EP"],"itemData":{"id":916,"type":"article-journal","abstract":"Thirty-four different loci for hereditary spastic paraplegias have been mapped, and 16 responsible genes have been identified. Autosomal recessive forms of spastic paraplegias usually have clinically complex phenotypes but the SPG5, SPG24 and SPG28 loci are considered to be associated with ‘pure’ forms of the disease. Very recently, five mutations in the CYP7B1 gene, encoding a cytochrome P450 oxysterol 7-α hydroxylase and expressed in brain and liver, have been found in SPG5 families. We analysed the coding region and exon–intron boundaries of the CYP7B1 gene by direct sequencing in a series of 82 unrelated autosomal recessive hereditary spastic paraplegia index patients, manifesting either a pure (n = 52) or a complex form (n = 30) of the disease, and in 90 unrelated index patients with sporadic pure hereditary spastic paraplegia. We identified eight, including six novel, mutations in CYP7B1 segregating in nine families. Three of these mutations were nonsense (p.R63X, p.R112X, p.Y275X) and five were missense mutations (p.T297A, p.R417H, p.R417C, p.F470I, p.R486C), the last four clustering in exon 6 at the C-terminal end of the protein. Residue R417 appeared as a mutational hot-spot. The mean age at onset in 16 patients was 16.4 ± 12.1 years (range 4–47 years). After a mean disease duration of 28.3 ± 13.4 years (10–58), spasticity and functional handicap were moderate to severe in all cases. Interestingly, hereditary spastic paraplegia was pure in seven SPG5 families but complex in two. In addition, white matter hyperintensities were observed on brain magnetic resonance imaging in three patients issued from two of the seven pure families. Lastly, the index case of one family had a chronic autoimmune hepatitis while his eldest brother died from cirrhosis and liver failure. Whether this association is fortuitous remains unsolved, however. The frequency of CYP7B1 mutations were 7.3% (n = 6/82) in our series of autosomal recessive hereditary spastic paraplegia families and 3.3% (n = 3/90) in our series of sporadic pure spastic paraplegia. The recent identification of CYP7B1 as the gene responsible for SPG5 highlights a novel molecular mechanism involved in hereditary spastic paraplegia determinism.","container-title":"Brain","DOI":"10.1093/brain/awp073","ISSN":"0006-8950","issue":"6","journalAbbreviation":"Brain","page":"1589-1600","source":"Silverchair","title":"CYP7B1 mutations in pure and complex forms of hereditary spastic paraplegia type 5","volume":"132","author":[{"family":"Goizet","given":"Cyril"},{"family":"Boukhris","given":"Amir"},{"family":"Durr","given":"Alexandra"},{"family":"Beetz","given":"Christian"},{"family":"Truchetto","given":"Jeremy"},{"family":"Tesson","given":"Christelle"},{"family":"Tsaousidou","given":"Maria"},{"family":"Forlani","given":"Sylvie"},{"family":"Guyant-Maréchal","given":"Lucie"},{"family":"Fontaine","given":"Bertrand"},{"family":"Guimarães","given":"João"},{"family":"Isidor","given":"Bertrand"},{"family":"Chazouillères","given":"Olivier"},{"family":"Wendum","given":"Dominique"},{"family":"Grid","given":"Djamel"},{"family":"Chevy","given":"Françoise"},{"family":"Chinnery","given":"Patrick F."},{"family":"Coutinho","given":"Paula"},{"family":"Azulay","given":"Jean-Philippe"},{"family":"Feki","given":"Imed"},{"family":"Mochel","given":"Fanny"},{"family":"Wolf","given":"Claude"},{"family":"Mhiri","given":"Chokri"},{"family":"Crosby","given":"Andrew"},{"family":"Brice","given":"Alexis"},{"family":"Stevanin","given":"Giovanni"}],"issued":{"date-parts":[["2009",6,1]]}}},{"id":"yYDU4LE6/0VVydj62","uris":["http://zotero.org/users/local/FCDre8wk/items/PFWVPMPB"],"itemData":{"id":918,"type":"article-journal","abstract":"Oxysterols and neurosteroids are important signaling molecules produced by monooxygenases of the cytochrome P450 family that realize their effect through nuclear receptors. CYP7B1 catalyzes the 6- or 7-hydroxylation of both steroids and oxysterols and thus is involved in the metabolism of neurosteroids and bile acid synthesis, respectively. The dual physiological role of CYP7B1 is evidenced from different diseases, liver failure and progressive neuropathy, caused by enzyme malfunction. Here we present biochemical characterization of CYP7B1 at the molecular level to understand substrate specificity and susceptibility to azole drugs. Based on our experiments with purified enzyme, the requirements for CYP7B1 hydroxylation of steroid molecules are as follows: C5 hydrogen in the α-configuration (or double bond at C5), a polar group at C17, a hydroxyl group at C3, and the absence of the hydroxyl group at C20–C24 in the C27-sterol side chain. 21-hydroxy-pregnenolone was identified as a new substrate, and overall low activity toward pregnanes could be related to the increased potency of 7-hydroxy derivatives produced by CYP7B1. Metabolic conversion (deactivation) of oxysterols by CYP7B1 in a reconstituted system proceeds via two sequential hydroxylations. Two mutations that are found in patients with diseases, Gly57Arg and Phe216Ser, result in apo-P450 (devoid of heme) protein formation. Our CYP7B1 homology model provides a rationale for understanding clinical mutations and relatively broad substrate specificity for steroid hydroxylase.","container-title":"The FEBS Journal","DOI":"10.1111/febs.12733","ISSN":"1742-4658","issue":"6","language":"en","license":"© 2014 FEBS","note":"_eprint: https://onlinelibrary.wiley.com/doi/pdf/10.1111/febs.12733","page":"1700-1713","source":"Wiley Online Library","title":"Human steroid and oxysterol 7α-hydroxylase CYP7B1: substrate specificity, azole binding and misfolding of clinically relevant mutants","title-short":"Human steroid and oxysterol 7α-hydroxylase CYP7B1","volume":"281","author":[{"family":"Yantsevich","given":"Aleksei V."},{"family":"Dichenko","given":"Yaroslav V."},{"family":"MacKenzie","given":"Farrell"},{"family":"Mukha","given":"Dmitry V."},{"family":"Baranovsky","given":"Alexander V."},{"family":"Gilep","given":"Andrei A."},{"family":"Usanov","given":"Sergey A."},{"family":"Strushkevich","given":"Natallia V."}],"issued":{"date-parts":[["2014"]]}}}],"schema":"https://github.com/citation-style-language/schema/raw/master/csl-citation.json"} </w:instrText>
            </w:r>
            <w:r w:rsidRPr="0026705F">
              <w:rPr>
                <w:sz w:val="18"/>
                <w:szCs w:val="18"/>
                <w:lang w:val="en-US"/>
              </w:rPr>
              <w:fldChar w:fldCharType="separate"/>
            </w:r>
            <w:r w:rsidR="00873504" w:rsidRPr="0026705F">
              <w:rPr>
                <w:sz w:val="18"/>
                <w:lang w:val="en-US"/>
              </w:rPr>
              <w:t>[115,116]</w:t>
            </w:r>
            <w:r w:rsidRPr="0026705F">
              <w:rPr>
                <w:sz w:val="18"/>
                <w:szCs w:val="18"/>
                <w:lang w:val="en-US"/>
              </w:rPr>
              <w:fldChar w:fldCharType="end"/>
            </w:r>
          </w:p>
        </w:tc>
      </w:tr>
      <w:tr w:rsidR="005A5782" w:rsidRPr="0026705F" w14:paraId="170BB4F8" w14:textId="429A078D" w:rsidTr="003B34ED">
        <w:trPr>
          <w:trHeight w:val="523"/>
          <w:jc w:val="center"/>
        </w:trPr>
        <w:tc>
          <w:tcPr>
            <w:tcW w:w="2684" w:type="dxa"/>
            <w:shd w:val="clear" w:color="auto" w:fill="auto"/>
            <w:tcMar>
              <w:top w:w="100" w:type="dxa"/>
              <w:left w:w="100" w:type="dxa"/>
              <w:bottom w:w="100" w:type="dxa"/>
              <w:right w:w="100" w:type="dxa"/>
            </w:tcMar>
          </w:tcPr>
          <w:p w14:paraId="000001CD"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 xml:space="preserve">Twist Family </w:t>
            </w:r>
            <w:proofErr w:type="spellStart"/>
            <w:r w:rsidRPr="0026705F">
              <w:rPr>
                <w:i/>
                <w:sz w:val="18"/>
                <w:szCs w:val="18"/>
                <w:lang w:val="en-US"/>
              </w:rPr>
              <w:t>bHLH</w:t>
            </w:r>
            <w:proofErr w:type="spellEnd"/>
            <w:r w:rsidRPr="0026705F">
              <w:rPr>
                <w:i/>
                <w:sz w:val="18"/>
                <w:szCs w:val="18"/>
                <w:lang w:val="en-US"/>
              </w:rPr>
              <w:t xml:space="preserve"> Transcription Factor 2 (TWIST2)</w:t>
            </w:r>
          </w:p>
          <w:p w14:paraId="000001CE"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*607556)</w:t>
            </w:r>
          </w:p>
        </w:tc>
        <w:tc>
          <w:tcPr>
            <w:tcW w:w="5670" w:type="dxa"/>
            <w:shd w:val="clear" w:color="auto" w:fill="auto"/>
            <w:tcMar>
              <w:top w:w="100" w:type="dxa"/>
              <w:left w:w="100" w:type="dxa"/>
              <w:bottom w:w="100" w:type="dxa"/>
              <w:right w:w="100" w:type="dxa"/>
            </w:tcMar>
          </w:tcPr>
          <w:p w14:paraId="000001D0" w14:textId="64F34522" w:rsidR="005A5782" w:rsidRPr="0026705F" w:rsidRDefault="005A5782" w:rsidP="006A4790">
            <w:pPr>
              <w:widowControl w:val="0"/>
              <w:spacing w:after="160" w:line="256" w:lineRule="auto"/>
              <w:rPr>
                <w:sz w:val="18"/>
                <w:szCs w:val="18"/>
                <w:lang w:val="en-US"/>
              </w:rPr>
            </w:pPr>
            <w:r w:rsidRPr="0026705F">
              <w:rPr>
                <w:sz w:val="18"/>
                <w:szCs w:val="18"/>
                <w:lang w:val="en-US"/>
              </w:rPr>
              <w:t>It participates in embryogenesis and inhibits the maturation of muscle and bone cells. Expression of the gene has been detected in adipose tissue, skin, and prostate.</w:t>
            </w:r>
          </w:p>
        </w:tc>
        <w:tc>
          <w:tcPr>
            <w:tcW w:w="1134" w:type="dxa"/>
          </w:tcPr>
          <w:p w14:paraId="2A207C9F" w14:textId="57AE4448" w:rsidR="005A5782" w:rsidRPr="0026705F" w:rsidRDefault="0027637B"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TzlsXFCy","properties":{"formattedCitation":"[117,118]","plainCitation":"[117,118]","noteIndex":0},"citationItems":[{"id":"yYDU4LE6/2K3iFqkn","uris":["http://zotero.org/users/local/FCDre8wk/items/5LQ2XKJ4"],"itemData":{"id":920,"type":"article-journal","abstract":"Twist1 and Twist2 are highly conserved members of the Twist subfamily of bHLH proteins responsible for the transcriptional regulation of the developmental programs in mesenchymal cell lineages. The regulation of such processes requires that Twist1 and Twist2 function as molecular switches to activate and repress target genes by employing several direct and indirect mechanisms. Modes of action by these proteins include direct DNA binding to conserved E-box sequences and recruitment of coactivators or repressors, sequestration of E-protein modulators, and interruption of proper activator/repressor function through protein–protein interactions. Regulatory outcomes of Twist1 and Twist2 are themselves controlled by spatial-temporal expression, phosphoregulation, dimer choice and cellular localization. Although these two proteins are highly conserved and exhibit similar functions in vitro, emerging literature have demonstrated different roles in vivo. The involvement of Twist1 and Twist2 in a broad spectrum of regulatory pathways highlights the importance of understanding their roles in normal development, homeostasis and disease. Here we focus on the mechanistic models of transcriptional regulation and summarize the similarities and differences between Twist1 and Twist2 in the context of myogenesis, osteogenesis, immune system development and cancer.","container-title":"Nucleic Acids Research","DOI":"10.1093/nar/gkq890","ISSN":"0305-1048","issue":"4","journalAbbreviation":"Nucleic Acids Research","page":"1177-1186","source":"Silverchair","title":"Redundant or separate entities?—roles of Twist1 and Twist2 as molecular switches during gene transcription","title-short":"Redundant or separate entities?","volume":"39","author":[{"family":"Franco","given":"Hector L."},{"family":"Casasnovas","given":"José"},{"family":"Rodríguez-Medina","given":"José R."},{"family":"Cadilla","given":"Carmen L."}],"issued":{"date-parts":[["2011",3,1]]}}},{"id":"yYDU4LE6/rWUEv8JZ","uris":["http://zotero.org/users/local/FCDre8wk/items/QH2W62WM"],"itemData":{"id":921,"type":"article-journal","abstract":"Skeletal muscle is maintained and repaired by sub-laminar, Pax7-expressing satellite cells. However, recent mouse investigations have described a second myogenic progenitor population that resides within the myofiber interstitium and expresses the transcription factor Twist2. Twist2-expressing cells exclusively repair and maintain type IIx/b muscle fibers. Currently, it is unknown if Twist2-expressing cells are present in human skeletal muscle and if they function as myogenic progenitors. Here, we perform a combination of single-cell RNA sequencing analysis and immunofluorescence staining to demonstrate the identity and localization of Twist2-expressing cells in human skeletal muscle. Twist2-expressing cells were identified to be anatomically and transcriptionally comparable to fibro-adipogenic progenitors (FAPs) and lack expression of typical satellite cell markers such as Pax7. Comparative analysis revealed that human and mouse Twist2-expressing cells were highly transcriptionally analogous and resided within the same anatomical structures in vivo. Examination of young and aged skeletal muscle biopsy samples revealed that Twist2-positive cells are more prevalent in aged muscle and increase following 12-weeks of resistance exercise training (RET) in humans. However, the quantity of Twist2-positive cells was not correlated with indices of muscle mass or muscle fiber cross-sectional area (CSA) in young or older muscle, and their abundance was surprisingly, negatively correlated with CSA and myonuclear domain size following RET. Taken together, we have identified cells expressing Twist2 in human skeletal muscle which are responsive to aging and exercise. Further examination of their myogenic potential is warranted.","container-title":"The FASEB Journal","DOI":"10.1096/fj.202201349RR","ISSN":"1530-6860","issue":"12","language":"en","license":"© 2022 Federation of American Societies for Experimental Biology.","note":"_eprint: https://onlinelibrary.wiley.com/doi/pdf/10.1096/fj.202201349RR","page":"e22642","source":"Wiley Online Library","title":"Twist2-expressing cells reside in human skeletal muscle and are responsive to aging and resistance exercise training","volume":"36","author":[{"family":"Gaulton","given":"Nick"},{"family":"Wakelin","given":"Griffen"},{"family":"Young","given":"Laura V."},{"family":"Wotherspoon","given":"Scott"},{"family":"Kamal","given":"Michael"},{"family":"Parise","given":"Gianni"},{"family":"Nederveen","given":"Joshua P."},{"family":"Holwerda","given":"Andy"},{"family":"Verdijk","given":"Lex B."},{"family":"Loon","given":"Luc J. C.","non-dropping-particle":"van"},{"family":"Snijders","given":"Tim"},{"family":"Johnston","given":"Adam P."}],"issued":{"date-parts":[["2022"]]}}}],"schema":"https://github.com/citation-style-language/schema/raw/master/csl-citation.json"} </w:instrText>
            </w:r>
            <w:r w:rsidRPr="0026705F">
              <w:rPr>
                <w:sz w:val="18"/>
                <w:szCs w:val="18"/>
                <w:lang w:val="en-US"/>
              </w:rPr>
              <w:fldChar w:fldCharType="separate"/>
            </w:r>
            <w:r w:rsidR="00873504" w:rsidRPr="0026705F">
              <w:rPr>
                <w:sz w:val="18"/>
                <w:lang w:val="en-US"/>
              </w:rPr>
              <w:t>[117,118]</w:t>
            </w:r>
            <w:r w:rsidRPr="0026705F">
              <w:rPr>
                <w:sz w:val="18"/>
                <w:szCs w:val="18"/>
                <w:lang w:val="en-US"/>
              </w:rPr>
              <w:fldChar w:fldCharType="end"/>
            </w:r>
          </w:p>
        </w:tc>
      </w:tr>
      <w:tr w:rsidR="005A5782" w:rsidRPr="0026705F" w14:paraId="372A4EC2" w14:textId="3B59B5C8" w:rsidTr="003B34ED">
        <w:trPr>
          <w:trHeight w:val="991"/>
          <w:jc w:val="center"/>
        </w:trPr>
        <w:tc>
          <w:tcPr>
            <w:tcW w:w="2684" w:type="dxa"/>
            <w:shd w:val="clear" w:color="auto" w:fill="auto"/>
            <w:tcMar>
              <w:top w:w="100" w:type="dxa"/>
              <w:left w:w="100" w:type="dxa"/>
              <w:bottom w:w="100" w:type="dxa"/>
              <w:right w:w="100" w:type="dxa"/>
            </w:tcMar>
          </w:tcPr>
          <w:p w14:paraId="000001D1"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Chemokine, CC Motif, Ligand 2 (CCL2)</w:t>
            </w:r>
          </w:p>
          <w:p w14:paraId="000001D2" w14:textId="77777777" w:rsidR="005A5782" w:rsidRPr="0026705F" w:rsidRDefault="005A5782" w:rsidP="005A5782">
            <w:pPr>
              <w:widowControl w:val="0"/>
              <w:spacing w:after="160" w:line="256" w:lineRule="auto"/>
              <w:rPr>
                <w:sz w:val="18"/>
                <w:szCs w:val="18"/>
                <w:lang w:val="en-US"/>
              </w:rPr>
            </w:pPr>
            <w:r w:rsidRPr="0026705F">
              <w:rPr>
                <w:sz w:val="18"/>
                <w:szCs w:val="18"/>
                <w:lang w:val="en-US"/>
              </w:rPr>
              <w:t>(MIM *158105)</w:t>
            </w:r>
          </w:p>
        </w:tc>
        <w:tc>
          <w:tcPr>
            <w:tcW w:w="5670" w:type="dxa"/>
            <w:shd w:val="clear" w:color="auto" w:fill="auto"/>
            <w:tcMar>
              <w:top w:w="100" w:type="dxa"/>
              <w:left w:w="100" w:type="dxa"/>
              <w:bottom w:w="100" w:type="dxa"/>
              <w:right w:w="100" w:type="dxa"/>
            </w:tcMar>
          </w:tcPr>
          <w:p w14:paraId="000001D3" w14:textId="4201B0A7" w:rsidR="005A5782" w:rsidRPr="0026705F" w:rsidRDefault="005A5782" w:rsidP="006A4790">
            <w:pPr>
              <w:widowControl w:val="0"/>
              <w:spacing w:after="160" w:line="256" w:lineRule="auto"/>
              <w:rPr>
                <w:sz w:val="18"/>
                <w:szCs w:val="18"/>
                <w:lang w:val="en-US"/>
              </w:rPr>
            </w:pPr>
            <w:r w:rsidRPr="0026705F">
              <w:rPr>
                <w:sz w:val="18"/>
                <w:szCs w:val="18"/>
                <w:lang w:val="en-US"/>
              </w:rPr>
              <w:t>Expressed by fibroblasts, astrocytes, endothelial cells, epithelial cells and smooth muscle cells. Participates in the body's defense and repair processes by attracting cells to affected areas. Overexpression is detected in cancers of the breast, esophagus, stomach, colon, ovary.</w:t>
            </w:r>
          </w:p>
        </w:tc>
        <w:tc>
          <w:tcPr>
            <w:tcW w:w="1134" w:type="dxa"/>
          </w:tcPr>
          <w:p w14:paraId="7B9F8136" w14:textId="7144A053" w:rsidR="005A5782" w:rsidRPr="0026705F" w:rsidRDefault="005F457E"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JrOMJtyl","properties":{"formattedCitation":"[119,120]","plainCitation":"[119,120]","noteIndex":0},"citationItems":[{"id":"yYDU4LE6/5xHFEouL","uris":["http://zotero.org/users/local/FCDre8wk/items/M74YFZU9"],"itemData":{"id":925,"type":"article-journal","abstract":"Monocyte chemoattractant protein-1 (MCP-1/CCL2) is renowned for its ability to drive the chemotaxis of myeloid and lymphoid cells. It orchestrates the migration of these cell types both during physiological immune defense and in pathological circumstances, such as autoimmune diseases including rheumatoid arthritis and multiple sclerosis, inflammatory diseases including atherosclerosis, as well as infectious diseases, obesity, diabetes, and various types of cancer. However, new data suggest that the scope of CCL2's functions may extend beyond its original characterization as a chemoattractant. Emerging evidence shows that it can impact leukocyte behavior, influencing adhesion, polarization, effector molecule secretion, autophagy, killing, and survival. The direction of these CCL2-induced responses is context dependent and, in some cases, synergistic with other inflammatory stimuli. The involvement of CCL2 signaling in multiple diseases renders it an interesting therapeutic target, although current targeting strategies have not met early expectations in the clinic. A better understanding of how CCL2 affects immune cells will be pivotal to the improvement of existing therapeutic approaches and the development of new drugs. Here, we provide an overview of the pleiotropic effects of CCL2 signaling on cells of the myeloid lineage, beyond chemotaxis, and highlight how these actions might help to shape immune cell behavior and tumor immunity.","container-title":"Frontiers in Immunology","ISSN":"1664-3224","source":"Frontiers","title":"More Than Just Attractive: How CCL2 Influences Myeloid Cell Behavior Beyond Chemotaxis","title-short":"More Than Just Attractive","URL":"https://www.frontiersin.org/articles/10.3389/fimmu.2019.02759","volume":"10","author":[{"family":"Gschwandtner","given":"Martha"},{"family":"Derler","given":"Rupert"},{"family":"Midwood","given":"Kim S."}],"accessed":{"date-parts":[["2023",10,11]]},"issued":{"date-parts":[["2019"]]}}},{"id":"yYDU4LE6/xClNLlkv","uris":["http://zotero.org/users/local/FCDre8wk/items/HAMPWJ8B"],"itemData":{"id":926,"type":"article-journal","abstract":"Chemokines are a family of small cytokines, which guide a variety of immune/inflammatory cells to the site of tumor in tumorigenesis. A dysregulated expression of chemokines is implicated in different types of cancer including prostate cancer. The progression and metastasis of prostate cancer involve a complex network of chemokines that regulate the recruitment and trafficking of immune cells. The chemokine CCL2 and its main receptor CCR2 have been receiving particular interest on their roles in cancer pathogenesis. The up-regulation of CCL2/CCR2 and varied immune conditions in prostate cancer, are associated with cancer advancement, metastasis, and relapse. Here we reviewed recent findings, which link CCL2/CCR2 to the inflammation and cancer pathogenesis, and discussed the therapeutic potential of CCL2/CCR2 axis in cancer treatment based on results from our group and other investigators, with a major focus on prostate cancer.","container-title":"Cell Communication and Signaling","DOI":"10.1186/s12964-020-00589-8","ISSN":"1478-811X","issue":"1","journalAbbreviation":"Cell Communication and Signaling","page":"82","source":"BioMed Central","title":"CCL2/CCR2 signaling in cancer pathogenesis","volume":"18","author":[{"family":"Hao","given":"Qiongyu"},{"family":"Vadgama","given":"Jaydutt V."},{"family":"Wang","given":"Piwen"}],"issued":{"date-parts":[["2020",5,29]]}}}],"schema":"https://github.com/citation-style-language/schema/raw/master/csl-citation.json"} </w:instrText>
            </w:r>
            <w:r w:rsidRPr="0026705F">
              <w:rPr>
                <w:sz w:val="18"/>
                <w:szCs w:val="18"/>
                <w:lang w:val="en-US"/>
              </w:rPr>
              <w:fldChar w:fldCharType="separate"/>
            </w:r>
            <w:r w:rsidR="00873504" w:rsidRPr="0026705F">
              <w:rPr>
                <w:sz w:val="18"/>
                <w:lang w:val="en-US"/>
              </w:rPr>
              <w:t>[119,120]</w:t>
            </w:r>
            <w:r w:rsidRPr="0026705F">
              <w:rPr>
                <w:sz w:val="18"/>
                <w:szCs w:val="18"/>
                <w:lang w:val="en-US"/>
              </w:rPr>
              <w:fldChar w:fldCharType="end"/>
            </w:r>
          </w:p>
        </w:tc>
      </w:tr>
      <w:tr w:rsidR="005A5782" w:rsidRPr="0026705F" w14:paraId="6D1C38F2" w14:textId="312CE05E" w:rsidTr="003B34ED">
        <w:trPr>
          <w:trHeight w:val="607"/>
          <w:jc w:val="center"/>
        </w:trPr>
        <w:tc>
          <w:tcPr>
            <w:tcW w:w="2684" w:type="dxa"/>
            <w:shd w:val="clear" w:color="auto" w:fill="auto"/>
            <w:tcMar>
              <w:top w:w="100" w:type="dxa"/>
              <w:left w:w="100" w:type="dxa"/>
              <w:bottom w:w="100" w:type="dxa"/>
              <w:right w:w="100" w:type="dxa"/>
            </w:tcMar>
          </w:tcPr>
          <w:p w14:paraId="000001D4" w14:textId="77777777" w:rsidR="005A5782" w:rsidRPr="0026705F" w:rsidRDefault="005A5782" w:rsidP="005A5782">
            <w:pPr>
              <w:widowControl w:val="0"/>
              <w:spacing w:after="160" w:line="256" w:lineRule="auto"/>
              <w:rPr>
                <w:i/>
                <w:sz w:val="18"/>
                <w:szCs w:val="18"/>
                <w:lang w:val="en-US"/>
              </w:rPr>
            </w:pPr>
            <w:r w:rsidRPr="0026705F">
              <w:rPr>
                <w:i/>
                <w:sz w:val="18"/>
                <w:szCs w:val="18"/>
                <w:lang w:val="en-US"/>
              </w:rPr>
              <w:t>MT-RNR2 Like 8 (MTRNR2L8)</w:t>
            </w:r>
          </w:p>
        </w:tc>
        <w:tc>
          <w:tcPr>
            <w:tcW w:w="5670" w:type="dxa"/>
            <w:shd w:val="clear" w:color="auto" w:fill="auto"/>
            <w:tcMar>
              <w:top w:w="100" w:type="dxa"/>
              <w:left w:w="100" w:type="dxa"/>
              <w:bottom w:w="100" w:type="dxa"/>
              <w:right w:w="100" w:type="dxa"/>
            </w:tcMar>
          </w:tcPr>
          <w:p w14:paraId="000001D5" w14:textId="77777777" w:rsidR="005A5782" w:rsidRPr="0026705F" w:rsidRDefault="005A5782" w:rsidP="006A4790">
            <w:pPr>
              <w:widowControl w:val="0"/>
              <w:spacing w:after="160" w:line="256" w:lineRule="auto"/>
              <w:rPr>
                <w:sz w:val="18"/>
                <w:szCs w:val="18"/>
                <w:lang w:val="en-US"/>
              </w:rPr>
            </w:pPr>
            <w:r w:rsidRPr="0026705F">
              <w:rPr>
                <w:sz w:val="18"/>
                <w:szCs w:val="18"/>
                <w:lang w:val="en-US"/>
              </w:rPr>
              <w:t>Neuroprotective factor, inhibit apoptosis and inflammation. Associated with stress resistance. Present in both the cytoplasmic and extracellular regions.</w:t>
            </w:r>
          </w:p>
        </w:tc>
        <w:tc>
          <w:tcPr>
            <w:tcW w:w="1134" w:type="dxa"/>
          </w:tcPr>
          <w:p w14:paraId="21A8316B" w14:textId="0A07FC6E" w:rsidR="005A5782" w:rsidRPr="0026705F" w:rsidRDefault="00A84692" w:rsidP="005A5782">
            <w:pPr>
              <w:widowControl w:val="0"/>
              <w:spacing w:after="160" w:line="256" w:lineRule="auto"/>
              <w:jc w:val="both"/>
              <w:rPr>
                <w:sz w:val="18"/>
                <w:szCs w:val="18"/>
                <w:lang w:val="en-US"/>
              </w:rPr>
            </w:pPr>
            <w:r w:rsidRPr="0026705F">
              <w:rPr>
                <w:sz w:val="18"/>
                <w:szCs w:val="18"/>
                <w:lang w:val="en-US"/>
              </w:rPr>
              <w:fldChar w:fldCharType="begin"/>
            </w:r>
            <w:r w:rsidR="00873504" w:rsidRPr="0026705F">
              <w:rPr>
                <w:sz w:val="18"/>
                <w:szCs w:val="18"/>
                <w:lang w:val="en-US"/>
              </w:rPr>
              <w:instrText xml:space="preserve"> ADDIN ZOTERO_ITEM CSL_CITATION {"citationID":"G6qWxezk","properties":{"formattedCitation":"[121,122]","plainCitation":"[121,122]","noteIndex":0},"citationItems":[{"id":"yYDU4LE6/pUEuDvFl","uris":["http://zotero.org/users/local/FCDre8wk/items/HCVSBZ2J"],"itemData":{"id":931,"type":"article-journal","abstract":"Brain gene expression profiling studies of suicide and depression using oligonucleotide microarrays have often failed to distinguish these two phenotypes. Moreover, next generation sequencing (NGS) approaches are more accurate in quantifying gene expression and can detect alternative splicing. Using RNA-seq, we examined whole-exome gene and exon expression in non-psychiatric controls (CON, N=29), DSM-IV major depressive disorder suicides (MDD-S, N=21) and MDD non-suicides (MDD, N=9) in dorsal lateral prefrontal cortex (Brodmann Area 9) of sudden-death medication-free individuals postmortem. Using small RNA-seq, we also examined miRNA expression (9 samples per group). DeSeq2 identified thirty-five genes differentially expressed between groups and surviving adjustment for false discovery rate (adjusted p&lt;0.1). In depression, altered genes include humanin like-8 (MTRNRL8), interleukin-8 (IL8), and serpin peptidase inhibitor, clade H (SERPINH1) and chemokine ligand 4 (CCL4), while exploratory gene ontology (GO) analyses revealed lower expression of immune-related pathways such as chemokine receptor activity, chemotaxis and cytokine biosynthesis, and angiogenesis and vascular development in (adjusted p&lt;0.1). Hypothesis-driven GO analysis suggests lower expression of genes involved in oligodendrocyte differentiation, regulation of glutamatergic neurotransmission, and oxytocin receptor expression in both suicide and depression, and provisional evidence for altered DNA-dependent ATPase expression in suicide only. DEXSEq analysis identified differential exon usage in ATPase, class II, type 9B (adjusted p&lt;0.1) in depression. Differences in miRNA expression or structural gene variants were not detected. Results lend further support for models in which deficits in microglial, endothelial (blood-brain barrier), ATPase activity and astrocytic cell functions contribute to MDD and suicide, and identify putative pathways and mechanisms for further study in these disorders.","container-title":"Molecular psychiatry","DOI":"10.1038/mp.2016.130","ISSN":"1359-4184","issue":"5","journalAbbreviation":"Mol Psychiatry","note":"PMID: 27528462\nPMCID: PMC5313378","page":"760-773","source":"PubMed Central","title":"Whole-transcriptome brain expression and exon-usage profiling in major depression and suicide: evidence for altered glial, endothelial and ATPase activity","title-short":"Whole-transcriptome brain expression and exon-usage profiling in major depression and suicide","volume":"22","author":[{"family":"Pantazatos","given":"Spiro P."},{"family":"Huang","given":"Yung-yu"},{"family":"Rosoklija","given":"Gorazd B."},{"family":"Dwork","given":"Andrew J."},{"family":"Arango","given":"Victoria"},{"family":"Mann","given":"J. John"}],"issued":{"date-parts":[["2017",5]]}}},{"id":"yYDU4LE6/KgfPCMyL","uris":["http://zotero.org/users/local/FCDre8wk/items/PJA7EZMX"],"itemData":{"id":930,"type":"article-journal","abstract":"Background and Purpose—\n\nIschemic stroke, a complex and heterogeneous disease, is the second leading cause of death worldwide. Genetic factors and epigenetic modification contribute to the pathogenesis of this disease. However, the effects of epigenetic factors on this disease have not been systematically investigated. Our study was designed to identify methylation alterations in large-artery atherosclerotic stroke.\n\nMethods—\n\nWe conducted an epigenome-wide association analysis of large-artery atherosclerotic stroke using an Infinium HumanMethylation450 array (cases:controls=12:12), and the differentially methylated loci were validated in 2 cohorts (cases:controls, 110:122 and 191:191, respectively) using a Sequenom EpiTYPER assay.\n\nResults—\n\nIn the screening stage, 1012 differentially methylated CpG sites annotated in 672 genes were found to be significantly associated with large-artery atherosclerotic stroke (mean methylation difference &gt;5%, P&lt;0.01). Disease, Gene Ontology, and pathway analysis highlighted the enrichment of these differentially methylated genes in cardiovascular, metabolic, neurological and immune-related functional gene clusters (P&lt;0.05). We identified a differentially methylated region in the promoter of a humanin gene (MTRNR2L8, mean methylation difference=−13.01%, P=8.86×10–14). We constructed a diagnostic prediction model that was based on the mean number of significantly changed CpG loci in MTRNR2L8 and showed high diagnostic specificity and sensitivity (P&lt;0.0001, area under the curve=0.774).\n\nConclusions—\n\nTogether, these findings demonstrate that DNA methylation plays an important role in large-artery atherosclerotic stroke and that methylation of MTRNR2L8 is a potential therapeutic target and diagnostic biomarker for stroke.","container-title":"Stroke","DOI":"10.1161/STROKEAHA.118.023436","issue":"6","note":"publisher: American Heart Association","page":"1330-1338","source":"ahajournals.org (Atypon)","title":"Epigenome-Wide Association Study Indicates Hypomethylation of MTRNR2L8 in Large-Artery Atherosclerosis Stroke","volume":"50","author":[{"family":"Shen","given":"Yupei"},{"family":"Peng","given":"Chen"},{"family":"Bai","given":"Qingke"},{"family":"Ding","given":"Ying"},{"family":"Yi","given":"Xin"},{"family":"Du","given":"Huihui"},{"family":"He","given":"Lin"},{"family":"Zhou","given":"Daizhan"},{"family":"Chen","given":"Xu"}],"issued":{"date-parts":[["2019",6]]}}}],"schema":"https://github.com/citation-style-language/schema/raw/master/csl-citation.json"} </w:instrText>
            </w:r>
            <w:r w:rsidRPr="0026705F">
              <w:rPr>
                <w:sz w:val="18"/>
                <w:szCs w:val="18"/>
                <w:lang w:val="en-US"/>
              </w:rPr>
              <w:fldChar w:fldCharType="separate"/>
            </w:r>
            <w:r w:rsidR="00873504" w:rsidRPr="0026705F">
              <w:rPr>
                <w:sz w:val="18"/>
                <w:lang w:val="en-US"/>
              </w:rPr>
              <w:t>[121,122]</w:t>
            </w:r>
            <w:r w:rsidRPr="0026705F">
              <w:rPr>
                <w:sz w:val="18"/>
                <w:szCs w:val="18"/>
                <w:lang w:val="en-US"/>
              </w:rPr>
              <w:fldChar w:fldCharType="end"/>
            </w:r>
          </w:p>
        </w:tc>
      </w:tr>
    </w:tbl>
    <w:p w14:paraId="379A267F" w14:textId="65147675" w:rsidR="0089042D" w:rsidRPr="0026705F" w:rsidRDefault="0089042D" w:rsidP="0089042D">
      <w:pPr>
        <w:spacing w:line="480" w:lineRule="auto"/>
        <w:jc w:val="both"/>
        <w:rPr>
          <w:sz w:val="22"/>
          <w:szCs w:val="22"/>
          <w:lang w:val="en-US"/>
        </w:rPr>
      </w:pPr>
      <w:r w:rsidRPr="0026705F">
        <w:rPr>
          <w:b/>
          <w:sz w:val="22"/>
          <w:szCs w:val="22"/>
          <w:lang w:val="en-US"/>
        </w:rPr>
        <w:lastRenderedPageBreak/>
        <w:t xml:space="preserve">Supp. Table </w:t>
      </w:r>
      <w:sdt>
        <w:sdtPr>
          <w:rPr>
            <w:lang w:val="en-US"/>
          </w:rPr>
          <w:tag w:val="goog_rdk_5"/>
          <w:id w:val="-1433584031"/>
        </w:sdtPr>
        <w:sdtContent/>
      </w:sdt>
      <w:r w:rsidRPr="0026705F">
        <w:rPr>
          <w:b/>
          <w:sz w:val="22"/>
          <w:szCs w:val="22"/>
          <w:lang w:val="en-US"/>
        </w:rPr>
        <w:t xml:space="preserve">S12. </w:t>
      </w:r>
      <w:r w:rsidRPr="0026705F">
        <w:rPr>
          <w:sz w:val="22"/>
          <w:szCs w:val="22"/>
          <w:lang w:val="en-US"/>
        </w:rPr>
        <w:t>List of the top 30 marker genes differentiating between fibroblasts and SASC/VASC.</w:t>
      </w:r>
    </w:p>
    <w:tbl>
      <w:tblPr>
        <w:tblStyle w:val="Tabela-Siatka"/>
        <w:tblW w:w="10774" w:type="dxa"/>
        <w:tblInd w:w="-998" w:type="dxa"/>
        <w:tblLayout w:type="fixed"/>
        <w:tblLook w:val="04A0" w:firstRow="1" w:lastRow="0" w:firstColumn="1" w:lastColumn="0" w:noHBand="0" w:noVBand="1"/>
      </w:tblPr>
      <w:tblGrid>
        <w:gridCol w:w="1209"/>
        <w:gridCol w:w="925"/>
        <w:gridCol w:w="925"/>
        <w:gridCol w:w="925"/>
        <w:gridCol w:w="837"/>
        <w:gridCol w:w="1013"/>
        <w:gridCol w:w="925"/>
        <w:gridCol w:w="925"/>
        <w:gridCol w:w="964"/>
        <w:gridCol w:w="1276"/>
        <w:gridCol w:w="850"/>
      </w:tblGrid>
      <w:tr w:rsidR="004C2C97" w:rsidRPr="0026705F" w14:paraId="2D7EE37F" w14:textId="3490F65E" w:rsidTr="004F155D">
        <w:tc>
          <w:tcPr>
            <w:tcW w:w="1209" w:type="dxa"/>
            <w:vAlign w:val="center"/>
          </w:tcPr>
          <w:p w14:paraId="41833F8F" w14:textId="63B5329B"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Gene Name</w:t>
            </w:r>
          </w:p>
        </w:tc>
        <w:tc>
          <w:tcPr>
            <w:tcW w:w="925" w:type="dxa"/>
            <w:vAlign w:val="center"/>
          </w:tcPr>
          <w:p w14:paraId="632A3128" w14:textId="5AA0E0A1"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FIBRO vs SASC Average log2 fold change</w:t>
            </w:r>
          </w:p>
        </w:tc>
        <w:tc>
          <w:tcPr>
            <w:tcW w:w="925" w:type="dxa"/>
            <w:vAlign w:val="center"/>
          </w:tcPr>
          <w:p w14:paraId="64ACAE0F" w14:textId="53722909"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Fraction in FIBRO</w:t>
            </w:r>
          </w:p>
        </w:tc>
        <w:tc>
          <w:tcPr>
            <w:tcW w:w="925" w:type="dxa"/>
            <w:vAlign w:val="center"/>
          </w:tcPr>
          <w:p w14:paraId="4F9E702E" w14:textId="5D9D1B7B"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Fraction in SASC</w:t>
            </w:r>
          </w:p>
        </w:tc>
        <w:tc>
          <w:tcPr>
            <w:tcW w:w="837" w:type="dxa"/>
            <w:vAlign w:val="center"/>
          </w:tcPr>
          <w:p w14:paraId="0C4282C9" w14:textId="64FEE605" w:rsidR="004C2C97" w:rsidRPr="0026705F" w:rsidRDefault="004C2C97" w:rsidP="00026F37">
            <w:pPr>
              <w:spacing w:line="360" w:lineRule="auto"/>
              <w:jc w:val="center"/>
              <w:rPr>
                <w:b/>
                <w:bCs/>
                <w:sz w:val="14"/>
                <w:szCs w:val="14"/>
                <w:lang w:val="en-US"/>
              </w:rPr>
            </w:pPr>
            <w:r w:rsidRPr="0026705F">
              <w:rPr>
                <w:b/>
                <w:bCs/>
                <w:color w:val="000000"/>
                <w:sz w:val="14"/>
                <w:szCs w:val="14"/>
                <w:lang w:val="en-US"/>
              </w:rPr>
              <w:t>P-value (adjusted) p-value SASC</w:t>
            </w:r>
          </w:p>
        </w:tc>
        <w:tc>
          <w:tcPr>
            <w:tcW w:w="1013" w:type="dxa"/>
            <w:vAlign w:val="center"/>
          </w:tcPr>
          <w:p w14:paraId="0C122110" w14:textId="2D564B52"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FIBRO vs VASC Average log2 fold change</w:t>
            </w:r>
          </w:p>
        </w:tc>
        <w:tc>
          <w:tcPr>
            <w:tcW w:w="925" w:type="dxa"/>
            <w:vAlign w:val="center"/>
          </w:tcPr>
          <w:p w14:paraId="2E8B232D" w14:textId="6294513E"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Fraction in FIBRO</w:t>
            </w:r>
          </w:p>
        </w:tc>
        <w:tc>
          <w:tcPr>
            <w:tcW w:w="925" w:type="dxa"/>
            <w:vAlign w:val="center"/>
          </w:tcPr>
          <w:p w14:paraId="2AD15050" w14:textId="6EFDAA29"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Fraction in VASC</w:t>
            </w:r>
          </w:p>
        </w:tc>
        <w:tc>
          <w:tcPr>
            <w:tcW w:w="964" w:type="dxa"/>
            <w:vAlign w:val="center"/>
          </w:tcPr>
          <w:p w14:paraId="3B02D42C" w14:textId="45C6659C" w:rsidR="004C2C97" w:rsidRPr="0026705F" w:rsidRDefault="00026F37" w:rsidP="00026F37">
            <w:pPr>
              <w:spacing w:line="360" w:lineRule="auto"/>
              <w:jc w:val="center"/>
              <w:rPr>
                <w:b/>
                <w:bCs/>
                <w:sz w:val="14"/>
                <w:szCs w:val="14"/>
                <w:lang w:val="en-US"/>
              </w:rPr>
            </w:pPr>
            <w:r w:rsidRPr="0026705F">
              <w:rPr>
                <w:b/>
                <w:bCs/>
                <w:color w:val="000000"/>
                <w:sz w:val="14"/>
                <w:szCs w:val="14"/>
                <w:lang w:val="en-US"/>
              </w:rPr>
              <w:t xml:space="preserve">P-value (adjusted) p-value </w:t>
            </w:r>
            <w:r w:rsidR="004C2C97" w:rsidRPr="0026705F">
              <w:rPr>
                <w:b/>
                <w:bCs/>
                <w:color w:val="000000"/>
                <w:sz w:val="14"/>
                <w:szCs w:val="14"/>
                <w:lang w:val="en-US"/>
              </w:rPr>
              <w:t>VASC</w:t>
            </w:r>
          </w:p>
        </w:tc>
        <w:tc>
          <w:tcPr>
            <w:tcW w:w="1276" w:type="dxa"/>
            <w:vAlign w:val="center"/>
          </w:tcPr>
          <w:p w14:paraId="6829FA94" w14:textId="64FD30C3"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Zych et al. 2014 [5]</w:t>
            </w:r>
          </w:p>
        </w:tc>
        <w:tc>
          <w:tcPr>
            <w:tcW w:w="850" w:type="dxa"/>
            <w:vAlign w:val="center"/>
          </w:tcPr>
          <w:p w14:paraId="384854E2" w14:textId="604490C4" w:rsidR="004C2C97" w:rsidRPr="0026705F" w:rsidRDefault="004C2C97" w:rsidP="00026F37">
            <w:pPr>
              <w:spacing w:line="360" w:lineRule="auto"/>
              <w:jc w:val="center"/>
              <w:rPr>
                <w:b/>
                <w:bCs/>
                <w:sz w:val="16"/>
                <w:szCs w:val="16"/>
                <w:lang w:val="en-US"/>
              </w:rPr>
            </w:pPr>
            <w:r w:rsidRPr="0026705F">
              <w:rPr>
                <w:b/>
                <w:bCs/>
                <w:color w:val="000000"/>
                <w:sz w:val="16"/>
                <w:szCs w:val="16"/>
                <w:lang w:val="en-US"/>
              </w:rPr>
              <w:t>Abreu de Melo et al. 2021 [6]</w:t>
            </w:r>
          </w:p>
        </w:tc>
      </w:tr>
      <w:tr w:rsidR="004C2C97" w:rsidRPr="0026705F" w14:paraId="6046D604" w14:textId="77777777" w:rsidTr="004C2C97">
        <w:tc>
          <w:tcPr>
            <w:tcW w:w="10774" w:type="dxa"/>
            <w:gridSpan w:val="11"/>
            <w:vAlign w:val="bottom"/>
          </w:tcPr>
          <w:p w14:paraId="3EFBE32C" w14:textId="6A7FC59D" w:rsidR="004C2C97" w:rsidRPr="0026705F" w:rsidRDefault="004C2C97" w:rsidP="0089042D">
            <w:pPr>
              <w:spacing w:line="360" w:lineRule="auto"/>
              <w:jc w:val="both"/>
              <w:rPr>
                <w:b/>
                <w:bCs/>
                <w:color w:val="000000"/>
                <w:sz w:val="18"/>
                <w:szCs w:val="18"/>
                <w:u w:val="single"/>
                <w:lang w:val="en-US"/>
              </w:rPr>
            </w:pPr>
            <w:r w:rsidRPr="0026705F">
              <w:rPr>
                <w:b/>
                <w:bCs/>
                <w:color w:val="000000"/>
                <w:sz w:val="18"/>
                <w:szCs w:val="18"/>
                <w:u w:val="single"/>
                <w:lang w:val="en-US"/>
              </w:rPr>
              <w:t>POSITIVE MARKERS</w:t>
            </w:r>
          </w:p>
        </w:tc>
      </w:tr>
      <w:tr w:rsidR="00026F37" w:rsidRPr="0026705F" w14:paraId="3D4DD252" w14:textId="5547FF9E" w:rsidTr="004F155D">
        <w:tc>
          <w:tcPr>
            <w:tcW w:w="1209" w:type="dxa"/>
            <w:vAlign w:val="center"/>
          </w:tcPr>
          <w:p w14:paraId="3E0C6F94" w14:textId="33E314F9" w:rsidR="00026F37" w:rsidRPr="0026705F" w:rsidRDefault="00026F37" w:rsidP="00026F37">
            <w:pPr>
              <w:spacing w:line="360" w:lineRule="auto"/>
              <w:jc w:val="center"/>
              <w:rPr>
                <w:sz w:val="18"/>
                <w:szCs w:val="18"/>
                <w:lang w:val="en-US"/>
              </w:rPr>
            </w:pPr>
            <w:r w:rsidRPr="0026705F">
              <w:rPr>
                <w:i/>
                <w:iCs/>
                <w:color w:val="000000"/>
                <w:sz w:val="18"/>
                <w:szCs w:val="18"/>
                <w:lang w:val="en-US"/>
              </w:rPr>
              <w:t>MMP1</w:t>
            </w:r>
          </w:p>
        </w:tc>
        <w:tc>
          <w:tcPr>
            <w:tcW w:w="925" w:type="dxa"/>
            <w:vAlign w:val="center"/>
          </w:tcPr>
          <w:p w14:paraId="7E214F49" w14:textId="3C60787F" w:rsidR="00026F37" w:rsidRPr="0026705F" w:rsidRDefault="00026F37" w:rsidP="00026F37">
            <w:pPr>
              <w:spacing w:line="360" w:lineRule="auto"/>
              <w:jc w:val="center"/>
              <w:rPr>
                <w:sz w:val="18"/>
                <w:szCs w:val="18"/>
                <w:lang w:val="en-US"/>
              </w:rPr>
            </w:pPr>
            <w:r w:rsidRPr="0026705F">
              <w:rPr>
                <w:color w:val="000000"/>
                <w:sz w:val="18"/>
                <w:szCs w:val="18"/>
                <w:lang w:val="en-US"/>
              </w:rPr>
              <w:t>4,486483</w:t>
            </w:r>
          </w:p>
        </w:tc>
        <w:tc>
          <w:tcPr>
            <w:tcW w:w="925" w:type="dxa"/>
            <w:vAlign w:val="center"/>
          </w:tcPr>
          <w:p w14:paraId="5EEBB182" w14:textId="2892AD46" w:rsidR="00026F37" w:rsidRPr="0026705F" w:rsidRDefault="00026F37" w:rsidP="00026F37">
            <w:pPr>
              <w:spacing w:line="360" w:lineRule="auto"/>
              <w:jc w:val="center"/>
              <w:rPr>
                <w:sz w:val="18"/>
                <w:szCs w:val="18"/>
                <w:lang w:val="en-US"/>
              </w:rPr>
            </w:pPr>
            <w:r w:rsidRPr="0026705F">
              <w:rPr>
                <w:color w:val="000000"/>
                <w:sz w:val="18"/>
                <w:szCs w:val="18"/>
                <w:lang w:val="en-US"/>
              </w:rPr>
              <w:t>0,837</w:t>
            </w:r>
          </w:p>
        </w:tc>
        <w:tc>
          <w:tcPr>
            <w:tcW w:w="925" w:type="dxa"/>
            <w:vAlign w:val="center"/>
          </w:tcPr>
          <w:p w14:paraId="1305AA29" w14:textId="1E0E1D2A" w:rsidR="00026F37" w:rsidRPr="0026705F" w:rsidRDefault="00026F37" w:rsidP="00026F37">
            <w:pPr>
              <w:spacing w:line="360" w:lineRule="auto"/>
              <w:jc w:val="center"/>
              <w:rPr>
                <w:sz w:val="18"/>
                <w:szCs w:val="18"/>
                <w:lang w:val="en-US"/>
              </w:rPr>
            </w:pPr>
            <w:r w:rsidRPr="0026705F">
              <w:rPr>
                <w:color w:val="000000"/>
                <w:sz w:val="18"/>
                <w:szCs w:val="18"/>
                <w:lang w:val="en-US"/>
              </w:rPr>
              <w:t>0,025</w:t>
            </w:r>
          </w:p>
        </w:tc>
        <w:tc>
          <w:tcPr>
            <w:tcW w:w="837" w:type="dxa"/>
            <w:vAlign w:val="center"/>
          </w:tcPr>
          <w:p w14:paraId="5B5DA9E1" w14:textId="0A59B20F"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601B83D4" w14:textId="0A074D68" w:rsidR="00026F37" w:rsidRPr="0026705F" w:rsidRDefault="00026F37" w:rsidP="00026F37">
            <w:pPr>
              <w:spacing w:line="360" w:lineRule="auto"/>
              <w:jc w:val="center"/>
              <w:rPr>
                <w:sz w:val="18"/>
                <w:szCs w:val="18"/>
                <w:lang w:val="en-US"/>
              </w:rPr>
            </w:pPr>
            <w:r w:rsidRPr="0026705F">
              <w:rPr>
                <w:color w:val="000000"/>
                <w:sz w:val="18"/>
                <w:szCs w:val="18"/>
                <w:lang w:val="en-US"/>
              </w:rPr>
              <w:t>4,505637</w:t>
            </w:r>
          </w:p>
        </w:tc>
        <w:tc>
          <w:tcPr>
            <w:tcW w:w="925" w:type="dxa"/>
            <w:vAlign w:val="center"/>
          </w:tcPr>
          <w:p w14:paraId="1A9D516E" w14:textId="553147A7" w:rsidR="00026F37" w:rsidRPr="0026705F" w:rsidRDefault="00026F37" w:rsidP="00026F37">
            <w:pPr>
              <w:spacing w:line="360" w:lineRule="auto"/>
              <w:jc w:val="center"/>
              <w:rPr>
                <w:sz w:val="18"/>
                <w:szCs w:val="18"/>
                <w:lang w:val="en-US"/>
              </w:rPr>
            </w:pPr>
            <w:r w:rsidRPr="0026705F">
              <w:rPr>
                <w:color w:val="000000"/>
                <w:sz w:val="18"/>
                <w:szCs w:val="18"/>
                <w:lang w:val="en-US"/>
              </w:rPr>
              <w:t>0,837</w:t>
            </w:r>
          </w:p>
        </w:tc>
        <w:tc>
          <w:tcPr>
            <w:tcW w:w="925" w:type="dxa"/>
            <w:vAlign w:val="center"/>
          </w:tcPr>
          <w:p w14:paraId="2049B4A4" w14:textId="5E96A656" w:rsidR="00026F37" w:rsidRPr="0026705F" w:rsidRDefault="00026F37" w:rsidP="00026F37">
            <w:pPr>
              <w:spacing w:line="360" w:lineRule="auto"/>
              <w:jc w:val="center"/>
              <w:rPr>
                <w:sz w:val="18"/>
                <w:szCs w:val="18"/>
                <w:lang w:val="en-US"/>
              </w:rPr>
            </w:pPr>
            <w:r w:rsidRPr="0026705F">
              <w:rPr>
                <w:color w:val="000000"/>
                <w:sz w:val="18"/>
                <w:szCs w:val="18"/>
                <w:lang w:val="en-US"/>
              </w:rPr>
              <w:t>0,027</w:t>
            </w:r>
          </w:p>
        </w:tc>
        <w:tc>
          <w:tcPr>
            <w:tcW w:w="964" w:type="dxa"/>
            <w:vAlign w:val="center"/>
          </w:tcPr>
          <w:p w14:paraId="46A3BC96" w14:textId="5F24E798"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536DFB48" w14:textId="77777777" w:rsidR="00026F37" w:rsidRPr="0026705F" w:rsidRDefault="00026F37" w:rsidP="00026F37">
            <w:pPr>
              <w:spacing w:line="360" w:lineRule="auto"/>
              <w:jc w:val="center"/>
              <w:rPr>
                <w:sz w:val="18"/>
                <w:szCs w:val="18"/>
                <w:lang w:val="en-US"/>
              </w:rPr>
            </w:pPr>
          </w:p>
        </w:tc>
        <w:tc>
          <w:tcPr>
            <w:tcW w:w="850" w:type="dxa"/>
            <w:vAlign w:val="center"/>
          </w:tcPr>
          <w:p w14:paraId="4626442A" w14:textId="41728692" w:rsidR="00026F37" w:rsidRPr="0026705F" w:rsidRDefault="00026F37" w:rsidP="00026F37">
            <w:pPr>
              <w:spacing w:line="360" w:lineRule="auto"/>
              <w:jc w:val="center"/>
              <w:rPr>
                <w:sz w:val="18"/>
                <w:szCs w:val="18"/>
                <w:lang w:val="en-US"/>
              </w:rPr>
            </w:pPr>
            <w:r w:rsidRPr="0026705F">
              <w:rPr>
                <w:color w:val="000000"/>
                <w:sz w:val="18"/>
                <w:szCs w:val="18"/>
                <w:lang w:val="en-US"/>
              </w:rPr>
              <w:t>46,672</w:t>
            </w:r>
          </w:p>
        </w:tc>
      </w:tr>
      <w:tr w:rsidR="00026F37" w:rsidRPr="0026705F" w14:paraId="1ADD86E8" w14:textId="4511E217" w:rsidTr="004F155D">
        <w:tc>
          <w:tcPr>
            <w:tcW w:w="1209" w:type="dxa"/>
            <w:vAlign w:val="center"/>
          </w:tcPr>
          <w:p w14:paraId="6D8A7378" w14:textId="29A85652" w:rsidR="00026F37" w:rsidRPr="0026705F" w:rsidRDefault="00026F37" w:rsidP="00026F37">
            <w:pPr>
              <w:spacing w:line="360" w:lineRule="auto"/>
              <w:jc w:val="center"/>
              <w:rPr>
                <w:sz w:val="18"/>
                <w:szCs w:val="18"/>
                <w:lang w:val="en-US"/>
              </w:rPr>
            </w:pPr>
            <w:r w:rsidRPr="0026705F">
              <w:rPr>
                <w:i/>
                <w:iCs/>
                <w:color w:val="000000"/>
                <w:sz w:val="18"/>
                <w:szCs w:val="18"/>
                <w:lang w:val="en-US"/>
              </w:rPr>
              <w:t>MMP3</w:t>
            </w:r>
          </w:p>
        </w:tc>
        <w:tc>
          <w:tcPr>
            <w:tcW w:w="925" w:type="dxa"/>
            <w:vAlign w:val="center"/>
          </w:tcPr>
          <w:p w14:paraId="737CC112" w14:textId="5BFB6658" w:rsidR="00026F37" w:rsidRPr="0026705F" w:rsidRDefault="00026F37" w:rsidP="00026F37">
            <w:pPr>
              <w:spacing w:line="360" w:lineRule="auto"/>
              <w:jc w:val="center"/>
              <w:rPr>
                <w:sz w:val="18"/>
                <w:szCs w:val="18"/>
                <w:lang w:val="en-US"/>
              </w:rPr>
            </w:pPr>
            <w:r w:rsidRPr="0026705F">
              <w:rPr>
                <w:color w:val="000000"/>
                <w:sz w:val="18"/>
                <w:szCs w:val="18"/>
                <w:lang w:val="en-US"/>
              </w:rPr>
              <w:t>3,870789</w:t>
            </w:r>
          </w:p>
        </w:tc>
        <w:tc>
          <w:tcPr>
            <w:tcW w:w="925" w:type="dxa"/>
            <w:vAlign w:val="center"/>
          </w:tcPr>
          <w:p w14:paraId="1407C0C2" w14:textId="3E05313E" w:rsidR="00026F37" w:rsidRPr="0026705F" w:rsidRDefault="00026F37" w:rsidP="00026F37">
            <w:pPr>
              <w:spacing w:line="360" w:lineRule="auto"/>
              <w:jc w:val="center"/>
              <w:rPr>
                <w:sz w:val="18"/>
                <w:szCs w:val="18"/>
                <w:lang w:val="en-US"/>
              </w:rPr>
            </w:pPr>
            <w:r w:rsidRPr="0026705F">
              <w:rPr>
                <w:color w:val="000000"/>
                <w:sz w:val="18"/>
                <w:szCs w:val="18"/>
                <w:lang w:val="en-US"/>
              </w:rPr>
              <w:t>0,838</w:t>
            </w:r>
          </w:p>
        </w:tc>
        <w:tc>
          <w:tcPr>
            <w:tcW w:w="925" w:type="dxa"/>
            <w:vAlign w:val="center"/>
          </w:tcPr>
          <w:p w14:paraId="087A97A4" w14:textId="683EF302" w:rsidR="00026F37" w:rsidRPr="0026705F" w:rsidRDefault="00026F37" w:rsidP="00026F37">
            <w:pPr>
              <w:spacing w:line="360" w:lineRule="auto"/>
              <w:jc w:val="center"/>
              <w:rPr>
                <w:sz w:val="18"/>
                <w:szCs w:val="18"/>
                <w:lang w:val="en-US"/>
              </w:rPr>
            </w:pPr>
            <w:r w:rsidRPr="0026705F">
              <w:rPr>
                <w:color w:val="000000"/>
                <w:sz w:val="18"/>
                <w:szCs w:val="18"/>
                <w:lang w:val="en-US"/>
              </w:rPr>
              <w:t>0,134</w:t>
            </w:r>
          </w:p>
        </w:tc>
        <w:tc>
          <w:tcPr>
            <w:tcW w:w="837" w:type="dxa"/>
            <w:vAlign w:val="center"/>
          </w:tcPr>
          <w:p w14:paraId="621814CA" w14:textId="056AFA4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1BAE6939" w14:textId="75B08725" w:rsidR="00026F37" w:rsidRPr="0026705F" w:rsidRDefault="00026F37" w:rsidP="00026F37">
            <w:pPr>
              <w:spacing w:line="360" w:lineRule="auto"/>
              <w:jc w:val="center"/>
              <w:rPr>
                <w:sz w:val="18"/>
                <w:szCs w:val="18"/>
                <w:lang w:val="en-US"/>
              </w:rPr>
            </w:pPr>
            <w:r w:rsidRPr="0026705F">
              <w:rPr>
                <w:color w:val="000000"/>
                <w:sz w:val="18"/>
                <w:szCs w:val="18"/>
                <w:lang w:val="en-US"/>
              </w:rPr>
              <w:t>3,945995</w:t>
            </w:r>
          </w:p>
        </w:tc>
        <w:tc>
          <w:tcPr>
            <w:tcW w:w="925" w:type="dxa"/>
            <w:vAlign w:val="center"/>
          </w:tcPr>
          <w:p w14:paraId="0D0761FD" w14:textId="103D9560" w:rsidR="00026F37" w:rsidRPr="0026705F" w:rsidRDefault="00026F37" w:rsidP="00026F37">
            <w:pPr>
              <w:spacing w:line="360" w:lineRule="auto"/>
              <w:jc w:val="center"/>
              <w:rPr>
                <w:sz w:val="18"/>
                <w:szCs w:val="18"/>
                <w:lang w:val="en-US"/>
              </w:rPr>
            </w:pPr>
            <w:r w:rsidRPr="0026705F">
              <w:rPr>
                <w:color w:val="000000"/>
                <w:sz w:val="18"/>
                <w:szCs w:val="18"/>
                <w:lang w:val="en-US"/>
              </w:rPr>
              <w:t>0,838</w:t>
            </w:r>
          </w:p>
        </w:tc>
        <w:tc>
          <w:tcPr>
            <w:tcW w:w="925" w:type="dxa"/>
            <w:vAlign w:val="center"/>
          </w:tcPr>
          <w:p w14:paraId="6F46D5D0" w14:textId="25982BD0" w:rsidR="00026F37" w:rsidRPr="0026705F" w:rsidRDefault="00026F37" w:rsidP="00026F37">
            <w:pPr>
              <w:spacing w:line="360" w:lineRule="auto"/>
              <w:jc w:val="center"/>
              <w:rPr>
                <w:sz w:val="18"/>
                <w:szCs w:val="18"/>
                <w:lang w:val="en-US"/>
              </w:rPr>
            </w:pPr>
            <w:r w:rsidRPr="0026705F">
              <w:rPr>
                <w:color w:val="000000"/>
                <w:sz w:val="18"/>
                <w:szCs w:val="18"/>
                <w:lang w:val="en-US"/>
              </w:rPr>
              <w:t>0,055</w:t>
            </w:r>
          </w:p>
        </w:tc>
        <w:tc>
          <w:tcPr>
            <w:tcW w:w="964" w:type="dxa"/>
            <w:vAlign w:val="center"/>
          </w:tcPr>
          <w:p w14:paraId="0B858187" w14:textId="108CBD88"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37999B09" w14:textId="61A160EF" w:rsidR="00026F37" w:rsidRPr="0026705F" w:rsidRDefault="00026F37" w:rsidP="00026F37">
            <w:pPr>
              <w:spacing w:line="360" w:lineRule="auto"/>
              <w:jc w:val="center"/>
              <w:rPr>
                <w:sz w:val="18"/>
                <w:szCs w:val="18"/>
                <w:lang w:val="en-US"/>
              </w:rPr>
            </w:pPr>
            <w:r w:rsidRPr="0026705F">
              <w:rPr>
                <w:color w:val="000000"/>
                <w:sz w:val="18"/>
                <w:szCs w:val="18"/>
                <w:lang w:val="en-US"/>
              </w:rPr>
              <w:t>5.259032678</w:t>
            </w:r>
          </w:p>
        </w:tc>
        <w:tc>
          <w:tcPr>
            <w:tcW w:w="850" w:type="dxa"/>
            <w:vAlign w:val="center"/>
          </w:tcPr>
          <w:p w14:paraId="5A1B563C" w14:textId="07109F1F" w:rsidR="00026F37" w:rsidRPr="0026705F" w:rsidRDefault="00026F37" w:rsidP="00026F37">
            <w:pPr>
              <w:spacing w:line="360" w:lineRule="auto"/>
              <w:jc w:val="center"/>
              <w:rPr>
                <w:sz w:val="18"/>
                <w:szCs w:val="18"/>
                <w:lang w:val="en-US"/>
              </w:rPr>
            </w:pPr>
            <w:r w:rsidRPr="0026705F">
              <w:rPr>
                <w:color w:val="000000"/>
                <w:sz w:val="18"/>
                <w:szCs w:val="18"/>
                <w:lang w:val="en-US"/>
              </w:rPr>
              <w:t>7,935</w:t>
            </w:r>
          </w:p>
        </w:tc>
      </w:tr>
      <w:tr w:rsidR="00026F37" w:rsidRPr="0026705F" w14:paraId="2C1127D5" w14:textId="65C81961" w:rsidTr="004F155D">
        <w:tc>
          <w:tcPr>
            <w:tcW w:w="1209" w:type="dxa"/>
            <w:vAlign w:val="center"/>
          </w:tcPr>
          <w:p w14:paraId="3F8D3591" w14:textId="3A0454AB" w:rsidR="00026F37" w:rsidRPr="0026705F" w:rsidRDefault="00026F37" w:rsidP="00026F37">
            <w:pPr>
              <w:spacing w:line="360" w:lineRule="auto"/>
              <w:jc w:val="center"/>
              <w:rPr>
                <w:sz w:val="18"/>
                <w:szCs w:val="18"/>
                <w:lang w:val="en-US"/>
              </w:rPr>
            </w:pPr>
            <w:r w:rsidRPr="0026705F">
              <w:rPr>
                <w:i/>
                <w:iCs/>
                <w:color w:val="000000"/>
                <w:sz w:val="18"/>
                <w:szCs w:val="18"/>
                <w:lang w:val="en-US"/>
              </w:rPr>
              <w:t>S100A4</w:t>
            </w:r>
          </w:p>
        </w:tc>
        <w:tc>
          <w:tcPr>
            <w:tcW w:w="925" w:type="dxa"/>
            <w:vAlign w:val="center"/>
          </w:tcPr>
          <w:p w14:paraId="274CD9DD" w14:textId="56921F60" w:rsidR="00026F37" w:rsidRPr="0026705F" w:rsidRDefault="00026F37" w:rsidP="00026F37">
            <w:pPr>
              <w:spacing w:line="360" w:lineRule="auto"/>
              <w:jc w:val="center"/>
              <w:rPr>
                <w:sz w:val="18"/>
                <w:szCs w:val="18"/>
                <w:lang w:val="en-US"/>
              </w:rPr>
            </w:pPr>
            <w:r w:rsidRPr="0026705F">
              <w:rPr>
                <w:color w:val="000000"/>
                <w:sz w:val="18"/>
                <w:szCs w:val="18"/>
                <w:lang w:val="en-US"/>
              </w:rPr>
              <w:t>2,947444</w:t>
            </w:r>
          </w:p>
        </w:tc>
        <w:tc>
          <w:tcPr>
            <w:tcW w:w="925" w:type="dxa"/>
            <w:vAlign w:val="center"/>
          </w:tcPr>
          <w:p w14:paraId="4A4EB320" w14:textId="202E7EE1" w:rsidR="00026F37" w:rsidRPr="0026705F" w:rsidRDefault="00026F37" w:rsidP="00026F37">
            <w:pPr>
              <w:spacing w:line="360" w:lineRule="auto"/>
              <w:jc w:val="center"/>
              <w:rPr>
                <w:sz w:val="18"/>
                <w:szCs w:val="18"/>
                <w:lang w:val="en-US"/>
              </w:rPr>
            </w:pPr>
            <w:r w:rsidRPr="0026705F">
              <w:rPr>
                <w:color w:val="000000"/>
                <w:sz w:val="18"/>
                <w:szCs w:val="18"/>
                <w:lang w:val="en-US"/>
              </w:rPr>
              <w:t>0,921</w:t>
            </w:r>
          </w:p>
        </w:tc>
        <w:tc>
          <w:tcPr>
            <w:tcW w:w="925" w:type="dxa"/>
            <w:vAlign w:val="center"/>
          </w:tcPr>
          <w:p w14:paraId="483AA32C" w14:textId="32C648BE" w:rsidR="00026F37" w:rsidRPr="0026705F" w:rsidRDefault="00026F37" w:rsidP="00026F37">
            <w:pPr>
              <w:spacing w:line="360" w:lineRule="auto"/>
              <w:jc w:val="center"/>
              <w:rPr>
                <w:sz w:val="18"/>
                <w:szCs w:val="18"/>
                <w:lang w:val="en-US"/>
              </w:rPr>
            </w:pPr>
            <w:r w:rsidRPr="0026705F">
              <w:rPr>
                <w:color w:val="000000"/>
                <w:sz w:val="18"/>
                <w:szCs w:val="18"/>
                <w:lang w:val="en-US"/>
              </w:rPr>
              <w:t>0,664</w:t>
            </w:r>
          </w:p>
        </w:tc>
        <w:tc>
          <w:tcPr>
            <w:tcW w:w="837" w:type="dxa"/>
            <w:vAlign w:val="center"/>
          </w:tcPr>
          <w:p w14:paraId="0C92B2F1" w14:textId="3B962F3E"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372DB8C8" w14:textId="58AA6121" w:rsidR="00026F37" w:rsidRPr="0026705F" w:rsidRDefault="00026F37" w:rsidP="00026F37">
            <w:pPr>
              <w:spacing w:line="360" w:lineRule="auto"/>
              <w:jc w:val="center"/>
              <w:rPr>
                <w:sz w:val="18"/>
                <w:szCs w:val="18"/>
                <w:lang w:val="en-US"/>
              </w:rPr>
            </w:pPr>
            <w:r w:rsidRPr="0026705F">
              <w:rPr>
                <w:color w:val="000000"/>
                <w:sz w:val="18"/>
                <w:szCs w:val="18"/>
                <w:lang w:val="en-US"/>
              </w:rPr>
              <w:t>2,863632</w:t>
            </w:r>
          </w:p>
        </w:tc>
        <w:tc>
          <w:tcPr>
            <w:tcW w:w="925" w:type="dxa"/>
            <w:vAlign w:val="center"/>
          </w:tcPr>
          <w:p w14:paraId="7016AB18" w14:textId="1B5D265A" w:rsidR="00026F37" w:rsidRPr="0026705F" w:rsidRDefault="00026F37" w:rsidP="00026F37">
            <w:pPr>
              <w:spacing w:line="360" w:lineRule="auto"/>
              <w:jc w:val="center"/>
              <w:rPr>
                <w:sz w:val="18"/>
                <w:szCs w:val="18"/>
                <w:lang w:val="en-US"/>
              </w:rPr>
            </w:pPr>
            <w:r w:rsidRPr="0026705F">
              <w:rPr>
                <w:color w:val="000000"/>
                <w:sz w:val="18"/>
                <w:szCs w:val="18"/>
                <w:lang w:val="en-US"/>
              </w:rPr>
              <w:t>0,921</w:t>
            </w:r>
          </w:p>
        </w:tc>
        <w:tc>
          <w:tcPr>
            <w:tcW w:w="925" w:type="dxa"/>
            <w:vAlign w:val="center"/>
          </w:tcPr>
          <w:p w14:paraId="30AE9AC6" w14:textId="5F950BBB" w:rsidR="00026F37" w:rsidRPr="0026705F" w:rsidRDefault="00026F37" w:rsidP="00026F37">
            <w:pPr>
              <w:spacing w:line="360" w:lineRule="auto"/>
              <w:jc w:val="center"/>
              <w:rPr>
                <w:sz w:val="18"/>
                <w:szCs w:val="18"/>
                <w:lang w:val="en-US"/>
              </w:rPr>
            </w:pPr>
            <w:r w:rsidRPr="0026705F">
              <w:rPr>
                <w:color w:val="000000"/>
                <w:sz w:val="18"/>
                <w:szCs w:val="18"/>
                <w:lang w:val="en-US"/>
              </w:rPr>
              <w:t>0,575</w:t>
            </w:r>
          </w:p>
        </w:tc>
        <w:tc>
          <w:tcPr>
            <w:tcW w:w="964" w:type="dxa"/>
            <w:vAlign w:val="center"/>
          </w:tcPr>
          <w:p w14:paraId="35747CB7" w14:textId="4AD4FA83"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6DD55455" w14:textId="23B52A20" w:rsidR="00026F37" w:rsidRPr="0026705F" w:rsidRDefault="00026F37" w:rsidP="00026F37">
            <w:pPr>
              <w:spacing w:line="360" w:lineRule="auto"/>
              <w:jc w:val="center"/>
              <w:rPr>
                <w:sz w:val="18"/>
                <w:szCs w:val="18"/>
                <w:lang w:val="en-US"/>
              </w:rPr>
            </w:pPr>
            <w:r w:rsidRPr="0026705F">
              <w:rPr>
                <w:color w:val="000000"/>
                <w:sz w:val="18"/>
                <w:szCs w:val="18"/>
                <w:lang w:val="en-US"/>
              </w:rPr>
              <w:t>2.673123397</w:t>
            </w:r>
          </w:p>
        </w:tc>
        <w:tc>
          <w:tcPr>
            <w:tcW w:w="850" w:type="dxa"/>
            <w:vAlign w:val="center"/>
          </w:tcPr>
          <w:p w14:paraId="4882996C" w14:textId="781DDA80" w:rsidR="00026F37" w:rsidRPr="0026705F" w:rsidRDefault="00026F37" w:rsidP="00026F37">
            <w:pPr>
              <w:spacing w:line="360" w:lineRule="auto"/>
              <w:jc w:val="center"/>
              <w:rPr>
                <w:sz w:val="18"/>
                <w:szCs w:val="18"/>
                <w:lang w:val="en-US"/>
              </w:rPr>
            </w:pPr>
            <w:r w:rsidRPr="0026705F">
              <w:rPr>
                <w:color w:val="000000"/>
                <w:sz w:val="18"/>
                <w:szCs w:val="18"/>
                <w:lang w:val="en-US"/>
              </w:rPr>
              <w:t>28,086</w:t>
            </w:r>
          </w:p>
        </w:tc>
      </w:tr>
      <w:tr w:rsidR="00026F37" w:rsidRPr="0026705F" w14:paraId="78531A3A" w14:textId="55448F63" w:rsidTr="004F155D">
        <w:tc>
          <w:tcPr>
            <w:tcW w:w="1209" w:type="dxa"/>
            <w:vAlign w:val="center"/>
          </w:tcPr>
          <w:p w14:paraId="2931DFE3" w14:textId="5330E588" w:rsidR="00026F37" w:rsidRPr="0026705F" w:rsidRDefault="00026F37" w:rsidP="00026F37">
            <w:pPr>
              <w:spacing w:line="360" w:lineRule="auto"/>
              <w:jc w:val="center"/>
              <w:rPr>
                <w:sz w:val="18"/>
                <w:szCs w:val="18"/>
                <w:lang w:val="en-US"/>
              </w:rPr>
            </w:pPr>
            <w:r w:rsidRPr="0026705F">
              <w:rPr>
                <w:i/>
                <w:iCs/>
                <w:color w:val="000000"/>
                <w:sz w:val="18"/>
                <w:szCs w:val="18"/>
                <w:lang w:val="en-US"/>
              </w:rPr>
              <w:t>IFI6</w:t>
            </w:r>
          </w:p>
        </w:tc>
        <w:tc>
          <w:tcPr>
            <w:tcW w:w="925" w:type="dxa"/>
            <w:vAlign w:val="center"/>
          </w:tcPr>
          <w:p w14:paraId="7966C235" w14:textId="3ECA84CF" w:rsidR="00026F37" w:rsidRPr="0026705F" w:rsidRDefault="00026F37" w:rsidP="00026F37">
            <w:pPr>
              <w:spacing w:line="360" w:lineRule="auto"/>
              <w:jc w:val="center"/>
              <w:rPr>
                <w:sz w:val="18"/>
                <w:szCs w:val="18"/>
                <w:lang w:val="en-US"/>
              </w:rPr>
            </w:pPr>
            <w:r w:rsidRPr="0026705F">
              <w:rPr>
                <w:color w:val="000000"/>
                <w:sz w:val="18"/>
                <w:szCs w:val="18"/>
                <w:lang w:val="en-US"/>
              </w:rPr>
              <w:t>2,585523</w:t>
            </w:r>
          </w:p>
        </w:tc>
        <w:tc>
          <w:tcPr>
            <w:tcW w:w="925" w:type="dxa"/>
            <w:vAlign w:val="center"/>
          </w:tcPr>
          <w:p w14:paraId="763554AD" w14:textId="5A6E896B" w:rsidR="00026F37" w:rsidRPr="0026705F" w:rsidRDefault="00026F37" w:rsidP="00026F37">
            <w:pPr>
              <w:spacing w:line="360" w:lineRule="auto"/>
              <w:jc w:val="center"/>
              <w:rPr>
                <w:sz w:val="18"/>
                <w:szCs w:val="18"/>
                <w:lang w:val="en-US"/>
              </w:rPr>
            </w:pPr>
            <w:r w:rsidRPr="0026705F">
              <w:rPr>
                <w:color w:val="000000"/>
                <w:sz w:val="18"/>
                <w:szCs w:val="18"/>
                <w:lang w:val="en-US"/>
              </w:rPr>
              <w:t>0,839</w:t>
            </w:r>
          </w:p>
        </w:tc>
        <w:tc>
          <w:tcPr>
            <w:tcW w:w="925" w:type="dxa"/>
            <w:vAlign w:val="center"/>
          </w:tcPr>
          <w:p w14:paraId="76FE6090" w14:textId="5D9AA756" w:rsidR="00026F37" w:rsidRPr="0026705F" w:rsidRDefault="00026F37" w:rsidP="00026F37">
            <w:pPr>
              <w:spacing w:line="360" w:lineRule="auto"/>
              <w:jc w:val="center"/>
              <w:rPr>
                <w:sz w:val="18"/>
                <w:szCs w:val="18"/>
                <w:lang w:val="en-US"/>
              </w:rPr>
            </w:pPr>
            <w:r w:rsidRPr="0026705F">
              <w:rPr>
                <w:color w:val="000000"/>
                <w:sz w:val="18"/>
                <w:szCs w:val="18"/>
                <w:lang w:val="en-US"/>
              </w:rPr>
              <w:t>0,547</w:t>
            </w:r>
          </w:p>
        </w:tc>
        <w:tc>
          <w:tcPr>
            <w:tcW w:w="837" w:type="dxa"/>
            <w:vAlign w:val="center"/>
          </w:tcPr>
          <w:p w14:paraId="17CB6DED" w14:textId="74B74C7E"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3E2F602" w14:textId="7DE14728" w:rsidR="00026F37" w:rsidRPr="0026705F" w:rsidRDefault="00026F37" w:rsidP="00026F37">
            <w:pPr>
              <w:spacing w:line="360" w:lineRule="auto"/>
              <w:jc w:val="center"/>
              <w:rPr>
                <w:sz w:val="18"/>
                <w:szCs w:val="18"/>
                <w:lang w:val="en-US"/>
              </w:rPr>
            </w:pPr>
            <w:r w:rsidRPr="0026705F">
              <w:rPr>
                <w:color w:val="000000"/>
                <w:sz w:val="18"/>
                <w:szCs w:val="18"/>
                <w:lang w:val="en-US"/>
              </w:rPr>
              <w:t>2,56937</w:t>
            </w:r>
          </w:p>
        </w:tc>
        <w:tc>
          <w:tcPr>
            <w:tcW w:w="925" w:type="dxa"/>
            <w:vAlign w:val="center"/>
          </w:tcPr>
          <w:p w14:paraId="45047A3A" w14:textId="4673CA68" w:rsidR="00026F37" w:rsidRPr="0026705F" w:rsidRDefault="00026F37" w:rsidP="00026F37">
            <w:pPr>
              <w:spacing w:line="360" w:lineRule="auto"/>
              <w:jc w:val="center"/>
              <w:rPr>
                <w:sz w:val="18"/>
                <w:szCs w:val="18"/>
                <w:lang w:val="en-US"/>
              </w:rPr>
            </w:pPr>
            <w:r w:rsidRPr="0026705F">
              <w:rPr>
                <w:color w:val="000000"/>
                <w:sz w:val="18"/>
                <w:szCs w:val="18"/>
                <w:lang w:val="en-US"/>
              </w:rPr>
              <w:t>0,839</w:t>
            </w:r>
          </w:p>
        </w:tc>
        <w:tc>
          <w:tcPr>
            <w:tcW w:w="925" w:type="dxa"/>
            <w:vAlign w:val="center"/>
          </w:tcPr>
          <w:p w14:paraId="57D1D232" w14:textId="6328E1CE" w:rsidR="00026F37" w:rsidRPr="0026705F" w:rsidRDefault="00026F37" w:rsidP="00026F37">
            <w:pPr>
              <w:spacing w:line="360" w:lineRule="auto"/>
              <w:jc w:val="center"/>
              <w:rPr>
                <w:sz w:val="18"/>
                <w:szCs w:val="18"/>
                <w:lang w:val="en-US"/>
              </w:rPr>
            </w:pPr>
            <w:r w:rsidRPr="0026705F">
              <w:rPr>
                <w:color w:val="000000"/>
                <w:sz w:val="18"/>
                <w:szCs w:val="18"/>
                <w:lang w:val="en-US"/>
              </w:rPr>
              <w:t>0,464</w:t>
            </w:r>
          </w:p>
        </w:tc>
        <w:tc>
          <w:tcPr>
            <w:tcW w:w="964" w:type="dxa"/>
            <w:vAlign w:val="center"/>
          </w:tcPr>
          <w:p w14:paraId="27799AD0" w14:textId="4B1BE777"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2A46C728" w14:textId="77777777" w:rsidR="00026F37" w:rsidRPr="0026705F" w:rsidRDefault="00026F37" w:rsidP="00026F37">
            <w:pPr>
              <w:spacing w:line="360" w:lineRule="auto"/>
              <w:jc w:val="center"/>
              <w:rPr>
                <w:sz w:val="18"/>
                <w:szCs w:val="18"/>
                <w:lang w:val="en-US"/>
              </w:rPr>
            </w:pPr>
          </w:p>
        </w:tc>
        <w:tc>
          <w:tcPr>
            <w:tcW w:w="850" w:type="dxa"/>
            <w:vAlign w:val="center"/>
          </w:tcPr>
          <w:p w14:paraId="423DA9EC" w14:textId="2C544847" w:rsidR="00026F37" w:rsidRPr="0026705F" w:rsidRDefault="00026F37" w:rsidP="00026F37">
            <w:pPr>
              <w:spacing w:line="360" w:lineRule="auto"/>
              <w:jc w:val="center"/>
              <w:rPr>
                <w:sz w:val="18"/>
                <w:szCs w:val="18"/>
                <w:lang w:val="en-US"/>
              </w:rPr>
            </w:pPr>
            <w:r w:rsidRPr="0026705F">
              <w:rPr>
                <w:color w:val="000000"/>
                <w:sz w:val="18"/>
                <w:szCs w:val="18"/>
                <w:lang w:val="en-US"/>
              </w:rPr>
              <w:t>23,083</w:t>
            </w:r>
          </w:p>
        </w:tc>
      </w:tr>
      <w:tr w:rsidR="00026F37" w:rsidRPr="0026705F" w14:paraId="5B80EEA4" w14:textId="52AC9E39" w:rsidTr="004F155D">
        <w:tc>
          <w:tcPr>
            <w:tcW w:w="1209" w:type="dxa"/>
            <w:vAlign w:val="center"/>
          </w:tcPr>
          <w:p w14:paraId="272214F7" w14:textId="15E28234" w:rsidR="00026F37" w:rsidRPr="0026705F" w:rsidRDefault="00026F37" w:rsidP="00026F37">
            <w:pPr>
              <w:spacing w:line="360" w:lineRule="auto"/>
              <w:jc w:val="center"/>
              <w:rPr>
                <w:sz w:val="18"/>
                <w:szCs w:val="18"/>
                <w:lang w:val="en-US"/>
              </w:rPr>
            </w:pPr>
            <w:r w:rsidRPr="0026705F">
              <w:rPr>
                <w:i/>
                <w:iCs/>
                <w:color w:val="000000"/>
                <w:sz w:val="18"/>
                <w:szCs w:val="18"/>
                <w:lang w:val="en-US"/>
              </w:rPr>
              <w:t>CXCL1</w:t>
            </w:r>
          </w:p>
        </w:tc>
        <w:tc>
          <w:tcPr>
            <w:tcW w:w="925" w:type="dxa"/>
            <w:vAlign w:val="center"/>
          </w:tcPr>
          <w:p w14:paraId="618AFECD" w14:textId="7A55D85B" w:rsidR="00026F37" w:rsidRPr="0026705F" w:rsidRDefault="00026F37" w:rsidP="00026F37">
            <w:pPr>
              <w:spacing w:line="360" w:lineRule="auto"/>
              <w:jc w:val="center"/>
              <w:rPr>
                <w:sz w:val="18"/>
                <w:szCs w:val="18"/>
                <w:lang w:val="en-US"/>
              </w:rPr>
            </w:pPr>
            <w:r w:rsidRPr="0026705F">
              <w:rPr>
                <w:color w:val="000000"/>
                <w:sz w:val="18"/>
                <w:szCs w:val="18"/>
                <w:lang w:val="en-US"/>
              </w:rPr>
              <w:t>2,352146</w:t>
            </w:r>
          </w:p>
        </w:tc>
        <w:tc>
          <w:tcPr>
            <w:tcW w:w="925" w:type="dxa"/>
            <w:vAlign w:val="center"/>
          </w:tcPr>
          <w:p w14:paraId="2C5DEBB8" w14:textId="2FBD2124" w:rsidR="00026F37" w:rsidRPr="0026705F" w:rsidRDefault="00026F37" w:rsidP="00026F37">
            <w:pPr>
              <w:spacing w:line="360" w:lineRule="auto"/>
              <w:jc w:val="center"/>
              <w:rPr>
                <w:sz w:val="18"/>
                <w:szCs w:val="18"/>
                <w:lang w:val="en-US"/>
              </w:rPr>
            </w:pPr>
            <w:r w:rsidRPr="0026705F">
              <w:rPr>
                <w:color w:val="000000"/>
                <w:sz w:val="18"/>
                <w:szCs w:val="18"/>
                <w:lang w:val="en-US"/>
              </w:rPr>
              <w:t>0,451</w:t>
            </w:r>
          </w:p>
        </w:tc>
        <w:tc>
          <w:tcPr>
            <w:tcW w:w="925" w:type="dxa"/>
            <w:vAlign w:val="center"/>
          </w:tcPr>
          <w:p w14:paraId="2A28C53E" w14:textId="05AD3F71" w:rsidR="00026F37" w:rsidRPr="0026705F" w:rsidRDefault="00026F37" w:rsidP="00026F37">
            <w:pPr>
              <w:spacing w:line="360" w:lineRule="auto"/>
              <w:jc w:val="center"/>
              <w:rPr>
                <w:sz w:val="18"/>
                <w:szCs w:val="18"/>
                <w:lang w:val="en-US"/>
              </w:rPr>
            </w:pPr>
            <w:r w:rsidRPr="0026705F">
              <w:rPr>
                <w:color w:val="000000"/>
                <w:sz w:val="18"/>
                <w:szCs w:val="18"/>
                <w:lang w:val="en-US"/>
              </w:rPr>
              <w:t>0,008</w:t>
            </w:r>
          </w:p>
        </w:tc>
        <w:tc>
          <w:tcPr>
            <w:tcW w:w="837" w:type="dxa"/>
            <w:vAlign w:val="center"/>
          </w:tcPr>
          <w:p w14:paraId="7923955D" w14:textId="583A1F59"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01B3FCA9" w14:textId="2C2E3781" w:rsidR="00026F37" w:rsidRPr="0026705F" w:rsidRDefault="00026F37" w:rsidP="00026F37">
            <w:pPr>
              <w:spacing w:line="360" w:lineRule="auto"/>
              <w:jc w:val="center"/>
              <w:rPr>
                <w:sz w:val="18"/>
                <w:szCs w:val="18"/>
                <w:lang w:val="en-US"/>
              </w:rPr>
            </w:pPr>
            <w:r w:rsidRPr="0026705F">
              <w:rPr>
                <w:color w:val="000000"/>
                <w:sz w:val="18"/>
                <w:szCs w:val="18"/>
                <w:lang w:val="en-US"/>
              </w:rPr>
              <w:t>2,34605</w:t>
            </w:r>
          </w:p>
        </w:tc>
        <w:tc>
          <w:tcPr>
            <w:tcW w:w="925" w:type="dxa"/>
            <w:vAlign w:val="center"/>
          </w:tcPr>
          <w:p w14:paraId="70F087B4" w14:textId="04142237" w:rsidR="00026F37" w:rsidRPr="0026705F" w:rsidRDefault="00026F37" w:rsidP="00026F37">
            <w:pPr>
              <w:spacing w:line="360" w:lineRule="auto"/>
              <w:jc w:val="center"/>
              <w:rPr>
                <w:sz w:val="18"/>
                <w:szCs w:val="18"/>
                <w:lang w:val="en-US"/>
              </w:rPr>
            </w:pPr>
            <w:r w:rsidRPr="0026705F">
              <w:rPr>
                <w:color w:val="000000"/>
                <w:sz w:val="18"/>
                <w:szCs w:val="18"/>
                <w:lang w:val="en-US"/>
              </w:rPr>
              <w:t>0,451</w:t>
            </w:r>
          </w:p>
        </w:tc>
        <w:tc>
          <w:tcPr>
            <w:tcW w:w="925" w:type="dxa"/>
            <w:vAlign w:val="center"/>
          </w:tcPr>
          <w:p w14:paraId="5692F9F4" w14:textId="13713D00" w:rsidR="00026F37" w:rsidRPr="0026705F" w:rsidRDefault="00026F37" w:rsidP="00026F37">
            <w:pPr>
              <w:spacing w:line="360" w:lineRule="auto"/>
              <w:jc w:val="center"/>
              <w:rPr>
                <w:sz w:val="18"/>
                <w:szCs w:val="18"/>
                <w:lang w:val="en-US"/>
              </w:rPr>
            </w:pPr>
            <w:r w:rsidRPr="0026705F">
              <w:rPr>
                <w:color w:val="000000"/>
                <w:sz w:val="18"/>
                <w:szCs w:val="18"/>
                <w:lang w:val="en-US"/>
              </w:rPr>
              <w:t>0,014</w:t>
            </w:r>
          </w:p>
        </w:tc>
        <w:tc>
          <w:tcPr>
            <w:tcW w:w="964" w:type="dxa"/>
            <w:vAlign w:val="center"/>
          </w:tcPr>
          <w:p w14:paraId="5F8BF642" w14:textId="6E26DBC5"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36079236" w14:textId="3865954C" w:rsidR="00026F37" w:rsidRPr="0026705F" w:rsidRDefault="00026F37" w:rsidP="00026F37">
            <w:pPr>
              <w:spacing w:line="360" w:lineRule="auto"/>
              <w:jc w:val="center"/>
              <w:rPr>
                <w:sz w:val="18"/>
                <w:szCs w:val="18"/>
                <w:lang w:val="en-US"/>
              </w:rPr>
            </w:pPr>
            <w:r w:rsidRPr="0026705F">
              <w:rPr>
                <w:color w:val="000000"/>
                <w:sz w:val="18"/>
                <w:szCs w:val="18"/>
                <w:lang w:val="en-US"/>
              </w:rPr>
              <w:t>3.512696982</w:t>
            </w:r>
          </w:p>
        </w:tc>
        <w:tc>
          <w:tcPr>
            <w:tcW w:w="850" w:type="dxa"/>
            <w:vAlign w:val="center"/>
          </w:tcPr>
          <w:p w14:paraId="433EC23B" w14:textId="77777777" w:rsidR="00026F37" w:rsidRPr="0026705F" w:rsidRDefault="00026F37" w:rsidP="00026F37">
            <w:pPr>
              <w:spacing w:line="360" w:lineRule="auto"/>
              <w:jc w:val="center"/>
              <w:rPr>
                <w:sz w:val="18"/>
                <w:szCs w:val="18"/>
                <w:lang w:val="en-US"/>
              </w:rPr>
            </w:pPr>
          </w:p>
        </w:tc>
      </w:tr>
      <w:tr w:rsidR="00026F37" w:rsidRPr="0026705F" w14:paraId="5925BD71" w14:textId="59AE1CE3" w:rsidTr="004F155D">
        <w:tc>
          <w:tcPr>
            <w:tcW w:w="1209" w:type="dxa"/>
            <w:vAlign w:val="center"/>
          </w:tcPr>
          <w:p w14:paraId="7C4FFF4A" w14:textId="2DA9B8AB" w:rsidR="00026F37" w:rsidRPr="0026705F" w:rsidRDefault="00026F37" w:rsidP="00026F37">
            <w:pPr>
              <w:spacing w:line="360" w:lineRule="auto"/>
              <w:jc w:val="center"/>
              <w:rPr>
                <w:sz w:val="18"/>
                <w:szCs w:val="18"/>
                <w:lang w:val="en-US"/>
              </w:rPr>
            </w:pPr>
            <w:r w:rsidRPr="0026705F">
              <w:rPr>
                <w:i/>
                <w:iCs/>
                <w:color w:val="000000"/>
                <w:sz w:val="18"/>
                <w:szCs w:val="18"/>
                <w:lang w:val="en-US"/>
              </w:rPr>
              <w:t>ISG15</w:t>
            </w:r>
          </w:p>
        </w:tc>
        <w:tc>
          <w:tcPr>
            <w:tcW w:w="925" w:type="dxa"/>
            <w:vAlign w:val="center"/>
          </w:tcPr>
          <w:p w14:paraId="2401A170" w14:textId="4A5A0F1F" w:rsidR="00026F37" w:rsidRPr="0026705F" w:rsidRDefault="00026F37" w:rsidP="00026F37">
            <w:pPr>
              <w:spacing w:line="360" w:lineRule="auto"/>
              <w:jc w:val="center"/>
              <w:rPr>
                <w:sz w:val="18"/>
                <w:szCs w:val="18"/>
                <w:lang w:val="en-US"/>
              </w:rPr>
            </w:pPr>
            <w:r w:rsidRPr="0026705F">
              <w:rPr>
                <w:color w:val="000000"/>
                <w:sz w:val="18"/>
                <w:szCs w:val="18"/>
                <w:lang w:val="en-US"/>
              </w:rPr>
              <w:t>1,837746</w:t>
            </w:r>
          </w:p>
        </w:tc>
        <w:tc>
          <w:tcPr>
            <w:tcW w:w="925" w:type="dxa"/>
            <w:vAlign w:val="center"/>
          </w:tcPr>
          <w:p w14:paraId="6D9AFA36" w14:textId="4B12B8B8" w:rsidR="00026F37" w:rsidRPr="0026705F" w:rsidRDefault="00026F37" w:rsidP="00026F37">
            <w:pPr>
              <w:spacing w:line="360" w:lineRule="auto"/>
              <w:jc w:val="center"/>
              <w:rPr>
                <w:sz w:val="18"/>
                <w:szCs w:val="18"/>
                <w:lang w:val="en-US"/>
              </w:rPr>
            </w:pPr>
            <w:r w:rsidRPr="0026705F">
              <w:rPr>
                <w:color w:val="000000"/>
                <w:sz w:val="18"/>
                <w:szCs w:val="18"/>
                <w:lang w:val="en-US"/>
              </w:rPr>
              <w:t>0,825</w:t>
            </w:r>
          </w:p>
        </w:tc>
        <w:tc>
          <w:tcPr>
            <w:tcW w:w="925" w:type="dxa"/>
            <w:vAlign w:val="center"/>
          </w:tcPr>
          <w:p w14:paraId="6D7DD01E" w14:textId="284550E6" w:rsidR="00026F37" w:rsidRPr="0026705F" w:rsidRDefault="00026F37" w:rsidP="00026F37">
            <w:pPr>
              <w:spacing w:line="360" w:lineRule="auto"/>
              <w:jc w:val="center"/>
              <w:rPr>
                <w:sz w:val="18"/>
                <w:szCs w:val="18"/>
                <w:lang w:val="en-US"/>
              </w:rPr>
            </w:pPr>
            <w:r w:rsidRPr="0026705F">
              <w:rPr>
                <w:color w:val="000000"/>
                <w:sz w:val="18"/>
                <w:szCs w:val="18"/>
                <w:lang w:val="en-US"/>
              </w:rPr>
              <w:t>0,846</w:t>
            </w:r>
          </w:p>
        </w:tc>
        <w:tc>
          <w:tcPr>
            <w:tcW w:w="837" w:type="dxa"/>
            <w:vAlign w:val="center"/>
          </w:tcPr>
          <w:p w14:paraId="0EA5FB53" w14:textId="275E8399"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7D284705" w14:textId="6B3DA5C0" w:rsidR="00026F37" w:rsidRPr="0026705F" w:rsidRDefault="00026F37" w:rsidP="00026F37">
            <w:pPr>
              <w:spacing w:line="360" w:lineRule="auto"/>
              <w:jc w:val="center"/>
              <w:rPr>
                <w:sz w:val="18"/>
                <w:szCs w:val="18"/>
                <w:lang w:val="en-US"/>
              </w:rPr>
            </w:pPr>
            <w:r w:rsidRPr="0026705F">
              <w:rPr>
                <w:color w:val="000000"/>
                <w:sz w:val="18"/>
                <w:szCs w:val="18"/>
                <w:lang w:val="en-US"/>
              </w:rPr>
              <w:t>1,861943</w:t>
            </w:r>
          </w:p>
        </w:tc>
        <w:tc>
          <w:tcPr>
            <w:tcW w:w="925" w:type="dxa"/>
            <w:vAlign w:val="center"/>
          </w:tcPr>
          <w:p w14:paraId="0D398B79" w14:textId="370C9E01" w:rsidR="00026F37" w:rsidRPr="0026705F" w:rsidRDefault="00026F37" w:rsidP="00026F37">
            <w:pPr>
              <w:spacing w:line="360" w:lineRule="auto"/>
              <w:jc w:val="center"/>
              <w:rPr>
                <w:sz w:val="18"/>
                <w:szCs w:val="18"/>
                <w:lang w:val="en-US"/>
              </w:rPr>
            </w:pPr>
            <w:r w:rsidRPr="0026705F">
              <w:rPr>
                <w:color w:val="000000"/>
                <w:sz w:val="18"/>
                <w:szCs w:val="18"/>
                <w:lang w:val="en-US"/>
              </w:rPr>
              <w:t>0,825</w:t>
            </w:r>
          </w:p>
        </w:tc>
        <w:tc>
          <w:tcPr>
            <w:tcW w:w="925" w:type="dxa"/>
            <w:vAlign w:val="center"/>
          </w:tcPr>
          <w:p w14:paraId="73A84FC9" w14:textId="7A164B60" w:rsidR="00026F37" w:rsidRPr="0026705F" w:rsidRDefault="00026F37" w:rsidP="00026F37">
            <w:pPr>
              <w:spacing w:line="360" w:lineRule="auto"/>
              <w:jc w:val="center"/>
              <w:rPr>
                <w:sz w:val="18"/>
                <w:szCs w:val="18"/>
                <w:lang w:val="en-US"/>
              </w:rPr>
            </w:pPr>
            <w:r w:rsidRPr="0026705F">
              <w:rPr>
                <w:color w:val="000000"/>
                <w:sz w:val="18"/>
                <w:szCs w:val="18"/>
                <w:lang w:val="en-US"/>
              </w:rPr>
              <w:t>0,746</w:t>
            </w:r>
          </w:p>
        </w:tc>
        <w:tc>
          <w:tcPr>
            <w:tcW w:w="964" w:type="dxa"/>
            <w:vAlign w:val="center"/>
          </w:tcPr>
          <w:p w14:paraId="1B09C004" w14:textId="5849D53B"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196F2D33" w14:textId="77777777" w:rsidR="00026F37" w:rsidRPr="0026705F" w:rsidRDefault="00026F37" w:rsidP="00026F37">
            <w:pPr>
              <w:spacing w:line="360" w:lineRule="auto"/>
              <w:jc w:val="center"/>
              <w:rPr>
                <w:sz w:val="18"/>
                <w:szCs w:val="18"/>
                <w:lang w:val="en-US"/>
              </w:rPr>
            </w:pPr>
          </w:p>
        </w:tc>
        <w:tc>
          <w:tcPr>
            <w:tcW w:w="850" w:type="dxa"/>
            <w:vAlign w:val="center"/>
          </w:tcPr>
          <w:p w14:paraId="079706F0" w14:textId="2C1D65B8" w:rsidR="00026F37" w:rsidRPr="0026705F" w:rsidRDefault="00026F37" w:rsidP="00026F37">
            <w:pPr>
              <w:spacing w:line="360" w:lineRule="auto"/>
              <w:jc w:val="center"/>
              <w:rPr>
                <w:sz w:val="18"/>
                <w:szCs w:val="18"/>
                <w:lang w:val="en-US"/>
              </w:rPr>
            </w:pPr>
            <w:r w:rsidRPr="0026705F">
              <w:rPr>
                <w:color w:val="000000"/>
                <w:sz w:val="18"/>
                <w:szCs w:val="18"/>
                <w:lang w:val="en-US"/>
              </w:rPr>
              <w:t>16,882</w:t>
            </w:r>
          </w:p>
        </w:tc>
      </w:tr>
      <w:tr w:rsidR="00026F37" w:rsidRPr="0026705F" w14:paraId="13468893" w14:textId="47F1C9D4" w:rsidTr="004F155D">
        <w:tc>
          <w:tcPr>
            <w:tcW w:w="1209" w:type="dxa"/>
            <w:vAlign w:val="center"/>
          </w:tcPr>
          <w:p w14:paraId="17E16F92" w14:textId="631E3F4D" w:rsidR="00026F37" w:rsidRPr="0026705F" w:rsidRDefault="00026F37" w:rsidP="00026F37">
            <w:pPr>
              <w:spacing w:line="360" w:lineRule="auto"/>
              <w:jc w:val="center"/>
              <w:rPr>
                <w:sz w:val="18"/>
                <w:szCs w:val="18"/>
                <w:lang w:val="en-US"/>
              </w:rPr>
            </w:pPr>
            <w:r w:rsidRPr="0026705F">
              <w:rPr>
                <w:i/>
                <w:iCs/>
                <w:color w:val="000000"/>
                <w:sz w:val="18"/>
                <w:szCs w:val="18"/>
                <w:lang w:val="en-US"/>
              </w:rPr>
              <w:t>CTSK</w:t>
            </w:r>
          </w:p>
        </w:tc>
        <w:tc>
          <w:tcPr>
            <w:tcW w:w="925" w:type="dxa"/>
            <w:vAlign w:val="center"/>
          </w:tcPr>
          <w:p w14:paraId="3E81ED82" w14:textId="7C030009" w:rsidR="00026F37" w:rsidRPr="0026705F" w:rsidRDefault="00026F37" w:rsidP="00026F37">
            <w:pPr>
              <w:spacing w:line="360" w:lineRule="auto"/>
              <w:jc w:val="center"/>
              <w:rPr>
                <w:sz w:val="18"/>
                <w:szCs w:val="18"/>
                <w:lang w:val="en-US"/>
              </w:rPr>
            </w:pPr>
            <w:r w:rsidRPr="0026705F">
              <w:rPr>
                <w:color w:val="000000"/>
                <w:sz w:val="18"/>
                <w:szCs w:val="18"/>
                <w:lang w:val="en-US"/>
              </w:rPr>
              <w:t>1,824697</w:t>
            </w:r>
          </w:p>
        </w:tc>
        <w:tc>
          <w:tcPr>
            <w:tcW w:w="925" w:type="dxa"/>
            <w:vAlign w:val="center"/>
          </w:tcPr>
          <w:p w14:paraId="19817A48" w14:textId="27045C12" w:rsidR="00026F37" w:rsidRPr="0026705F" w:rsidRDefault="00026F37" w:rsidP="00026F37">
            <w:pPr>
              <w:spacing w:line="360" w:lineRule="auto"/>
              <w:jc w:val="center"/>
              <w:rPr>
                <w:sz w:val="18"/>
                <w:szCs w:val="18"/>
                <w:lang w:val="en-US"/>
              </w:rPr>
            </w:pPr>
            <w:r w:rsidRPr="0026705F">
              <w:rPr>
                <w:color w:val="000000"/>
                <w:sz w:val="18"/>
                <w:szCs w:val="18"/>
                <w:lang w:val="en-US"/>
              </w:rPr>
              <w:t>0,942</w:t>
            </w:r>
          </w:p>
        </w:tc>
        <w:tc>
          <w:tcPr>
            <w:tcW w:w="925" w:type="dxa"/>
            <w:vAlign w:val="center"/>
          </w:tcPr>
          <w:p w14:paraId="173CDEC5" w14:textId="6D4CEBCA" w:rsidR="00026F37" w:rsidRPr="0026705F" w:rsidRDefault="00026F37" w:rsidP="00026F37">
            <w:pPr>
              <w:spacing w:line="360" w:lineRule="auto"/>
              <w:jc w:val="center"/>
              <w:rPr>
                <w:sz w:val="18"/>
                <w:szCs w:val="18"/>
                <w:lang w:val="en-US"/>
              </w:rPr>
            </w:pPr>
            <w:r w:rsidRPr="0026705F">
              <w:rPr>
                <w:color w:val="000000"/>
                <w:sz w:val="18"/>
                <w:szCs w:val="18"/>
                <w:lang w:val="en-US"/>
              </w:rPr>
              <w:t>0,883</w:t>
            </w:r>
          </w:p>
        </w:tc>
        <w:tc>
          <w:tcPr>
            <w:tcW w:w="837" w:type="dxa"/>
            <w:vAlign w:val="center"/>
          </w:tcPr>
          <w:p w14:paraId="153AF167" w14:textId="2E9E7FF1"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215122BA" w14:textId="4899B206" w:rsidR="00026F37" w:rsidRPr="0026705F" w:rsidRDefault="00026F37" w:rsidP="00026F37">
            <w:pPr>
              <w:spacing w:line="360" w:lineRule="auto"/>
              <w:jc w:val="center"/>
              <w:rPr>
                <w:sz w:val="18"/>
                <w:szCs w:val="18"/>
                <w:lang w:val="en-US"/>
              </w:rPr>
            </w:pPr>
            <w:r w:rsidRPr="0026705F">
              <w:rPr>
                <w:color w:val="000000"/>
                <w:sz w:val="18"/>
                <w:szCs w:val="18"/>
                <w:lang w:val="en-US"/>
              </w:rPr>
              <w:t>2,504377</w:t>
            </w:r>
          </w:p>
        </w:tc>
        <w:tc>
          <w:tcPr>
            <w:tcW w:w="925" w:type="dxa"/>
            <w:vAlign w:val="center"/>
          </w:tcPr>
          <w:p w14:paraId="40ADF07E" w14:textId="4B4F7D0D" w:rsidR="00026F37" w:rsidRPr="0026705F" w:rsidRDefault="00026F37" w:rsidP="00026F37">
            <w:pPr>
              <w:spacing w:line="360" w:lineRule="auto"/>
              <w:jc w:val="center"/>
              <w:rPr>
                <w:sz w:val="18"/>
                <w:szCs w:val="18"/>
                <w:lang w:val="en-US"/>
              </w:rPr>
            </w:pPr>
            <w:r w:rsidRPr="0026705F">
              <w:rPr>
                <w:color w:val="000000"/>
                <w:sz w:val="18"/>
                <w:szCs w:val="18"/>
                <w:lang w:val="en-US"/>
              </w:rPr>
              <w:t>0,942</w:t>
            </w:r>
          </w:p>
        </w:tc>
        <w:tc>
          <w:tcPr>
            <w:tcW w:w="925" w:type="dxa"/>
            <w:vAlign w:val="center"/>
          </w:tcPr>
          <w:p w14:paraId="6BEFF114" w14:textId="437D32A4" w:rsidR="00026F37" w:rsidRPr="0026705F" w:rsidRDefault="00026F37" w:rsidP="00026F37">
            <w:pPr>
              <w:spacing w:line="360" w:lineRule="auto"/>
              <w:jc w:val="center"/>
              <w:rPr>
                <w:sz w:val="18"/>
                <w:szCs w:val="18"/>
                <w:lang w:val="en-US"/>
              </w:rPr>
            </w:pPr>
            <w:r w:rsidRPr="0026705F">
              <w:rPr>
                <w:color w:val="000000"/>
                <w:sz w:val="18"/>
                <w:szCs w:val="18"/>
                <w:lang w:val="en-US"/>
              </w:rPr>
              <w:t>0,716</w:t>
            </w:r>
          </w:p>
        </w:tc>
        <w:tc>
          <w:tcPr>
            <w:tcW w:w="964" w:type="dxa"/>
            <w:vAlign w:val="center"/>
          </w:tcPr>
          <w:p w14:paraId="6F008E43" w14:textId="6CCD92B0"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611C3C6A" w14:textId="77777777" w:rsidR="00026F37" w:rsidRPr="0026705F" w:rsidRDefault="00026F37" w:rsidP="00026F37">
            <w:pPr>
              <w:spacing w:line="360" w:lineRule="auto"/>
              <w:jc w:val="center"/>
              <w:rPr>
                <w:sz w:val="18"/>
                <w:szCs w:val="18"/>
                <w:lang w:val="en-US"/>
              </w:rPr>
            </w:pPr>
          </w:p>
        </w:tc>
        <w:tc>
          <w:tcPr>
            <w:tcW w:w="850" w:type="dxa"/>
            <w:vAlign w:val="center"/>
          </w:tcPr>
          <w:p w14:paraId="21D89D0A" w14:textId="7ED406E7" w:rsidR="00026F37" w:rsidRPr="0026705F" w:rsidRDefault="00026F37" w:rsidP="00026F37">
            <w:pPr>
              <w:spacing w:line="360" w:lineRule="auto"/>
              <w:jc w:val="center"/>
              <w:rPr>
                <w:sz w:val="18"/>
                <w:szCs w:val="18"/>
                <w:lang w:val="en-US"/>
              </w:rPr>
            </w:pPr>
            <w:r w:rsidRPr="0026705F">
              <w:rPr>
                <w:color w:val="000000"/>
                <w:sz w:val="18"/>
                <w:szCs w:val="18"/>
                <w:lang w:val="en-US"/>
              </w:rPr>
              <w:t>29,446</w:t>
            </w:r>
          </w:p>
        </w:tc>
      </w:tr>
      <w:tr w:rsidR="00026F37" w:rsidRPr="0026705F" w14:paraId="66CC0FFB" w14:textId="0E0D4601" w:rsidTr="004F155D">
        <w:tc>
          <w:tcPr>
            <w:tcW w:w="1209" w:type="dxa"/>
            <w:vAlign w:val="center"/>
          </w:tcPr>
          <w:p w14:paraId="13F22F9E" w14:textId="1A6F5C3E" w:rsidR="00026F37" w:rsidRPr="0026705F" w:rsidRDefault="00026F37" w:rsidP="00026F37">
            <w:pPr>
              <w:spacing w:line="360" w:lineRule="auto"/>
              <w:jc w:val="center"/>
              <w:rPr>
                <w:sz w:val="18"/>
                <w:szCs w:val="18"/>
                <w:lang w:val="en-US"/>
              </w:rPr>
            </w:pPr>
            <w:r w:rsidRPr="0026705F">
              <w:rPr>
                <w:i/>
                <w:iCs/>
                <w:color w:val="000000"/>
                <w:sz w:val="18"/>
                <w:szCs w:val="18"/>
                <w:lang w:val="en-US"/>
              </w:rPr>
              <w:t>CYP7B1</w:t>
            </w:r>
          </w:p>
        </w:tc>
        <w:tc>
          <w:tcPr>
            <w:tcW w:w="925" w:type="dxa"/>
            <w:vAlign w:val="center"/>
          </w:tcPr>
          <w:p w14:paraId="4D198D6D" w14:textId="1A254911" w:rsidR="00026F37" w:rsidRPr="0026705F" w:rsidRDefault="00026F37" w:rsidP="00026F37">
            <w:pPr>
              <w:spacing w:line="360" w:lineRule="auto"/>
              <w:jc w:val="center"/>
              <w:rPr>
                <w:sz w:val="18"/>
                <w:szCs w:val="18"/>
                <w:lang w:val="en-US"/>
              </w:rPr>
            </w:pPr>
            <w:r w:rsidRPr="0026705F">
              <w:rPr>
                <w:color w:val="000000"/>
                <w:sz w:val="18"/>
                <w:szCs w:val="18"/>
                <w:lang w:val="en-US"/>
              </w:rPr>
              <w:t>1,596877</w:t>
            </w:r>
          </w:p>
        </w:tc>
        <w:tc>
          <w:tcPr>
            <w:tcW w:w="925" w:type="dxa"/>
            <w:vAlign w:val="center"/>
          </w:tcPr>
          <w:p w14:paraId="68535DF2" w14:textId="34983B6E" w:rsidR="00026F37" w:rsidRPr="0026705F" w:rsidRDefault="00026F37" w:rsidP="00026F37">
            <w:pPr>
              <w:spacing w:line="360" w:lineRule="auto"/>
              <w:jc w:val="center"/>
              <w:rPr>
                <w:sz w:val="18"/>
                <w:szCs w:val="18"/>
                <w:lang w:val="en-US"/>
              </w:rPr>
            </w:pPr>
            <w:r w:rsidRPr="0026705F">
              <w:rPr>
                <w:color w:val="000000"/>
                <w:sz w:val="18"/>
                <w:szCs w:val="18"/>
                <w:lang w:val="en-US"/>
              </w:rPr>
              <w:t>0,596</w:t>
            </w:r>
          </w:p>
        </w:tc>
        <w:tc>
          <w:tcPr>
            <w:tcW w:w="925" w:type="dxa"/>
            <w:vAlign w:val="center"/>
          </w:tcPr>
          <w:p w14:paraId="6147F477" w14:textId="4F2CC6E6" w:rsidR="00026F37" w:rsidRPr="0026705F" w:rsidRDefault="00026F37" w:rsidP="00026F37">
            <w:pPr>
              <w:spacing w:line="360" w:lineRule="auto"/>
              <w:jc w:val="center"/>
              <w:rPr>
                <w:sz w:val="18"/>
                <w:szCs w:val="18"/>
                <w:lang w:val="en-US"/>
              </w:rPr>
            </w:pPr>
            <w:r w:rsidRPr="0026705F">
              <w:rPr>
                <w:color w:val="000000"/>
                <w:sz w:val="18"/>
                <w:szCs w:val="18"/>
                <w:lang w:val="en-US"/>
              </w:rPr>
              <w:t>0,173</w:t>
            </w:r>
          </w:p>
        </w:tc>
        <w:tc>
          <w:tcPr>
            <w:tcW w:w="837" w:type="dxa"/>
            <w:vAlign w:val="center"/>
          </w:tcPr>
          <w:p w14:paraId="207A541F" w14:textId="1C1B2A2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017BDA7B" w14:textId="5E878F81" w:rsidR="00026F37" w:rsidRPr="0026705F" w:rsidRDefault="00026F37" w:rsidP="00026F37">
            <w:pPr>
              <w:spacing w:line="360" w:lineRule="auto"/>
              <w:jc w:val="center"/>
              <w:rPr>
                <w:sz w:val="18"/>
                <w:szCs w:val="18"/>
                <w:lang w:val="en-US"/>
              </w:rPr>
            </w:pPr>
            <w:r w:rsidRPr="0026705F">
              <w:rPr>
                <w:color w:val="000000"/>
                <w:sz w:val="18"/>
                <w:szCs w:val="18"/>
                <w:lang w:val="en-US"/>
              </w:rPr>
              <w:t>1,609551</w:t>
            </w:r>
          </w:p>
        </w:tc>
        <w:tc>
          <w:tcPr>
            <w:tcW w:w="925" w:type="dxa"/>
            <w:vAlign w:val="center"/>
          </w:tcPr>
          <w:p w14:paraId="07794DCB" w14:textId="119929DF" w:rsidR="00026F37" w:rsidRPr="0026705F" w:rsidRDefault="00026F37" w:rsidP="00026F37">
            <w:pPr>
              <w:spacing w:line="360" w:lineRule="auto"/>
              <w:jc w:val="center"/>
              <w:rPr>
                <w:sz w:val="18"/>
                <w:szCs w:val="18"/>
                <w:lang w:val="en-US"/>
              </w:rPr>
            </w:pPr>
            <w:r w:rsidRPr="0026705F">
              <w:rPr>
                <w:color w:val="000000"/>
                <w:sz w:val="18"/>
                <w:szCs w:val="18"/>
                <w:lang w:val="en-US"/>
              </w:rPr>
              <w:t>0,596</w:t>
            </w:r>
          </w:p>
        </w:tc>
        <w:tc>
          <w:tcPr>
            <w:tcW w:w="925" w:type="dxa"/>
            <w:vAlign w:val="center"/>
          </w:tcPr>
          <w:p w14:paraId="53AA258F" w14:textId="3BE819F7" w:rsidR="00026F37" w:rsidRPr="0026705F" w:rsidRDefault="00026F37" w:rsidP="00026F37">
            <w:pPr>
              <w:spacing w:line="360" w:lineRule="auto"/>
              <w:jc w:val="center"/>
              <w:rPr>
                <w:sz w:val="18"/>
                <w:szCs w:val="18"/>
                <w:lang w:val="en-US"/>
              </w:rPr>
            </w:pPr>
            <w:r w:rsidRPr="0026705F">
              <w:rPr>
                <w:color w:val="000000"/>
                <w:sz w:val="18"/>
                <w:szCs w:val="18"/>
                <w:lang w:val="en-US"/>
              </w:rPr>
              <w:t>0,131</w:t>
            </w:r>
          </w:p>
        </w:tc>
        <w:tc>
          <w:tcPr>
            <w:tcW w:w="964" w:type="dxa"/>
            <w:vAlign w:val="center"/>
          </w:tcPr>
          <w:p w14:paraId="416FC8DC" w14:textId="714D5330"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68B0EEF5" w14:textId="77777777" w:rsidR="00026F37" w:rsidRPr="0026705F" w:rsidRDefault="00026F37" w:rsidP="00026F37">
            <w:pPr>
              <w:spacing w:line="360" w:lineRule="auto"/>
              <w:jc w:val="center"/>
              <w:rPr>
                <w:sz w:val="18"/>
                <w:szCs w:val="18"/>
                <w:lang w:val="en-US"/>
              </w:rPr>
            </w:pPr>
          </w:p>
        </w:tc>
        <w:tc>
          <w:tcPr>
            <w:tcW w:w="850" w:type="dxa"/>
            <w:vAlign w:val="center"/>
          </w:tcPr>
          <w:p w14:paraId="2E433EC6" w14:textId="2719BB90" w:rsidR="00026F37" w:rsidRPr="0026705F" w:rsidRDefault="00026F37" w:rsidP="00026F37">
            <w:pPr>
              <w:spacing w:line="360" w:lineRule="auto"/>
              <w:jc w:val="center"/>
              <w:rPr>
                <w:sz w:val="18"/>
                <w:szCs w:val="18"/>
                <w:lang w:val="en-US"/>
              </w:rPr>
            </w:pPr>
            <w:r w:rsidRPr="0026705F">
              <w:rPr>
                <w:color w:val="000000"/>
                <w:sz w:val="18"/>
                <w:szCs w:val="18"/>
                <w:lang w:val="en-US"/>
              </w:rPr>
              <w:t>22,359</w:t>
            </w:r>
          </w:p>
        </w:tc>
      </w:tr>
      <w:tr w:rsidR="00026F37" w:rsidRPr="0026705F" w14:paraId="5498F670" w14:textId="64CC046C" w:rsidTr="004F155D">
        <w:tc>
          <w:tcPr>
            <w:tcW w:w="1209" w:type="dxa"/>
            <w:vAlign w:val="center"/>
          </w:tcPr>
          <w:p w14:paraId="3D8E0E5D" w14:textId="3D32863F" w:rsidR="00026F37" w:rsidRPr="0026705F" w:rsidRDefault="00026F37" w:rsidP="00026F37">
            <w:pPr>
              <w:spacing w:line="360" w:lineRule="auto"/>
              <w:jc w:val="center"/>
              <w:rPr>
                <w:sz w:val="18"/>
                <w:szCs w:val="18"/>
                <w:lang w:val="en-US"/>
              </w:rPr>
            </w:pPr>
            <w:r w:rsidRPr="0026705F">
              <w:rPr>
                <w:i/>
                <w:iCs/>
                <w:color w:val="000000"/>
                <w:sz w:val="18"/>
                <w:szCs w:val="18"/>
                <w:lang w:val="en-US"/>
              </w:rPr>
              <w:t>LY6E</w:t>
            </w:r>
          </w:p>
        </w:tc>
        <w:tc>
          <w:tcPr>
            <w:tcW w:w="925" w:type="dxa"/>
            <w:vAlign w:val="center"/>
          </w:tcPr>
          <w:p w14:paraId="0DC9DB22" w14:textId="2370C4F4" w:rsidR="00026F37" w:rsidRPr="0026705F" w:rsidRDefault="00026F37" w:rsidP="00026F37">
            <w:pPr>
              <w:spacing w:line="360" w:lineRule="auto"/>
              <w:jc w:val="center"/>
              <w:rPr>
                <w:sz w:val="18"/>
                <w:szCs w:val="18"/>
                <w:lang w:val="en-US"/>
              </w:rPr>
            </w:pPr>
            <w:r w:rsidRPr="0026705F">
              <w:rPr>
                <w:color w:val="000000"/>
                <w:sz w:val="18"/>
                <w:szCs w:val="18"/>
                <w:lang w:val="en-US"/>
              </w:rPr>
              <w:t>1,539429</w:t>
            </w:r>
          </w:p>
        </w:tc>
        <w:tc>
          <w:tcPr>
            <w:tcW w:w="925" w:type="dxa"/>
            <w:vAlign w:val="center"/>
          </w:tcPr>
          <w:p w14:paraId="13E8568F" w14:textId="091D0149" w:rsidR="00026F37" w:rsidRPr="0026705F" w:rsidRDefault="00026F37" w:rsidP="00026F37">
            <w:pPr>
              <w:spacing w:line="360" w:lineRule="auto"/>
              <w:jc w:val="center"/>
              <w:rPr>
                <w:sz w:val="18"/>
                <w:szCs w:val="18"/>
                <w:lang w:val="en-US"/>
              </w:rPr>
            </w:pPr>
            <w:r w:rsidRPr="0026705F">
              <w:rPr>
                <w:color w:val="000000"/>
                <w:sz w:val="18"/>
                <w:szCs w:val="18"/>
                <w:lang w:val="en-US"/>
              </w:rPr>
              <w:t>0,865</w:t>
            </w:r>
          </w:p>
        </w:tc>
        <w:tc>
          <w:tcPr>
            <w:tcW w:w="925" w:type="dxa"/>
            <w:vAlign w:val="center"/>
          </w:tcPr>
          <w:p w14:paraId="534D700F" w14:textId="38C70365" w:rsidR="00026F37" w:rsidRPr="0026705F" w:rsidRDefault="00026F37" w:rsidP="00026F37">
            <w:pPr>
              <w:spacing w:line="360" w:lineRule="auto"/>
              <w:jc w:val="center"/>
              <w:rPr>
                <w:sz w:val="18"/>
                <w:szCs w:val="18"/>
                <w:lang w:val="en-US"/>
              </w:rPr>
            </w:pPr>
            <w:r w:rsidRPr="0026705F">
              <w:rPr>
                <w:color w:val="000000"/>
                <w:sz w:val="18"/>
                <w:szCs w:val="18"/>
                <w:lang w:val="en-US"/>
              </w:rPr>
              <w:t>0,95</w:t>
            </w:r>
          </w:p>
        </w:tc>
        <w:tc>
          <w:tcPr>
            <w:tcW w:w="837" w:type="dxa"/>
            <w:vAlign w:val="center"/>
          </w:tcPr>
          <w:p w14:paraId="5CD0CD8F" w14:textId="3824BD74"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0841CDBF" w14:textId="5DE3F1DF" w:rsidR="00026F37" w:rsidRPr="0026705F" w:rsidRDefault="00026F37" w:rsidP="00026F37">
            <w:pPr>
              <w:spacing w:line="360" w:lineRule="auto"/>
              <w:jc w:val="center"/>
              <w:rPr>
                <w:sz w:val="18"/>
                <w:szCs w:val="18"/>
                <w:lang w:val="en-US"/>
              </w:rPr>
            </w:pPr>
            <w:r w:rsidRPr="0026705F">
              <w:rPr>
                <w:color w:val="000000"/>
                <w:sz w:val="18"/>
                <w:szCs w:val="18"/>
                <w:lang w:val="en-US"/>
              </w:rPr>
              <w:t>1,542205</w:t>
            </w:r>
          </w:p>
        </w:tc>
        <w:tc>
          <w:tcPr>
            <w:tcW w:w="925" w:type="dxa"/>
            <w:vAlign w:val="center"/>
          </w:tcPr>
          <w:p w14:paraId="5F7ED59A" w14:textId="0CC2D573" w:rsidR="00026F37" w:rsidRPr="0026705F" w:rsidRDefault="00026F37" w:rsidP="00026F37">
            <w:pPr>
              <w:spacing w:line="360" w:lineRule="auto"/>
              <w:jc w:val="center"/>
              <w:rPr>
                <w:sz w:val="18"/>
                <w:szCs w:val="18"/>
                <w:lang w:val="en-US"/>
              </w:rPr>
            </w:pPr>
            <w:r w:rsidRPr="0026705F">
              <w:rPr>
                <w:color w:val="000000"/>
                <w:sz w:val="18"/>
                <w:szCs w:val="18"/>
                <w:lang w:val="en-US"/>
              </w:rPr>
              <w:t>0,865</w:t>
            </w:r>
          </w:p>
        </w:tc>
        <w:tc>
          <w:tcPr>
            <w:tcW w:w="925" w:type="dxa"/>
            <w:vAlign w:val="center"/>
          </w:tcPr>
          <w:p w14:paraId="1FD55E26" w14:textId="298363A9" w:rsidR="00026F37" w:rsidRPr="0026705F" w:rsidRDefault="00026F37" w:rsidP="00026F37">
            <w:pPr>
              <w:spacing w:line="360" w:lineRule="auto"/>
              <w:jc w:val="center"/>
              <w:rPr>
                <w:sz w:val="18"/>
                <w:szCs w:val="18"/>
                <w:lang w:val="en-US"/>
              </w:rPr>
            </w:pPr>
            <w:r w:rsidRPr="0026705F">
              <w:rPr>
                <w:color w:val="000000"/>
                <w:sz w:val="18"/>
                <w:szCs w:val="18"/>
                <w:lang w:val="en-US"/>
              </w:rPr>
              <w:t>0,892</w:t>
            </w:r>
          </w:p>
        </w:tc>
        <w:tc>
          <w:tcPr>
            <w:tcW w:w="964" w:type="dxa"/>
            <w:vAlign w:val="center"/>
          </w:tcPr>
          <w:p w14:paraId="57898C2E" w14:textId="661DE705"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1AAC0718" w14:textId="77777777" w:rsidR="00026F37" w:rsidRPr="0026705F" w:rsidRDefault="00026F37" w:rsidP="00026F37">
            <w:pPr>
              <w:spacing w:line="360" w:lineRule="auto"/>
              <w:jc w:val="center"/>
              <w:rPr>
                <w:sz w:val="18"/>
                <w:szCs w:val="18"/>
                <w:lang w:val="en-US"/>
              </w:rPr>
            </w:pPr>
          </w:p>
        </w:tc>
        <w:tc>
          <w:tcPr>
            <w:tcW w:w="850" w:type="dxa"/>
            <w:vAlign w:val="center"/>
          </w:tcPr>
          <w:p w14:paraId="01D2A2EB" w14:textId="213D4F84" w:rsidR="00026F37" w:rsidRPr="0026705F" w:rsidRDefault="00026F37" w:rsidP="00026F37">
            <w:pPr>
              <w:spacing w:line="360" w:lineRule="auto"/>
              <w:jc w:val="center"/>
              <w:rPr>
                <w:sz w:val="18"/>
                <w:szCs w:val="18"/>
                <w:lang w:val="en-US"/>
              </w:rPr>
            </w:pPr>
            <w:r w:rsidRPr="0026705F">
              <w:rPr>
                <w:color w:val="000000"/>
                <w:sz w:val="18"/>
                <w:szCs w:val="18"/>
                <w:lang w:val="en-US"/>
              </w:rPr>
              <w:t>15,997</w:t>
            </w:r>
          </w:p>
        </w:tc>
      </w:tr>
      <w:tr w:rsidR="00026F37" w:rsidRPr="0026705F" w14:paraId="1DA8283F" w14:textId="08C0B245" w:rsidTr="004F155D">
        <w:tc>
          <w:tcPr>
            <w:tcW w:w="1209" w:type="dxa"/>
            <w:vAlign w:val="center"/>
          </w:tcPr>
          <w:p w14:paraId="0B3314E9" w14:textId="565502EA" w:rsidR="00026F37" w:rsidRPr="0026705F" w:rsidRDefault="00026F37" w:rsidP="00026F37">
            <w:pPr>
              <w:spacing w:line="360" w:lineRule="auto"/>
              <w:jc w:val="center"/>
              <w:rPr>
                <w:sz w:val="18"/>
                <w:szCs w:val="18"/>
                <w:lang w:val="en-US"/>
              </w:rPr>
            </w:pPr>
            <w:r w:rsidRPr="0026705F">
              <w:rPr>
                <w:i/>
                <w:iCs/>
                <w:color w:val="000000"/>
                <w:sz w:val="18"/>
                <w:szCs w:val="18"/>
                <w:lang w:val="en-US"/>
              </w:rPr>
              <w:t>TMEM176B</w:t>
            </w:r>
          </w:p>
        </w:tc>
        <w:tc>
          <w:tcPr>
            <w:tcW w:w="925" w:type="dxa"/>
            <w:vAlign w:val="center"/>
          </w:tcPr>
          <w:p w14:paraId="41B5E98A" w14:textId="38408BD3" w:rsidR="00026F37" w:rsidRPr="0026705F" w:rsidRDefault="00026F37" w:rsidP="00026F37">
            <w:pPr>
              <w:spacing w:line="360" w:lineRule="auto"/>
              <w:jc w:val="center"/>
              <w:rPr>
                <w:sz w:val="18"/>
                <w:szCs w:val="18"/>
                <w:lang w:val="en-US"/>
              </w:rPr>
            </w:pPr>
            <w:r w:rsidRPr="0026705F">
              <w:rPr>
                <w:color w:val="000000"/>
                <w:sz w:val="18"/>
                <w:szCs w:val="18"/>
                <w:lang w:val="en-US"/>
              </w:rPr>
              <w:t>1,529808</w:t>
            </w:r>
          </w:p>
        </w:tc>
        <w:tc>
          <w:tcPr>
            <w:tcW w:w="925" w:type="dxa"/>
            <w:vAlign w:val="center"/>
          </w:tcPr>
          <w:p w14:paraId="7ACD2421" w14:textId="1A8E7F12" w:rsidR="00026F37" w:rsidRPr="0026705F" w:rsidRDefault="00026F37" w:rsidP="00026F37">
            <w:pPr>
              <w:spacing w:line="360" w:lineRule="auto"/>
              <w:jc w:val="center"/>
              <w:rPr>
                <w:sz w:val="18"/>
                <w:szCs w:val="18"/>
                <w:lang w:val="en-US"/>
              </w:rPr>
            </w:pPr>
            <w:r w:rsidRPr="0026705F">
              <w:rPr>
                <w:color w:val="000000"/>
                <w:sz w:val="18"/>
                <w:szCs w:val="18"/>
                <w:lang w:val="en-US"/>
              </w:rPr>
              <w:t>0,497</w:t>
            </w:r>
          </w:p>
        </w:tc>
        <w:tc>
          <w:tcPr>
            <w:tcW w:w="925" w:type="dxa"/>
            <w:vAlign w:val="center"/>
          </w:tcPr>
          <w:p w14:paraId="2AEFED64" w14:textId="67ADA3B0" w:rsidR="00026F37" w:rsidRPr="0026705F" w:rsidRDefault="00026F37" w:rsidP="00026F37">
            <w:pPr>
              <w:spacing w:line="360" w:lineRule="auto"/>
              <w:jc w:val="center"/>
              <w:rPr>
                <w:sz w:val="18"/>
                <w:szCs w:val="18"/>
                <w:lang w:val="en-US"/>
              </w:rPr>
            </w:pPr>
            <w:r w:rsidRPr="0026705F">
              <w:rPr>
                <w:color w:val="000000"/>
                <w:sz w:val="18"/>
                <w:szCs w:val="18"/>
                <w:lang w:val="en-US"/>
              </w:rPr>
              <w:t>0,088</w:t>
            </w:r>
          </w:p>
        </w:tc>
        <w:tc>
          <w:tcPr>
            <w:tcW w:w="837" w:type="dxa"/>
            <w:vAlign w:val="center"/>
          </w:tcPr>
          <w:p w14:paraId="5172E247" w14:textId="26C7A016"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46AEF71" w14:textId="4438B963" w:rsidR="00026F37" w:rsidRPr="0026705F" w:rsidRDefault="00026F37" w:rsidP="00026F37">
            <w:pPr>
              <w:spacing w:line="360" w:lineRule="auto"/>
              <w:jc w:val="center"/>
              <w:rPr>
                <w:sz w:val="18"/>
                <w:szCs w:val="18"/>
                <w:lang w:val="en-US"/>
              </w:rPr>
            </w:pPr>
            <w:r w:rsidRPr="0026705F">
              <w:rPr>
                <w:color w:val="000000"/>
                <w:sz w:val="18"/>
                <w:szCs w:val="18"/>
                <w:lang w:val="en-US"/>
              </w:rPr>
              <w:t>1,588556</w:t>
            </w:r>
          </w:p>
        </w:tc>
        <w:tc>
          <w:tcPr>
            <w:tcW w:w="925" w:type="dxa"/>
            <w:vAlign w:val="center"/>
          </w:tcPr>
          <w:p w14:paraId="25709C91" w14:textId="4F2CDF55" w:rsidR="00026F37" w:rsidRPr="0026705F" w:rsidRDefault="00026F37" w:rsidP="00026F37">
            <w:pPr>
              <w:spacing w:line="360" w:lineRule="auto"/>
              <w:jc w:val="center"/>
              <w:rPr>
                <w:sz w:val="18"/>
                <w:szCs w:val="18"/>
                <w:lang w:val="en-US"/>
              </w:rPr>
            </w:pPr>
            <w:r w:rsidRPr="0026705F">
              <w:rPr>
                <w:color w:val="000000"/>
                <w:sz w:val="18"/>
                <w:szCs w:val="18"/>
                <w:lang w:val="en-US"/>
              </w:rPr>
              <w:t>0,497</w:t>
            </w:r>
          </w:p>
        </w:tc>
        <w:tc>
          <w:tcPr>
            <w:tcW w:w="925" w:type="dxa"/>
            <w:vAlign w:val="center"/>
          </w:tcPr>
          <w:p w14:paraId="6C332A55" w14:textId="0780ADF4" w:rsidR="00026F37" w:rsidRPr="0026705F" w:rsidRDefault="00026F37" w:rsidP="00026F37">
            <w:pPr>
              <w:spacing w:line="360" w:lineRule="auto"/>
              <w:jc w:val="center"/>
              <w:rPr>
                <w:sz w:val="18"/>
                <w:szCs w:val="18"/>
                <w:lang w:val="en-US"/>
              </w:rPr>
            </w:pPr>
            <w:r w:rsidRPr="0026705F">
              <w:rPr>
                <w:color w:val="000000"/>
                <w:sz w:val="18"/>
                <w:szCs w:val="18"/>
                <w:lang w:val="en-US"/>
              </w:rPr>
              <w:t>0,02</w:t>
            </w:r>
          </w:p>
        </w:tc>
        <w:tc>
          <w:tcPr>
            <w:tcW w:w="964" w:type="dxa"/>
            <w:vAlign w:val="center"/>
          </w:tcPr>
          <w:p w14:paraId="01EBFFE9" w14:textId="11C2E550"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0A23E22A" w14:textId="77777777" w:rsidR="00026F37" w:rsidRPr="0026705F" w:rsidRDefault="00026F37" w:rsidP="00026F37">
            <w:pPr>
              <w:spacing w:line="360" w:lineRule="auto"/>
              <w:jc w:val="center"/>
              <w:rPr>
                <w:sz w:val="18"/>
                <w:szCs w:val="18"/>
                <w:lang w:val="en-US"/>
              </w:rPr>
            </w:pPr>
          </w:p>
        </w:tc>
        <w:tc>
          <w:tcPr>
            <w:tcW w:w="850" w:type="dxa"/>
            <w:vAlign w:val="center"/>
          </w:tcPr>
          <w:p w14:paraId="6383AA94" w14:textId="48204A60" w:rsidR="00026F37" w:rsidRPr="0026705F" w:rsidRDefault="00026F37" w:rsidP="00026F37">
            <w:pPr>
              <w:spacing w:line="360" w:lineRule="auto"/>
              <w:jc w:val="center"/>
              <w:rPr>
                <w:sz w:val="18"/>
                <w:szCs w:val="18"/>
                <w:lang w:val="en-US"/>
              </w:rPr>
            </w:pPr>
            <w:r w:rsidRPr="0026705F">
              <w:rPr>
                <w:color w:val="000000"/>
                <w:sz w:val="18"/>
                <w:szCs w:val="18"/>
                <w:lang w:val="en-US"/>
              </w:rPr>
              <w:t>57,182</w:t>
            </w:r>
          </w:p>
        </w:tc>
      </w:tr>
      <w:tr w:rsidR="004C2C97" w:rsidRPr="0026705F" w14:paraId="4FF45EBC" w14:textId="4D33D25D" w:rsidTr="004C2C97">
        <w:tc>
          <w:tcPr>
            <w:tcW w:w="10774" w:type="dxa"/>
            <w:gridSpan w:val="11"/>
            <w:vAlign w:val="bottom"/>
          </w:tcPr>
          <w:p w14:paraId="581A05D6" w14:textId="55D68ADE" w:rsidR="004C2C97" w:rsidRPr="0026705F" w:rsidRDefault="004C2C97" w:rsidP="0089042D">
            <w:pPr>
              <w:spacing w:line="360" w:lineRule="auto"/>
              <w:jc w:val="both"/>
              <w:rPr>
                <w:sz w:val="18"/>
                <w:szCs w:val="18"/>
                <w:lang w:val="en-US"/>
              </w:rPr>
            </w:pPr>
            <w:r w:rsidRPr="0026705F">
              <w:rPr>
                <w:b/>
                <w:bCs/>
                <w:color w:val="000000"/>
                <w:sz w:val="18"/>
                <w:szCs w:val="18"/>
                <w:u w:val="single"/>
                <w:lang w:val="en-US"/>
              </w:rPr>
              <w:t>NEGATIVE MARKERS</w:t>
            </w:r>
          </w:p>
        </w:tc>
      </w:tr>
      <w:tr w:rsidR="00026F37" w:rsidRPr="0026705F" w14:paraId="58631CC9" w14:textId="3C0AF87E" w:rsidTr="004F155D">
        <w:tc>
          <w:tcPr>
            <w:tcW w:w="1209" w:type="dxa"/>
            <w:vAlign w:val="center"/>
          </w:tcPr>
          <w:p w14:paraId="005C6B10" w14:textId="245B6A0C" w:rsidR="00026F37" w:rsidRPr="0026705F" w:rsidRDefault="00026F37" w:rsidP="00026F37">
            <w:pPr>
              <w:spacing w:line="360" w:lineRule="auto"/>
              <w:jc w:val="center"/>
              <w:rPr>
                <w:sz w:val="18"/>
                <w:szCs w:val="18"/>
                <w:lang w:val="en-US"/>
              </w:rPr>
            </w:pPr>
            <w:r w:rsidRPr="0026705F">
              <w:rPr>
                <w:i/>
                <w:iCs/>
                <w:color w:val="000000"/>
                <w:sz w:val="18"/>
                <w:szCs w:val="18"/>
                <w:lang w:val="en-US"/>
              </w:rPr>
              <w:t>CCDC80</w:t>
            </w:r>
          </w:p>
        </w:tc>
        <w:tc>
          <w:tcPr>
            <w:tcW w:w="925" w:type="dxa"/>
            <w:vAlign w:val="center"/>
          </w:tcPr>
          <w:p w14:paraId="7483EB40" w14:textId="1F40E68F" w:rsidR="00026F37" w:rsidRPr="0026705F" w:rsidRDefault="00026F37" w:rsidP="00026F37">
            <w:pPr>
              <w:spacing w:line="360" w:lineRule="auto"/>
              <w:jc w:val="center"/>
              <w:rPr>
                <w:sz w:val="18"/>
                <w:szCs w:val="18"/>
                <w:lang w:val="en-US"/>
              </w:rPr>
            </w:pPr>
            <w:r w:rsidRPr="0026705F">
              <w:rPr>
                <w:color w:val="000000"/>
                <w:sz w:val="18"/>
                <w:szCs w:val="18"/>
                <w:lang w:val="en-US"/>
              </w:rPr>
              <w:t>-1,59409</w:t>
            </w:r>
          </w:p>
        </w:tc>
        <w:tc>
          <w:tcPr>
            <w:tcW w:w="925" w:type="dxa"/>
            <w:vAlign w:val="center"/>
          </w:tcPr>
          <w:p w14:paraId="03E4EE0F" w14:textId="240790DD" w:rsidR="00026F37" w:rsidRPr="0026705F" w:rsidRDefault="00026F37" w:rsidP="00026F37">
            <w:pPr>
              <w:spacing w:line="360" w:lineRule="auto"/>
              <w:jc w:val="center"/>
              <w:rPr>
                <w:sz w:val="18"/>
                <w:szCs w:val="18"/>
                <w:lang w:val="en-US"/>
              </w:rPr>
            </w:pPr>
            <w:r w:rsidRPr="0026705F">
              <w:rPr>
                <w:color w:val="000000"/>
                <w:sz w:val="18"/>
                <w:szCs w:val="18"/>
                <w:lang w:val="en-US"/>
              </w:rPr>
              <w:t>0,832</w:t>
            </w:r>
          </w:p>
        </w:tc>
        <w:tc>
          <w:tcPr>
            <w:tcW w:w="925" w:type="dxa"/>
            <w:vAlign w:val="center"/>
          </w:tcPr>
          <w:p w14:paraId="008D69AE" w14:textId="514D4654" w:rsidR="00026F37" w:rsidRPr="0026705F" w:rsidRDefault="00026F37" w:rsidP="00026F37">
            <w:pPr>
              <w:spacing w:line="360" w:lineRule="auto"/>
              <w:jc w:val="center"/>
              <w:rPr>
                <w:sz w:val="18"/>
                <w:szCs w:val="18"/>
                <w:lang w:val="en-US"/>
              </w:rPr>
            </w:pPr>
            <w:r w:rsidRPr="0026705F">
              <w:rPr>
                <w:color w:val="000000"/>
                <w:sz w:val="18"/>
                <w:szCs w:val="18"/>
                <w:lang w:val="en-US"/>
              </w:rPr>
              <w:t>0,994</w:t>
            </w:r>
          </w:p>
        </w:tc>
        <w:tc>
          <w:tcPr>
            <w:tcW w:w="837" w:type="dxa"/>
            <w:vAlign w:val="center"/>
          </w:tcPr>
          <w:p w14:paraId="4C1BDC7A" w14:textId="1F2118BC"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0B3B9DB9" w14:textId="40EC9304" w:rsidR="00026F37" w:rsidRPr="0026705F" w:rsidRDefault="00026F37" w:rsidP="00026F37">
            <w:pPr>
              <w:spacing w:line="360" w:lineRule="auto"/>
              <w:jc w:val="center"/>
              <w:rPr>
                <w:sz w:val="18"/>
                <w:szCs w:val="18"/>
                <w:lang w:val="en-US"/>
              </w:rPr>
            </w:pPr>
            <w:r w:rsidRPr="0026705F">
              <w:rPr>
                <w:color w:val="000000"/>
                <w:sz w:val="18"/>
                <w:szCs w:val="18"/>
                <w:lang w:val="en-US"/>
              </w:rPr>
              <w:t>-2,00652</w:t>
            </w:r>
          </w:p>
        </w:tc>
        <w:tc>
          <w:tcPr>
            <w:tcW w:w="925" w:type="dxa"/>
            <w:vAlign w:val="center"/>
          </w:tcPr>
          <w:p w14:paraId="091E8918" w14:textId="4ED0DB6A" w:rsidR="00026F37" w:rsidRPr="0026705F" w:rsidRDefault="00026F37" w:rsidP="00026F37">
            <w:pPr>
              <w:spacing w:line="360" w:lineRule="auto"/>
              <w:jc w:val="center"/>
              <w:rPr>
                <w:sz w:val="18"/>
                <w:szCs w:val="18"/>
                <w:lang w:val="en-US"/>
              </w:rPr>
            </w:pPr>
            <w:r w:rsidRPr="0026705F">
              <w:rPr>
                <w:color w:val="000000"/>
                <w:sz w:val="18"/>
                <w:szCs w:val="18"/>
                <w:lang w:val="en-US"/>
              </w:rPr>
              <w:t>0,832</w:t>
            </w:r>
          </w:p>
        </w:tc>
        <w:tc>
          <w:tcPr>
            <w:tcW w:w="925" w:type="dxa"/>
            <w:vAlign w:val="center"/>
          </w:tcPr>
          <w:p w14:paraId="737E0ABF" w14:textId="3D7E5EFB" w:rsidR="00026F37" w:rsidRPr="0026705F" w:rsidRDefault="00026F37" w:rsidP="00026F37">
            <w:pPr>
              <w:spacing w:line="360" w:lineRule="auto"/>
              <w:jc w:val="center"/>
              <w:rPr>
                <w:sz w:val="18"/>
                <w:szCs w:val="18"/>
                <w:lang w:val="en-US"/>
              </w:rPr>
            </w:pPr>
            <w:r w:rsidRPr="0026705F">
              <w:rPr>
                <w:color w:val="000000"/>
                <w:sz w:val="18"/>
                <w:szCs w:val="18"/>
                <w:lang w:val="en-US"/>
              </w:rPr>
              <w:t>0,993</w:t>
            </w:r>
          </w:p>
        </w:tc>
        <w:tc>
          <w:tcPr>
            <w:tcW w:w="964" w:type="dxa"/>
            <w:vAlign w:val="center"/>
          </w:tcPr>
          <w:p w14:paraId="456F47F5" w14:textId="538B9F8D"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7DA5B023" w14:textId="19D23366" w:rsidR="00026F37" w:rsidRPr="0026705F" w:rsidRDefault="00026F37" w:rsidP="00026F37">
            <w:pPr>
              <w:spacing w:line="360" w:lineRule="auto"/>
              <w:jc w:val="center"/>
              <w:rPr>
                <w:sz w:val="18"/>
                <w:szCs w:val="18"/>
                <w:lang w:val="en-US"/>
              </w:rPr>
            </w:pPr>
            <w:r w:rsidRPr="0026705F">
              <w:rPr>
                <w:color w:val="000000"/>
                <w:sz w:val="18"/>
                <w:szCs w:val="18"/>
                <w:lang w:val="en-US"/>
              </w:rPr>
              <w:t>-2.526992064</w:t>
            </w:r>
          </w:p>
        </w:tc>
        <w:tc>
          <w:tcPr>
            <w:tcW w:w="850" w:type="dxa"/>
            <w:vAlign w:val="center"/>
          </w:tcPr>
          <w:p w14:paraId="0BEBC84D" w14:textId="300A8076" w:rsidR="00026F37" w:rsidRPr="0026705F" w:rsidRDefault="00026F37" w:rsidP="00026F37">
            <w:pPr>
              <w:spacing w:line="360" w:lineRule="auto"/>
              <w:jc w:val="center"/>
              <w:rPr>
                <w:sz w:val="18"/>
                <w:szCs w:val="18"/>
                <w:lang w:val="en-US"/>
              </w:rPr>
            </w:pPr>
            <w:r w:rsidRPr="0026705F">
              <w:rPr>
                <w:color w:val="000000"/>
                <w:sz w:val="18"/>
                <w:szCs w:val="18"/>
                <w:lang w:val="en-US"/>
              </w:rPr>
              <w:t>-11,116</w:t>
            </w:r>
          </w:p>
        </w:tc>
      </w:tr>
      <w:tr w:rsidR="00026F37" w:rsidRPr="0026705F" w14:paraId="321441FB" w14:textId="6F6FF33C" w:rsidTr="004F155D">
        <w:tc>
          <w:tcPr>
            <w:tcW w:w="1209" w:type="dxa"/>
            <w:vAlign w:val="center"/>
          </w:tcPr>
          <w:p w14:paraId="6D541E6A" w14:textId="620002CF" w:rsidR="00026F37" w:rsidRPr="0026705F" w:rsidRDefault="00026F37" w:rsidP="00026F37">
            <w:pPr>
              <w:spacing w:line="360" w:lineRule="auto"/>
              <w:jc w:val="center"/>
              <w:rPr>
                <w:sz w:val="18"/>
                <w:szCs w:val="18"/>
                <w:lang w:val="en-US"/>
              </w:rPr>
            </w:pPr>
            <w:r w:rsidRPr="0026705F">
              <w:rPr>
                <w:i/>
                <w:iCs/>
                <w:color w:val="000000"/>
                <w:sz w:val="18"/>
                <w:szCs w:val="18"/>
                <w:lang w:val="en-US"/>
              </w:rPr>
              <w:t>COL4A1</w:t>
            </w:r>
          </w:p>
        </w:tc>
        <w:tc>
          <w:tcPr>
            <w:tcW w:w="925" w:type="dxa"/>
            <w:vAlign w:val="center"/>
          </w:tcPr>
          <w:p w14:paraId="4F1FA8B7" w14:textId="17D9CBAD" w:rsidR="00026F37" w:rsidRPr="0026705F" w:rsidRDefault="00026F37" w:rsidP="00026F37">
            <w:pPr>
              <w:spacing w:line="360" w:lineRule="auto"/>
              <w:jc w:val="center"/>
              <w:rPr>
                <w:sz w:val="18"/>
                <w:szCs w:val="18"/>
                <w:lang w:val="en-US"/>
              </w:rPr>
            </w:pPr>
            <w:r w:rsidRPr="0026705F">
              <w:rPr>
                <w:color w:val="000000"/>
                <w:sz w:val="18"/>
                <w:szCs w:val="18"/>
                <w:lang w:val="en-US"/>
              </w:rPr>
              <w:t>-1,60375</w:t>
            </w:r>
          </w:p>
        </w:tc>
        <w:tc>
          <w:tcPr>
            <w:tcW w:w="925" w:type="dxa"/>
            <w:vAlign w:val="center"/>
          </w:tcPr>
          <w:p w14:paraId="0C985704" w14:textId="2EB21BCB" w:rsidR="00026F37" w:rsidRPr="0026705F" w:rsidRDefault="00026F37" w:rsidP="00026F37">
            <w:pPr>
              <w:spacing w:line="360" w:lineRule="auto"/>
              <w:jc w:val="center"/>
              <w:rPr>
                <w:sz w:val="18"/>
                <w:szCs w:val="18"/>
                <w:lang w:val="en-US"/>
              </w:rPr>
            </w:pPr>
            <w:r w:rsidRPr="0026705F">
              <w:rPr>
                <w:color w:val="000000"/>
                <w:sz w:val="18"/>
                <w:szCs w:val="18"/>
                <w:lang w:val="en-US"/>
              </w:rPr>
              <w:t>0,444</w:t>
            </w:r>
          </w:p>
        </w:tc>
        <w:tc>
          <w:tcPr>
            <w:tcW w:w="925" w:type="dxa"/>
            <w:vAlign w:val="center"/>
          </w:tcPr>
          <w:p w14:paraId="4B4EE275" w14:textId="01E10E38" w:rsidR="00026F37" w:rsidRPr="0026705F" w:rsidRDefault="00026F37" w:rsidP="00026F37">
            <w:pPr>
              <w:spacing w:line="360" w:lineRule="auto"/>
              <w:jc w:val="center"/>
              <w:rPr>
                <w:sz w:val="18"/>
                <w:szCs w:val="18"/>
                <w:lang w:val="en-US"/>
              </w:rPr>
            </w:pPr>
            <w:r w:rsidRPr="0026705F">
              <w:rPr>
                <w:color w:val="000000"/>
                <w:sz w:val="18"/>
                <w:szCs w:val="18"/>
                <w:lang w:val="en-US"/>
              </w:rPr>
              <w:t>0,912</w:t>
            </w:r>
          </w:p>
        </w:tc>
        <w:tc>
          <w:tcPr>
            <w:tcW w:w="837" w:type="dxa"/>
            <w:vAlign w:val="center"/>
          </w:tcPr>
          <w:p w14:paraId="2C529093" w14:textId="519D9AEE"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450D472" w14:textId="5AF75176" w:rsidR="00026F37" w:rsidRPr="0026705F" w:rsidRDefault="00026F37" w:rsidP="00026F37">
            <w:pPr>
              <w:spacing w:line="360" w:lineRule="auto"/>
              <w:jc w:val="center"/>
              <w:rPr>
                <w:sz w:val="18"/>
                <w:szCs w:val="18"/>
                <w:lang w:val="en-US"/>
              </w:rPr>
            </w:pPr>
            <w:r w:rsidRPr="0026705F">
              <w:rPr>
                <w:color w:val="000000"/>
                <w:sz w:val="18"/>
                <w:szCs w:val="18"/>
                <w:lang w:val="en-US"/>
              </w:rPr>
              <w:t>-2,13569</w:t>
            </w:r>
          </w:p>
        </w:tc>
        <w:tc>
          <w:tcPr>
            <w:tcW w:w="925" w:type="dxa"/>
            <w:vAlign w:val="center"/>
          </w:tcPr>
          <w:p w14:paraId="3BF30024" w14:textId="5CFD0C09" w:rsidR="00026F37" w:rsidRPr="0026705F" w:rsidRDefault="00026F37" w:rsidP="00026F37">
            <w:pPr>
              <w:spacing w:line="360" w:lineRule="auto"/>
              <w:jc w:val="center"/>
              <w:rPr>
                <w:sz w:val="18"/>
                <w:szCs w:val="18"/>
                <w:lang w:val="en-US"/>
              </w:rPr>
            </w:pPr>
            <w:r w:rsidRPr="0026705F">
              <w:rPr>
                <w:color w:val="000000"/>
                <w:sz w:val="18"/>
                <w:szCs w:val="18"/>
                <w:lang w:val="en-US"/>
              </w:rPr>
              <w:t>0,444</w:t>
            </w:r>
          </w:p>
        </w:tc>
        <w:tc>
          <w:tcPr>
            <w:tcW w:w="925" w:type="dxa"/>
            <w:vAlign w:val="center"/>
          </w:tcPr>
          <w:p w14:paraId="7459400A" w14:textId="72C38BE2" w:rsidR="00026F37" w:rsidRPr="0026705F" w:rsidRDefault="00026F37" w:rsidP="00026F37">
            <w:pPr>
              <w:spacing w:line="360" w:lineRule="auto"/>
              <w:jc w:val="center"/>
              <w:rPr>
                <w:sz w:val="18"/>
                <w:szCs w:val="18"/>
                <w:lang w:val="en-US"/>
              </w:rPr>
            </w:pPr>
            <w:r w:rsidRPr="0026705F">
              <w:rPr>
                <w:color w:val="000000"/>
                <w:sz w:val="18"/>
                <w:szCs w:val="18"/>
                <w:lang w:val="en-US"/>
              </w:rPr>
              <w:t>0,943</w:t>
            </w:r>
          </w:p>
        </w:tc>
        <w:tc>
          <w:tcPr>
            <w:tcW w:w="964" w:type="dxa"/>
            <w:vAlign w:val="center"/>
          </w:tcPr>
          <w:p w14:paraId="1EFAAD1B" w14:textId="51304C06"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663FA11A" w14:textId="4951FCC7" w:rsidR="00026F37" w:rsidRPr="0026705F" w:rsidRDefault="00026F37" w:rsidP="00026F37">
            <w:pPr>
              <w:spacing w:line="360" w:lineRule="auto"/>
              <w:jc w:val="center"/>
              <w:rPr>
                <w:sz w:val="18"/>
                <w:szCs w:val="18"/>
                <w:lang w:val="en-US"/>
              </w:rPr>
            </w:pPr>
            <w:r w:rsidRPr="0026705F">
              <w:rPr>
                <w:color w:val="000000"/>
                <w:sz w:val="18"/>
                <w:szCs w:val="18"/>
                <w:lang w:val="en-US"/>
              </w:rPr>
              <w:t>N/S</w:t>
            </w:r>
          </w:p>
        </w:tc>
        <w:tc>
          <w:tcPr>
            <w:tcW w:w="850" w:type="dxa"/>
            <w:vAlign w:val="center"/>
          </w:tcPr>
          <w:p w14:paraId="34D326A7" w14:textId="72624523" w:rsidR="00026F37" w:rsidRPr="0026705F" w:rsidRDefault="00026F37" w:rsidP="00026F37">
            <w:pPr>
              <w:spacing w:line="360" w:lineRule="auto"/>
              <w:jc w:val="center"/>
              <w:rPr>
                <w:sz w:val="18"/>
                <w:szCs w:val="18"/>
                <w:lang w:val="en-US"/>
              </w:rPr>
            </w:pPr>
            <w:r w:rsidRPr="0026705F">
              <w:rPr>
                <w:color w:val="000000"/>
                <w:sz w:val="18"/>
                <w:szCs w:val="18"/>
                <w:lang w:val="en-US"/>
              </w:rPr>
              <w:t>-30,782</w:t>
            </w:r>
          </w:p>
        </w:tc>
      </w:tr>
      <w:tr w:rsidR="00026F37" w:rsidRPr="0026705F" w14:paraId="7D8F84EB" w14:textId="237EB70D" w:rsidTr="004F155D">
        <w:tc>
          <w:tcPr>
            <w:tcW w:w="1209" w:type="dxa"/>
            <w:vAlign w:val="center"/>
          </w:tcPr>
          <w:p w14:paraId="4E34045D" w14:textId="35789EBC" w:rsidR="00026F37" w:rsidRPr="0026705F" w:rsidRDefault="00026F37" w:rsidP="00026F37">
            <w:pPr>
              <w:spacing w:line="360" w:lineRule="auto"/>
              <w:jc w:val="center"/>
              <w:rPr>
                <w:sz w:val="18"/>
                <w:szCs w:val="18"/>
                <w:lang w:val="en-US"/>
              </w:rPr>
            </w:pPr>
            <w:r w:rsidRPr="0026705F">
              <w:rPr>
                <w:i/>
                <w:iCs/>
                <w:color w:val="000000"/>
                <w:sz w:val="18"/>
                <w:szCs w:val="18"/>
                <w:lang w:val="en-US"/>
              </w:rPr>
              <w:t>CLIC3</w:t>
            </w:r>
          </w:p>
        </w:tc>
        <w:tc>
          <w:tcPr>
            <w:tcW w:w="925" w:type="dxa"/>
            <w:vAlign w:val="center"/>
          </w:tcPr>
          <w:p w14:paraId="3C9836E2" w14:textId="19676984" w:rsidR="00026F37" w:rsidRPr="0026705F" w:rsidRDefault="00026F37" w:rsidP="00026F37">
            <w:pPr>
              <w:spacing w:line="360" w:lineRule="auto"/>
              <w:jc w:val="center"/>
              <w:rPr>
                <w:sz w:val="18"/>
                <w:szCs w:val="18"/>
                <w:lang w:val="en-US"/>
              </w:rPr>
            </w:pPr>
            <w:r w:rsidRPr="0026705F">
              <w:rPr>
                <w:color w:val="000000"/>
                <w:sz w:val="18"/>
                <w:szCs w:val="18"/>
                <w:lang w:val="en-US"/>
              </w:rPr>
              <w:t>-1,61727</w:t>
            </w:r>
          </w:p>
        </w:tc>
        <w:tc>
          <w:tcPr>
            <w:tcW w:w="925" w:type="dxa"/>
            <w:vAlign w:val="center"/>
          </w:tcPr>
          <w:p w14:paraId="367E4070" w14:textId="1EF3484D" w:rsidR="00026F37" w:rsidRPr="0026705F" w:rsidRDefault="00026F37" w:rsidP="00026F37">
            <w:pPr>
              <w:spacing w:line="360" w:lineRule="auto"/>
              <w:jc w:val="center"/>
              <w:rPr>
                <w:sz w:val="18"/>
                <w:szCs w:val="18"/>
                <w:lang w:val="en-US"/>
              </w:rPr>
            </w:pPr>
            <w:r w:rsidRPr="0026705F">
              <w:rPr>
                <w:color w:val="000000"/>
                <w:sz w:val="18"/>
                <w:szCs w:val="18"/>
                <w:lang w:val="en-US"/>
              </w:rPr>
              <w:t>0,166</w:t>
            </w:r>
          </w:p>
        </w:tc>
        <w:tc>
          <w:tcPr>
            <w:tcW w:w="925" w:type="dxa"/>
            <w:vAlign w:val="center"/>
          </w:tcPr>
          <w:p w14:paraId="247AD557" w14:textId="76296D17" w:rsidR="00026F37" w:rsidRPr="0026705F" w:rsidRDefault="00026F37" w:rsidP="00026F37">
            <w:pPr>
              <w:spacing w:line="360" w:lineRule="auto"/>
              <w:jc w:val="center"/>
              <w:rPr>
                <w:sz w:val="18"/>
                <w:szCs w:val="18"/>
                <w:lang w:val="en-US"/>
              </w:rPr>
            </w:pPr>
            <w:r w:rsidRPr="0026705F">
              <w:rPr>
                <w:color w:val="000000"/>
                <w:sz w:val="18"/>
                <w:szCs w:val="18"/>
                <w:lang w:val="en-US"/>
              </w:rPr>
              <w:t>0,833</w:t>
            </w:r>
          </w:p>
        </w:tc>
        <w:tc>
          <w:tcPr>
            <w:tcW w:w="837" w:type="dxa"/>
            <w:vAlign w:val="center"/>
          </w:tcPr>
          <w:p w14:paraId="17573D7B" w14:textId="044D3ED2"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25AFC8D" w14:textId="12124E4D" w:rsidR="00026F37" w:rsidRPr="0026705F" w:rsidRDefault="00026F37" w:rsidP="00026F37">
            <w:pPr>
              <w:spacing w:line="360" w:lineRule="auto"/>
              <w:jc w:val="center"/>
              <w:rPr>
                <w:sz w:val="18"/>
                <w:szCs w:val="18"/>
                <w:lang w:val="en-US"/>
              </w:rPr>
            </w:pPr>
            <w:r w:rsidRPr="0026705F">
              <w:rPr>
                <w:color w:val="000000"/>
                <w:sz w:val="18"/>
                <w:szCs w:val="18"/>
                <w:lang w:val="en-US"/>
              </w:rPr>
              <w:t>-1,5986</w:t>
            </w:r>
          </w:p>
        </w:tc>
        <w:tc>
          <w:tcPr>
            <w:tcW w:w="925" w:type="dxa"/>
            <w:vAlign w:val="center"/>
          </w:tcPr>
          <w:p w14:paraId="07977EF9" w14:textId="6352A594" w:rsidR="00026F37" w:rsidRPr="0026705F" w:rsidRDefault="00026F37" w:rsidP="00026F37">
            <w:pPr>
              <w:spacing w:line="360" w:lineRule="auto"/>
              <w:jc w:val="center"/>
              <w:rPr>
                <w:sz w:val="18"/>
                <w:szCs w:val="18"/>
                <w:lang w:val="en-US"/>
              </w:rPr>
            </w:pPr>
            <w:r w:rsidRPr="0026705F">
              <w:rPr>
                <w:color w:val="000000"/>
                <w:sz w:val="18"/>
                <w:szCs w:val="18"/>
                <w:lang w:val="en-US"/>
              </w:rPr>
              <w:t>0,166</w:t>
            </w:r>
          </w:p>
        </w:tc>
        <w:tc>
          <w:tcPr>
            <w:tcW w:w="925" w:type="dxa"/>
            <w:vAlign w:val="center"/>
          </w:tcPr>
          <w:p w14:paraId="59EED073" w14:textId="74A71526" w:rsidR="00026F37" w:rsidRPr="0026705F" w:rsidRDefault="00026F37" w:rsidP="00026F37">
            <w:pPr>
              <w:spacing w:line="360" w:lineRule="auto"/>
              <w:jc w:val="center"/>
              <w:rPr>
                <w:sz w:val="18"/>
                <w:szCs w:val="18"/>
                <w:lang w:val="en-US"/>
              </w:rPr>
            </w:pPr>
            <w:r w:rsidRPr="0026705F">
              <w:rPr>
                <w:color w:val="000000"/>
                <w:sz w:val="18"/>
                <w:szCs w:val="18"/>
                <w:lang w:val="en-US"/>
              </w:rPr>
              <w:t>0,782</w:t>
            </w:r>
          </w:p>
        </w:tc>
        <w:tc>
          <w:tcPr>
            <w:tcW w:w="964" w:type="dxa"/>
            <w:vAlign w:val="center"/>
          </w:tcPr>
          <w:p w14:paraId="39BFBC3F" w14:textId="175FBD4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688626E8" w14:textId="3F0334F1" w:rsidR="00026F37" w:rsidRPr="0026705F" w:rsidRDefault="00026F37" w:rsidP="00026F37">
            <w:pPr>
              <w:spacing w:line="360" w:lineRule="auto"/>
              <w:jc w:val="center"/>
              <w:rPr>
                <w:sz w:val="18"/>
                <w:szCs w:val="18"/>
                <w:lang w:val="en-US"/>
              </w:rPr>
            </w:pPr>
            <w:r w:rsidRPr="0026705F">
              <w:rPr>
                <w:color w:val="000000"/>
                <w:sz w:val="18"/>
                <w:szCs w:val="18"/>
                <w:lang w:val="en-US"/>
              </w:rPr>
              <w:t>-4.004096448</w:t>
            </w:r>
          </w:p>
        </w:tc>
        <w:tc>
          <w:tcPr>
            <w:tcW w:w="850" w:type="dxa"/>
            <w:vAlign w:val="center"/>
          </w:tcPr>
          <w:p w14:paraId="4F413428" w14:textId="352D0747" w:rsidR="00026F37" w:rsidRPr="0026705F" w:rsidRDefault="00026F37" w:rsidP="00026F37">
            <w:pPr>
              <w:spacing w:line="360" w:lineRule="auto"/>
              <w:jc w:val="center"/>
              <w:rPr>
                <w:sz w:val="18"/>
                <w:szCs w:val="18"/>
                <w:lang w:val="en-US"/>
              </w:rPr>
            </w:pPr>
            <w:r w:rsidRPr="0026705F">
              <w:rPr>
                <w:color w:val="000000"/>
                <w:sz w:val="18"/>
                <w:szCs w:val="18"/>
                <w:lang w:val="en-US"/>
              </w:rPr>
              <w:t>N/S</w:t>
            </w:r>
          </w:p>
        </w:tc>
      </w:tr>
      <w:tr w:rsidR="00026F37" w:rsidRPr="0026705F" w14:paraId="4F178670" w14:textId="137AB27C" w:rsidTr="004F155D">
        <w:tc>
          <w:tcPr>
            <w:tcW w:w="1209" w:type="dxa"/>
            <w:vAlign w:val="center"/>
          </w:tcPr>
          <w:p w14:paraId="05EB2821" w14:textId="6F6E5C79" w:rsidR="00026F37" w:rsidRPr="0026705F" w:rsidRDefault="00026F37" w:rsidP="00026F37">
            <w:pPr>
              <w:spacing w:line="360" w:lineRule="auto"/>
              <w:jc w:val="center"/>
              <w:rPr>
                <w:sz w:val="18"/>
                <w:szCs w:val="18"/>
                <w:lang w:val="en-US"/>
              </w:rPr>
            </w:pPr>
            <w:r w:rsidRPr="0026705F">
              <w:rPr>
                <w:i/>
                <w:iCs/>
                <w:color w:val="000000"/>
                <w:sz w:val="18"/>
                <w:szCs w:val="18"/>
                <w:lang w:val="en-US"/>
              </w:rPr>
              <w:t>SPARC</w:t>
            </w:r>
          </w:p>
        </w:tc>
        <w:tc>
          <w:tcPr>
            <w:tcW w:w="925" w:type="dxa"/>
            <w:vAlign w:val="center"/>
          </w:tcPr>
          <w:p w14:paraId="296F3E1A" w14:textId="2F47B33D" w:rsidR="00026F37" w:rsidRPr="0026705F" w:rsidRDefault="00026F37" w:rsidP="00026F37">
            <w:pPr>
              <w:spacing w:line="360" w:lineRule="auto"/>
              <w:jc w:val="center"/>
              <w:rPr>
                <w:sz w:val="18"/>
                <w:szCs w:val="18"/>
                <w:lang w:val="en-US"/>
              </w:rPr>
            </w:pPr>
            <w:r w:rsidRPr="0026705F">
              <w:rPr>
                <w:color w:val="000000"/>
                <w:sz w:val="18"/>
                <w:szCs w:val="18"/>
                <w:lang w:val="en-US"/>
              </w:rPr>
              <w:t>-1,70121</w:t>
            </w:r>
          </w:p>
        </w:tc>
        <w:tc>
          <w:tcPr>
            <w:tcW w:w="925" w:type="dxa"/>
            <w:vAlign w:val="center"/>
          </w:tcPr>
          <w:p w14:paraId="2BAE2332" w14:textId="4E6F0387" w:rsidR="00026F37" w:rsidRPr="0026705F" w:rsidRDefault="00026F37" w:rsidP="00026F37">
            <w:pPr>
              <w:spacing w:line="360" w:lineRule="auto"/>
              <w:jc w:val="center"/>
              <w:rPr>
                <w:sz w:val="18"/>
                <w:szCs w:val="18"/>
                <w:lang w:val="en-US"/>
              </w:rPr>
            </w:pPr>
            <w:r w:rsidRPr="0026705F">
              <w:rPr>
                <w:color w:val="000000"/>
                <w:sz w:val="18"/>
                <w:szCs w:val="18"/>
                <w:lang w:val="en-US"/>
              </w:rPr>
              <w:t>0,886</w:t>
            </w:r>
          </w:p>
        </w:tc>
        <w:tc>
          <w:tcPr>
            <w:tcW w:w="925" w:type="dxa"/>
            <w:vAlign w:val="center"/>
          </w:tcPr>
          <w:p w14:paraId="5288EE09" w14:textId="13E7363A" w:rsidR="00026F37" w:rsidRPr="0026705F" w:rsidRDefault="00026F37" w:rsidP="00026F37">
            <w:pPr>
              <w:spacing w:line="360" w:lineRule="auto"/>
              <w:jc w:val="center"/>
              <w:rPr>
                <w:sz w:val="18"/>
                <w:szCs w:val="18"/>
                <w:lang w:val="en-US"/>
              </w:rPr>
            </w:pPr>
            <w:r w:rsidRPr="0026705F">
              <w:rPr>
                <w:color w:val="000000"/>
                <w:sz w:val="18"/>
                <w:szCs w:val="18"/>
                <w:lang w:val="en-US"/>
              </w:rPr>
              <w:t>0,996</w:t>
            </w:r>
          </w:p>
        </w:tc>
        <w:tc>
          <w:tcPr>
            <w:tcW w:w="837" w:type="dxa"/>
            <w:vAlign w:val="center"/>
          </w:tcPr>
          <w:p w14:paraId="6A20A3F0" w14:textId="33A72AFF"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453C7567" w14:textId="24006BC1" w:rsidR="00026F37" w:rsidRPr="0026705F" w:rsidRDefault="00026F37" w:rsidP="00026F37">
            <w:pPr>
              <w:spacing w:line="360" w:lineRule="auto"/>
              <w:jc w:val="center"/>
              <w:rPr>
                <w:sz w:val="18"/>
                <w:szCs w:val="18"/>
                <w:lang w:val="en-US"/>
              </w:rPr>
            </w:pPr>
            <w:r w:rsidRPr="0026705F">
              <w:rPr>
                <w:color w:val="000000"/>
                <w:sz w:val="18"/>
                <w:szCs w:val="18"/>
                <w:lang w:val="en-US"/>
              </w:rPr>
              <w:t>-2,03238</w:t>
            </w:r>
          </w:p>
        </w:tc>
        <w:tc>
          <w:tcPr>
            <w:tcW w:w="925" w:type="dxa"/>
            <w:vAlign w:val="center"/>
          </w:tcPr>
          <w:p w14:paraId="3B70CB28" w14:textId="3F3293B8" w:rsidR="00026F37" w:rsidRPr="0026705F" w:rsidRDefault="00026F37" w:rsidP="00026F37">
            <w:pPr>
              <w:spacing w:line="360" w:lineRule="auto"/>
              <w:jc w:val="center"/>
              <w:rPr>
                <w:sz w:val="18"/>
                <w:szCs w:val="18"/>
                <w:lang w:val="en-US"/>
              </w:rPr>
            </w:pPr>
            <w:r w:rsidRPr="0026705F">
              <w:rPr>
                <w:color w:val="000000"/>
                <w:sz w:val="18"/>
                <w:szCs w:val="18"/>
                <w:lang w:val="en-US"/>
              </w:rPr>
              <w:t>0,886</w:t>
            </w:r>
          </w:p>
        </w:tc>
        <w:tc>
          <w:tcPr>
            <w:tcW w:w="925" w:type="dxa"/>
            <w:vAlign w:val="center"/>
          </w:tcPr>
          <w:p w14:paraId="712EA18F" w14:textId="1259D40F" w:rsidR="00026F37" w:rsidRPr="0026705F" w:rsidRDefault="00026F37" w:rsidP="00026F37">
            <w:pPr>
              <w:spacing w:line="360" w:lineRule="auto"/>
              <w:jc w:val="center"/>
              <w:rPr>
                <w:sz w:val="18"/>
                <w:szCs w:val="18"/>
                <w:lang w:val="en-US"/>
              </w:rPr>
            </w:pPr>
            <w:r w:rsidRPr="0026705F">
              <w:rPr>
                <w:color w:val="000000"/>
                <w:sz w:val="18"/>
                <w:szCs w:val="18"/>
                <w:lang w:val="en-US"/>
              </w:rPr>
              <w:t>0,998</w:t>
            </w:r>
          </w:p>
        </w:tc>
        <w:tc>
          <w:tcPr>
            <w:tcW w:w="964" w:type="dxa"/>
            <w:vAlign w:val="center"/>
          </w:tcPr>
          <w:p w14:paraId="24F8D799" w14:textId="07D0F231"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6A300408" w14:textId="65C1C29E" w:rsidR="00026F37" w:rsidRPr="0026705F" w:rsidRDefault="00026F37" w:rsidP="00026F37">
            <w:pPr>
              <w:spacing w:line="360" w:lineRule="auto"/>
              <w:jc w:val="center"/>
              <w:rPr>
                <w:sz w:val="18"/>
                <w:szCs w:val="18"/>
                <w:lang w:val="en-US"/>
              </w:rPr>
            </w:pPr>
            <w:r w:rsidRPr="0026705F">
              <w:rPr>
                <w:color w:val="000000"/>
                <w:sz w:val="18"/>
                <w:szCs w:val="18"/>
                <w:lang w:val="en-US"/>
              </w:rPr>
              <w:t>-3.27378479</w:t>
            </w:r>
          </w:p>
        </w:tc>
        <w:tc>
          <w:tcPr>
            <w:tcW w:w="850" w:type="dxa"/>
            <w:vAlign w:val="center"/>
          </w:tcPr>
          <w:p w14:paraId="651DEB41" w14:textId="55540415" w:rsidR="00026F37" w:rsidRPr="0026705F" w:rsidRDefault="00026F37" w:rsidP="00026F37">
            <w:pPr>
              <w:spacing w:line="360" w:lineRule="auto"/>
              <w:jc w:val="center"/>
              <w:rPr>
                <w:sz w:val="18"/>
                <w:szCs w:val="18"/>
                <w:lang w:val="en-US"/>
              </w:rPr>
            </w:pPr>
            <w:r w:rsidRPr="0026705F">
              <w:rPr>
                <w:color w:val="000000"/>
                <w:sz w:val="18"/>
                <w:szCs w:val="18"/>
                <w:lang w:val="en-US"/>
              </w:rPr>
              <w:t>-15,371</w:t>
            </w:r>
          </w:p>
        </w:tc>
      </w:tr>
      <w:tr w:rsidR="00026F37" w:rsidRPr="0026705F" w14:paraId="2710A4EA" w14:textId="47D6FCE5" w:rsidTr="004F155D">
        <w:tc>
          <w:tcPr>
            <w:tcW w:w="1209" w:type="dxa"/>
            <w:vAlign w:val="center"/>
          </w:tcPr>
          <w:p w14:paraId="548D673B" w14:textId="77DE876A" w:rsidR="00026F37" w:rsidRPr="0026705F" w:rsidRDefault="00026F37" w:rsidP="00026F37">
            <w:pPr>
              <w:spacing w:line="360" w:lineRule="auto"/>
              <w:jc w:val="center"/>
              <w:rPr>
                <w:sz w:val="18"/>
                <w:szCs w:val="18"/>
                <w:lang w:val="en-US"/>
              </w:rPr>
            </w:pPr>
            <w:r w:rsidRPr="0026705F">
              <w:rPr>
                <w:i/>
                <w:iCs/>
                <w:color w:val="000000"/>
                <w:sz w:val="18"/>
                <w:szCs w:val="18"/>
                <w:lang w:val="en-US"/>
              </w:rPr>
              <w:t>EFEMP1</w:t>
            </w:r>
          </w:p>
        </w:tc>
        <w:tc>
          <w:tcPr>
            <w:tcW w:w="925" w:type="dxa"/>
            <w:vAlign w:val="center"/>
          </w:tcPr>
          <w:p w14:paraId="4FBE1587" w14:textId="6CB3ED2B" w:rsidR="00026F37" w:rsidRPr="0026705F" w:rsidRDefault="00026F37" w:rsidP="00026F37">
            <w:pPr>
              <w:spacing w:line="360" w:lineRule="auto"/>
              <w:jc w:val="center"/>
              <w:rPr>
                <w:sz w:val="18"/>
                <w:szCs w:val="18"/>
                <w:lang w:val="en-US"/>
              </w:rPr>
            </w:pPr>
            <w:r w:rsidRPr="0026705F">
              <w:rPr>
                <w:color w:val="000000"/>
                <w:sz w:val="18"/>
                <w:szCs w:val="18"/>
                <w:lang w:val="en-US"/>
              </w:rPr>
              <w:t>-1,7381</w:t>
            </w:r>
          </w:p>
        </w:tc>
        <w:tc>
          <w:tcPr>
            <w:tcW w:w="925" w:type="dxa"/>
            <w:vAlign w:val="center"/>
          </w:tcPr>
          <w:p w14:paraId="4A4CC6BE" w14:textId="5E62E2FF" w:rsidR="00026F37" w:rsidRPr="0026705F" w:rsidRDefault="00026F37" w:rsidP="00026F37">
            <w:pPr>
              <w:spacing w:line="360" w:lineRule="auto"/>
              <w:jc w:val="center"/>
              <w:rPr>
                <w:sz w:val="18"/>
                <w:szCs w:val="18"/>
                <w:lang w:val="en-US"/>
              </w:rPr>
            </w:pPr>
            <w:r w:rsidRPr="0026705F">
              <w:rPr>
                <w:color w:val="000000"/>
                <w:sz w:val="18"/>
                <w:szCs w:val="18"/>
                <w:lang w:val="en-US"/>
              </w:rPr>
              <w:t>0,2</w:t>
            </w:r>
          </w:p>
        </w:tc>
        <w:tc>
          <w:tcPr>
            <w:tcW w:w="925" w:type="dxa"/>
            <w:vAlign w:val="center"/>
          </w:tcPr>
          <w:p w14:paraId="7E7133AC" w14:textId="12AB2921" w:rsidR="00026F37" w:rsidRPr="0026705F" w:rsidRDefault="00026F37" w:rsidP="00026F37">
            <w:pPr>
              <w:spacing w:line="360" w:lineRule="auto"/>
              <w:jc w:val="center"/>
              <w:rPr>
                <w:sz w:val="18"/>
                <w:szCs w:val="18"/>
                <w:lang w:val="en-US"/>
              </w:rPr>
            </w:pPr>
            <w:r w:rsidRPr="0026705F">
              <w:rPr>
                <w:color w:val="000000"/>
                <w:sz w:val="18"/>
                <w:szCs w:val="18"/>
                <w:lang w:val="en-US"/>
              </w:rPr>
              <w:t>0,908</w:t>
            </w:r>
          </w:p>
        </w:tc>
        <w:tc>
          <w:tcPr>
            <w:tcW w:w="837" w:type="dxa"/>
            <w:vAlign w:val="center"/>
          </w:tcPr>
          <w:p w14:paraId="57D846B8" w14:textId="5B4E9208"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6C0043B" w14:textId="1D09A709" w:rsidR="00026F37" w:rsidRPr="0026705F" w:rsidRDefault="00026F37" w:rsidP="00026F37">
            <w:pPr>
              <w:spacing w:line="360" w:lineRule="auto"/>
              <w:jc w:val="center"/>
              <w:rPr>
                <w:sz w:val="18"/>
                <w:szCs w:val="18"/>
                <w:lang w:val="en-US"/>
              </w:rPr>
            </w:pPr>
            <w:r w:rsidRPr="0026705F">
              <w:rPr>
                <w:color w:val="000000"/>
                <w:sz w:val="18"/>
                <w:szCs w:val="18"/>
                <w:lang w:val="en-US"/>
              </w:rPr>
              <w:t>-1,78376</w:t>
            </w:r>
          </w:p>
        </w:tc>
        <w:tc>
          <w:tcPr>
            <w:tcW w:w="925" w:type="dxa"/>
            <w:vAlign w:val="center"/>
          </w:tcPr>
          <w:p w14:paraId="1F6F1D2F" w14:textId="1659BE6B" w:rsidR="00026F37" w:rsidRPr="0026705F" w:rsidRDefault="00026F37" w:rsidP="00026F37">
            <w:pPr>
              <w:spacing w:line="360" w:lineRule="auto"/>
              <w:jc w:val="center"/>
              <w:rPr>
                <w:sz w:val="18"/>
                <w:szCs w:val="18"/>
                <w:lang w:val="en-US"/>
              </w:rPr>
            </w:pPr>
            <w:r w:rsidRPr="0026705F">
              <w:rPr>
                <w:color w:val="000000"/>
                <w:sz w:val="18"/>
                <w:szCs w:val="18"/>
                <w:lang w:val="en-US"/>
              </w:rPr>
              <w:t>0,2</w:t>
            </w:r>
          </w:p>
        </w:tc>
        <w:tc>
          <w:tcPr>
            <w:tcW w:w="925" w:type="dxa"/>
            <w:vAlign w:val="center"/>
          </w:tcPr>
          <w:p w14:paraId="04BF4E13" w14:textId="0BEAC08D" w:rsidR="00026F37" w:rsidRPr="0026705F" w:rsidRDefault="00026F37" w:rsidP="00026F37">
            <w:pPr>
              <w:spacing w:line="360" w:lineRule="auto"/>
              <w:jc w:val="center"/>
              <w:rPr>
                <w:sz w:val="18"/>
                <w:szCs w:val="18"/>
                <w:lang w:val="en-US"/>
              </w:rPr>
            </w:pPr>
            <w:r w:rsidRPr="0026705F">
              <w:rPr>
                <w:color w:val="000000"/>
                <w:sz w:val="18"/>
                <w:szCs w:val="18"/>
                <w:lang w:val="en-US"/>
              </w:rPr>
              <w:t>0,894</w:t>
            </w:r>
          </w:p>
        </w:tc>
        <w:tc>
          <w:tcPr>
            <w:tcW w:w="964" w:type="dxa"/>
            <w:vAlign w:val="center"/>
          </w:tcPr>
          <w:p w14:paraId="3A22D2A5" w14:textId="5D6EE556"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11F60AFF" w14:textId="132D8DEC" w:rsidR="00026F37" w:rsidRPr="0026705F" w:rsidRDefault="00026F37" w:rsidP="00026F37">
            <w:pPr>
              <w:spacing w:line="360" w:lineRule="auto"/>
              <w:jc w:val="center"/>
              <w:rPr>
                <w:sz w:val="18"/>
                <w:szCs w:val="18"/>
                <w:lang w:val="en-US"/>
              </w:rPr>
            </w:pPr>
            <w:r w:rsidRPr="0026705F">
              <w:rPr>
                <w:color w:val="000000"/>
                <w:sz w:val="18"/>
                <w:szCs w:val="18"/>
                <w:lang w:val="en-US"/>
              </w:rPr>
              <w:t>-3.323299768</w:t>
            </w:r>
          </w:p>
        </w:tc>
        <w:tc>
          <w:tcPr>
            <w:tcW w:w="850" w:type="dxa"/>
            <w:vAlign w:val="center"/>
          </w:tcPr>
          <w:p w14:paraId="1DB0C6B1" w14:textId="55AA469D" w:rsidR="00026F37" w:rsidRPr="0026705F" w:rsidRDefault="00026F37" w:rsidP="00026F37">
            <w:pPr>
              <w:spacing w:line="360" w:lineRule="auto"/>
              <w:jc w:val="center"/>
              <w:rPr>
                <w:sz w:val="18"/>
                <w:szCs w:val="18"/>
                <w:lang w:val="en-US"/>
              </w:rPr>
            </w:pPr>
            <w:r w:rsidRPr="0026705F">
              <w:rPr>
                <w:color w:val="000000"/>
                <w:sz w:val="18"/>
                <w:szCs w:val="18"/>
                <w:lang w:val="en-US"/>
              </w:rPr>
              <w:t>-26,327</w:t>
            </w:r>
          </w:p>
        </w:tc>
      </w:tr>
      <w:tr w:rsidR="00026F37" w:rsidRPr="0026705F" w14:paraId="2483CAA9" w14:textId="21C3448D" w:rsidTr="004F155D">
        <w:tc>
          <w:tcPr>
            <w:tcW w:w="1209" w:type="dxa"/>
            <w:vAlign w:val="center"/>
          </w:tcPr>
          <w:p w14:paraId="44937B66" w14:textId="2EFDD848" w:rsidR="00026F37" w:rsidRPr="0026705F" w:rsidRDefault="00026F37" w:rsidP="00026F37">
            <w:pPr>
              <w:spacing w:line="360" w:lineRule="auto"/>
              <w:jc w:val="center"/>
              <w:rPr>
                <w:sz w:val="18"/>
                <w:szCs w:val="18"/>
                <w:lang w:val="en-US"/>
              </w:rPr>
            </w:pPr>
            <w:r w:rsidRPr="0026705F">
              <w:rPr>
                <w:i/>
                <w:iCs/>
                <w:color w:val="000000"/>
                <w:sz w:val="18"/>
                <w:szCs w:val="18"/>
                <w:lang w:val="en-US"/>
              </w:rPr>
              <w:t>CDH2</w:t>
            </w:r>
          </w:p>
        </w:tc>
        <w:tc>
          <w:tcPr>
            <w:tcW w:w="925" w:type="dxa"/>
            <w:vAlign w:val="center"/>
          </w:tcPr>
          <w:p w14:paraId="68F1E273" w14:textId="4D9E8BCC" w:rsidR="00026F37" w:rsidRPr="0026705F" w:rsidRDefault="00026F37" w:rsidP="00026F37">
            <w:pPr>
              <w:spacing w:line="360" w:lineRule="auto"/>
              <w:jc w:val="center"/>
              <w:rPr>
                <w:sz w:val="18"/>
                <w:szCs w:val="18"/>
                <w:lang w:val="en-US"/>
              </w:rPr>
            </w:pPr>
            <w:r w:rsidRPr="0026705F">
              <w:rPr>
                <w:color w:val="000000"/>
                <w:sz w:val="18"/>
                <w:szCs w:val="18"/>
                <w:lang w:val="en-US"/>
              </w:rPr>
              <w:t>-1,80326</w:t>
            </w:r>
          </w:p>
        </w:tc>
        <w:tc>
          <w:tcPr>
            <w:tcW w:w="925" w:type="dxa"/>
            <w:vAlign w:val="center"/>
          </w:tcPr>
          <w:p w14:paraId="22895349" w14:textId="6BE4BC55" w:rsidR="00026F37" w:rsidRPr="0026705F" w:rsidRDefault="00026F37" w:rsidP="00026F37">
            <w:pPr>
              <w:spacing w:line="360" w:lineRule="auto"/>
              <w:jc w:val="center"/>
              <w:rPr>
                <w:sz w:val="18"/>
                <w:szCs w:val="18"/>
                <w:lang w:val="en-US"/>
              </w:rPr>
            </w:pPr>
            <w:r w:rsidRPr="0026705F">
              <w:rPr>
                <w:color w:val="000000"/>
                <w:sz w:val="18"/>
                <w:szCs w:val="18"/>
                <w:lang w:val="en-US"/>
              </w:rPr>
              <w:t>0,162</w:t>
            </w:r>
          </w:p>
        </w:tc>
        <w:tc>
          <w:tcPr>
            <w:tcW w:w="925" w:type="dxa"/>
            <w:vAlign w:val="center"/>
          </w:tcPr>
          <w:p w14:paraId="094CD484" w14:textId="4119EDA8" w:rsidR="00026F37" w:rsidRPr="0026705F" w:rsidRDefault="00026F37" w:rsidP="00026F37">
            <w:pPr>
              <w:spacing w:line="360" w:lineRule="auto"/>
              <w:jc w:val="center"/>
              <w:rPr>
                <w:sz w:val="18"/>
                <w:szCs w:val="18"/>
                <w:lang w:val="en-US"/>
              </w:rPr>
            </w:pPr>
            <w:r w:rsidRPr="0026705F">
              <w:rPr>
                <w:color w:val="000000"/>
                <w:sz w:val="18"/>
                <w:szCs w:val="18"/>
                <w:lang w:val="en-US"/>
              </w:rPr>
              <w:t>0,942</w:t>
            </w:r>
          </w:p>
        </w:tc>
        <w:tc>
          <w:tcPr>
            <w:tcW w:w="837" w:type="dxa"/>
            <w:vAlign w:val="center"/>
          </w:tcPr>
          <w:p w14:paraId="638179E2" w14:textId="26D99FCD"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6A4D3454" w14:textId="05CC0A7A" w:rsidR="00026F37" w:rsidRPr="0026705F" w:rsidRDefault="00026F37" w:rsidP="00026F37">
            <w:pPr>
              <w:spacing w:line="360" w:lineRule="auto"/>
              <w:jc w:val="center"/>
              <w:rPr>
                <w:sz w:val="18"/>
                <w:szCs w:val="18"/>
                <w:lang w:val="en-US"/>
              </w:rPr>
            </w:pPr>
            <w:r w:rsidRPr="0026705F">
              <w:rPr>
                <w:color w:val="000000"/>
                <w:sz w:val="18"/>
                <w:szCs w:val="18"/>
                <w:lang w:val="en-US"/>
              </w:rPr>
              <w:t>-2,05581</w:t>
            </w:r>
          </w:p>
        </w:tc>
        <w:tc>
          <w:tcPr>
            <w:tcW w:w="925" w:type="dxa"/>
            <w:vAlign w:val="center"/>
          </w:tcPr>
          <w:p w14:paraId="2EDD79D2" w14:textId="7FBA9780" w:rsidR="00026F37" w:rsidRPr="0026705F" w:rsidRDefault="00026F37" w:rsidP="00026F37">
            <w:pPr>
              <w:spacing w:line="360" w:lineRule="auto"/>
              <w:jc w:val="center"/>
              <w:rPr>
                <w:sz w:val="18"/>
                <w:szCs w:val="18"/>
                <w:lang w:val="en-US"/>
              </w:rPr>
            </w:pPr>
            <w:r w:rsidRPr="0026705F">
              <w:rPr>
                <w:color w:val="000000"/>
                <w:sz w:val="18"/>
                <w:szCs w:val="18"/>
                <w:lang w:val="en-US"/>
              </w:rPr>
              <w:t>0,162</w:t>
            </w:r>
          </w:p>
        </w:tc>
        <w:tc>
          <w:tcPr>
            <w:tcW w:w="925" w:type="dxa"/>
            <w:vAlign w:val="center"/>
          </w:tcPr>
          <w:p w14:paraId="01973812" w14:textId="3452F7A5" w:rsidR="00026F37" w:rsidRPr="0026705F" w:rsidRDefault="00026F37" w:rsidP="00026F37">
            <w:pPr>
              <w:spacing w:line="360" w:lineRule="auto"/>
              <w:jc w:val="center"/>
              <w:rPr>
                <w:sz w:val="18"/>
                <w:szCs w:val="18"/>
                <w:lang w:val="en-US"/>
              </w:rPr>
            </w:pPr>
            <w:r w:rsidRPr="0026705F">
              <w:rPr>
                <w:color w:val="000000"/>
                <w:sz w:val="18"/>
                <w:szCs w:val="18"/>
                <w:lang w:val="en-US"/>
              </w:rPr>
              <w:t>0,941</w:t>
            </w:r>
          </w:p>
        </w:tc>
        <w:tc>
          <w:tcPr>
            <w:tcW w:w="964" w:type="dxa"/>
            <w:vAlign w:val="center"/>
          </w:tcPr>
          <w:p w14:paraId="214EC8A8" w14:textId="5D94568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22FB79FE" w14:textId="0063D180" w:rsidR="00026F37" w:rsidRPr="0026705F" w:rsidRDefault="00026F37" w:rsidP="00026F37">
            <w:pPr>
              <w:spacing w:line="360" w:lineRule="auto"/>
              <w:jc w:val="center"/>
              <w:rPr>
                <w:sz w:val="18"/>
                <w:szCs w:val="18"/>
                <w:lang w:val="en-US"/>
              </w:rPr>
            </w:pPr>
            <w:r w:rsidRPr="0026705F">
              <w:rPr>
                <w:color w:val="000000"/>
                <w:sz w:val="18"/>
                <w:szCs w:val="18"/>
                <w:lang w:val="en-US"/>
              </w:rPr>
              <w:t>-4.222925846</w:t>
            </w:r>
          </w:p>
        </w:tc>
        <w:tc>
          <w:tcPr>
            <w:tcW w:w="850" w:type="dxa"/>
            <w:vAlign w:val="center"/>
          </w:tcPr>
          <w:p w14:paraId="5B299D4D" w14:textId="1068D486" w:rsidR="00026F37" w:rsidRPr="0026705F" w:rsidRDefault="00026F37" w:rsidP="00026F37">
            <w:pPr>
              <w:spacing w:line="360" w:lineRule="auto"/>
              <w:jc w:val="center"/>
              <w:rPr>
                <w:sz w:val="18"/>
                <w:szCs w:val="18"/>
                <w:lang w:val="en-US"/>
              </w:rPr>
            </w:pPr>
            <w:r w:rsidRPr="0026705F">
              <w:rPr>
                <w:color w:val="000000"/>
                <w:sz w:val="18"/>
                <w:szCs w:val="18"/>
                <w:lang w:val="en-US"/>
              </w:rPr>
              <w:t>-31,613</w:t>
            </w:r>
          </w:p>
        </w:tc>
      </w:tr>
      <w:tr w:rsidR="00026F37" w:rsidRPr="0026705F" w14:paraId="4566C854" w14:textId="66848922" w:rsidTr="004F155D">
        <w:tc>
          <w:tcPr>
            <w:tcW w:w="1209" w:type="dxa"/>
            <w:vAlign w:val="center"/>
          </w:tcPr>
          <w:p w14:paraId="6F027083" w14:textId="5B5F15DA" w:rsidR="00026F37" w:rsidRPr="0026705F" w:rsidRDefault="00026F37" w:rsidP="00026F37">
            <w:pPr>
              <w:spacing w:line="360" w:lineRule="auto"/>
              <w:jc w:val="center"/>
              <w:rPr>
                <w:sz w:val="18"/>
                <w:szCs w:val="18"/>
                <w:lang w:val="en-US"/>
              </w:rPr>
            </w:pPr>
            <w:r w:rsidRPr="0026705F">
              <w:rPr>
                <w:i/>
                <w:iCs/>
                <w:color w:val="000000"/>
                <w:sz w:val="18"/>
                <w:szCs w:val="18"/>
                <w:lang w:val="en-US"/>
              </w:rPr>
              <w:t>TPM1</w:t>
            </w:r>
          </w:p>
        </w:tc>
        <w:tc>
          <w:tcPr>
            <w:tcW w:w="925" w:type="dxa"/>
            <w:vAlign w:val="center"/>
          </w:tcPr>
          <w:p w14:paraId="4BA3377E" w14:textId="5665F0A4" w:rsidR="00026F37" w:rsidRPr="0026705F" w:rsidRDefault="00026F37" w:rsidP="00026F37">
            <w:pPr>
              <w:spacing w:line="360" w:lineRule="auto"/>
              <w:jc w:val="center"/>
              <w:rPr>
                <w:sz w:val="18"/>
                <w:szCs w:val="18"/>
                <w:lang w:val="en-US"/>
              </w:rPr>
            </w:pPr>
            <w:r w:rsidRPr="0026705F">
              <w:rPr>
                <w:color w:val="000000"/>
                <w:sz w:val="18"/>
                <w:szCs w:val="18"/>
                <w:lang w:val="en-US"/>
              </w:rPr>
              <w:t>-1,83299</w:t>
            </w:r>
          </w:p>
        </w:tc>
        <w:tc>
          <w:tcPr>
            <w:tcW w:w="925" w:type="dxa"/>
            <w:vAlign w:val="center"/>
          </w:tcPr>
          <w:p w14:paraId="4F94B7D0" w14:textId="224290B1" w:rsidR="00026F37" w:rsidRPr="0026705F" w:rsidRDefault="00026F37" w:rsidP="00026F37">
            <w:pPr>
              <w:spacing w:line="360" w:lineRule="auto"/>
              <w:jc w:val="center"/>
              <w:rPr>
                <w:sz w:val="18"/>
                <w:szCs w:val="18"/>
                <w:lang w:val="en-US"/>
              </w:rPr>
            </w:pPr>
            <w:r w:rsidRPr="0026705F">
              <w:rPr>
                <w:color w:val="000000"/>
                <w:sz w:val="18"/>
                <w:szCs w:val="18"/>
                <w:lang w:val="en-US"/>
              </w:rPr>
              <w:t>0,894</w:t>
            </w:r>
          </w:p>
        </w:tc>
        <w:tc>
          <w:tcPr>
            <w:tcW w:w="925" w:type="dxa"/>
            <w:vAlign w:val="center"/>
          </w:tcPr>
          <w:p w14:paraId="175C74A4" w14:textId="6EB592FD" w:rsidR="00026F37" w:rsidRPr="0026705F" w:rsidRDefault="00026F37" w:rsidP="00026F37">
            <w:pPr>
              <w:spacing w:line="360" w:lineRule="auto"/>
              <w:jc w:val="center"/>
              <w:rPr>
                <w:sz w:val="18"/>
                <w:szCs w:val="18"/>
                <w:lang w:val="en-US"/>
              </w:rPr>
            </w:pPr>
            <w:r w:rsidRPr="0026705F">
              <w:rPr>
                <w:color w:val="000000"/>
                <w:sz w:val="18"/>
                <w:szCs w:val="18"/>
                <w:lang w:val="en-US"/>
              </w:rPr>
              <w:t>0,999</w:t>
            </w:r>
          </w:p>
        </w:tc>
        <w:tc>
          <w:tcPr>
            <w:tcW w:w="837" w:type="dxa"/>
            <w:vAlign w:val="center"/>
          </w:tcPr>
          <w:p w14:paraId="50F37565" w14:textId="39E5DD42"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326405C7" w14:textId="0FE58B41" w:rsidR="00026F37" w:rsidRPr="0026705F" w:rsidRDefault="00026F37" w:rsidP="00026F37">
            <w:pPr>
              <w:spacing w:line="360" w:lineRule="auto"/>
              <w:jc w:val="center"/>
              <w:rPr>
                <w:sz w:val="18"/>
                <w:szCs w:val="18"/>
                <w:lang w:val="en-US"/>
              </w:rPr>
            </w:pPr>
            <w:r w:rsidRPr="0026705F">
              <w:rPr>
                <w:color w:val="000000"/>
                <w:sz w:val="18"/>
                <w:szCs w:val="18"/>
                <w:lang w:val="en-US"/>
              </w:rPr>
              <w:t>-2,07155</w:t>
            </w:r>
          </w:p>
        </w:tc>
        <w:tc>
          <w:tcPr>
            <w:tcW w:w="925" w:type="dxa"/>
            <w:vAlign w:val="center"/>
          </w:tcPr>
          <w:p w14:paraId="423E7EDB" w14:textId="741BE6B8" w:rsidR="00026F37" w:rsidRPr="0026705F" w:rsidRDefault="00026F37" w:rsidP="00026F37">
            <w:pPr>
              <w:spacing w:line="360" w:lineRule="auto"/>
              <w:jc w:val="center"/>
              <w:rPr>
                <w:sz w:val="18"/>
                <w:szCs w:val="18"/>
                <w:lang w:val="en-US"/>
              </w:rPr>
            </w:pPr>
            <w:r w:rsidRPr="0026705F">
              <w:rPr>
                <w:color w:val="000000"/>
                <w:sz w:val="18"/>
                <w:szCs w:val="18"/>
                <w:lang w:val="en-US"/>
              </w:rPr>
              <w:t>0,894</w:t>
            </w:r>
          </w:p>
        </w:tc>
        <w:tc>
          <w:tcPr>
            <w:tcW w:w="925" w:type="dxa"/>
            <w:vAlign w:val="center"/>
          </w:tcPr>
          <w:p w14:paraId="7295700C" w14:textId="6D6F2431" w:rsidR="00026F37" w:rsidRPr="0026705F" w:rsidRDefault="00026F37" w:rsidP="00026F37">
            <w:pPr>
              <w:spacing w:line="360" w:lineRule="auto"/>
              <w:jc w:val="center"/>
              <w:rPr>
                <w:sz w:val="18"/>
                <w:szCs w:val="18"/>
                <w:lang w:val="en-US"/>
              </w:rPr>
            </w:pPr>
            <w:r w:rsidRPr="0026705F">
              <w:rPr>
                <w:color w:val="000000"/>
                <w:sz w:val="18"/>
                <w:szCs w:val="18"/>
                <w:lang w:val="en-US"/>
              </w:rPr>
              <w:t>0,999</w:t>
            </w:r>
          </w:p>
        </w:tc>
        <w:tc>
          <w:tcPr>
            <w:tcW w:w="964" w:type="dxa"/>
            <w:vAlign w:val="center"/>
          </w:tcPr>
          <w:p w14:paraId="69F86A0D" w14:textId="17D884B4"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57647EF1" w14:textId="20ADD4ED" w:rsidR="00026F37" w:rsidRPr="0026705F" w:rsidRDefault="00026F37" w:rsidP="00026F37">
            <w:pPr>
              <w:spacing w:line="360" w:lineRule="auto"/>
              <w:jc w:val="center"/>
              <w:rPr>
                <w:sz w:val="18"/>
                <w:szCs w:val="18"/>
                <w:lang w:val="en-US"/>
              </w:rPr>
            </w:pPr>
            <w:r w:rsidRPr="0026705F">
              <w:rPr>
                <w:color w:val="000000"/>
                <w:sz w:val="18"/>
                <w:szCs w:val="18"/>
                <w:lang w:val="en-US"/>
              </w:rPr>
              <w:t>-2.19301827</w:t>
            </w:r>
          </w:p>
        </w:tc>
        <w:tc>
          <w:tcPr>
            <w:tcW w:w="850" w:type="dxa"/>
            <w:vAlign w:val="center"/>
          </w:tcPr>
          <w:p w14:paraId="058DC85A" w14:textId="56A47E1C" w:rsidR="00026F37" w:rsidRPr="0026705F" w:rsidRDefault="00026F37" w:rsidP="00026F37">
            <w:pPr>
              <w:spacing w:line="360" w:lineRule="auto"/>
              <w:jc w:val="center"/>
              <w:rPr>
                <w:sz w:val="18"/>
                <w:szCs w:val="18"/>
                <w:lang w:val="en-US"/>
              </w:rPr>
            </w:pPr>
            <w:r w:rsidRPr="0026705F">
              <w:rPr>
                <w:color w:val="000000"/>
                <w:sz w:val="18"/>
                <w:szCs w:val="18"/>
                <w:lang w:val="en-US"/>
              </w:rPr>
              <w:t>N/S</w:t>
            </w:r>
          </w:p>
        </w:tc>
      </w:tr>
      <w:tr w:rsidR="00026F37" w:rsidRPr="0026705F" w14:paraId="40820F51" w14:textId="2B4BE6DC" w:rsidTr="004F155D">
        <w:tc>
          <w:tcPr>
            <w:tcW w:w="1209" w:type="dxa"/>
            <w:vAlign w:val="center"/>
          </w:tcPr>
          <w:p w14:paraId="1320241F" w14:textId="69D621E9" w:rsidR="00026F37" w:rsidRPr="0026705F" w:rsidRDefault="00026F37" w:rsidP="00026F37">
            <w:pPr>
              <w:spacing w:line="360" w:lineRule="auto"/>
              <w:jc w:val="center"/>
              <w:rPr>
                <w:sz w:val="18"/>
                <w:szCs w:val="18"/>
                <w:lang w:val="en-US"/>
              </w:rPr>
            </w:pPr>
            <w:r w:rsidRPr="0026705F">
              <w:rPr>
                <w:i/>
                <w:iCs/>
                <w:color w:val="000000"/>
                <w:sz w:val="18"/>
                <w:szCs w:val="18"/>
                <w:lang w:val="en-US"/>
              </w:rPr>
              <w:t>KRT7</w:t>
            </w:r>
          </w:p>
        </w:tc>
        <w:tc>
          <w:tcPr>
            <w:tcW w:w="925" w:type="dxa"/>
            <w:vAlign w:val="center"/>
          </w:tcPr>
          <w:p w14:paraId="5316786D" w14:textId="1FCDB41F" w:rsidR="00026F37" w:rsidRPr="0026705F" w:rsidRDefault="00026F37" w:rsidP="00026F37">
            <w:pPr>
              <w:spacing w:line="360" w:lineRule="auto"/>
              <w:jc w:val="center"/>
              <w:rPr>
                <w:sz w:val="18"/>
                <w:szCs w:val="18"/>
                <w:lang w:val="en-US"/>
              </w:rPr>
            </w:pPr>
            <w:r w:rsidRPr="0026705F">
              <w:rPr>
                <w:color w:val="000000"/>
                <w:sz w:val="18"/>
                <w:szCs w:val="18"/>
                <w:lang w:val="en-US"/>
              </w:rPr>
              <w:t>-1,84339</w:t>
            </w:r>
          </w:p>
        </w:tc>
        <w:tc>
          <w:tcPr>
            <w:tcW w:w="925" w:type="dxa"/>
            <w:vAlign w:val="center"/>
          </w:tcPr>
          <w:p w14:paraId="2016CC29" w14:textId="4C0ECD4C" w:rsidR="00026F37" w:rsidRPr="0026705F" w:rsidRDefault="00026F37" w:rsidP="00026F37">
            <w:pPr>
              <w:spacing w:line="360" w:lineRule="auto"/>
              <w:jc w:val="center"/>
              <w:rPr>
                <w:sz w:val="18"/>
                <w:szCs w:val="18"/>
                <w:lang w:val="en-US"/>
              </w:rPr>
            </w:pPr>
            <w:r w:rsidRPr="0026705F">
              <w:rPr>
                <w:color w:val="000000"/>
                <w:sz w:val="18"/>
                <w:szCs w:val="18"/>
                <w:lang w:val="en-US"/>
              </w:rPr>
              <w:t>0,133</w:t>
            </w:r>
          </w:p>
        </w:tc>
        <w:tc>
          <w:tcPr>
            <w:tcW w:w="925" w:type="dxa"/>
            <w:vAlign w:val="center"/>
          </w:tcPr>
          <w:p w14:paraId="25A2FD37" w14:textId="6EE6BF70" w:rsidR="00026F37" w:rsidRPr="0026705F" w:rsidRDefault="00026F37" w:rsidP="00026F37">
            <w:pPr>
              <w:spacing w:line="360" w:lineRule="auto"/>
              <w:jc w:val="center"/>
              <w:rPr>
                <w:sz w:val="18"/>
                <w:szCs w:val="18"/>
                <w:lang w:val="en-US"/>
              </w:rPr>
            </w:pPr>
            <w:r w:rsidRPr="0026705F">
              <w:rPr>
                <w:color w:val="000000"/>
                <w:sz w:val="18"/>
                <w:szCs w:val="18"/>
                <w:lang w:val="en-US"/>
              </w:rPr>
              <w:t>0,884</w:t>
            </w:r>
          </w:p>
        </w:tc>
        <w:tc>
          <w:tcPr>
            <w:tcW w:w="837" w:type="dxa"/>
            <w:vAlign w:val="center"/>
          </w:tcPr>
          <w:p w14:paraId="78D8E2EC" w14:textId="5DFB1EC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44C03175" w14:textId="10DCB31E" w:rsidR="00026F37" w:rsidRPr="0026705F" w:rsidRDefault="00026F37" w:rsidP="00026F37">
            <w:pPr>
              <w:spacing w:line="360" w:lineRule="auto"/>
              <w:jc w:val="center"/>
              <w:rPr>
                <w:sz w:val="18"/>
                <w:szCs w:val="18"/>
                <w:lang w:val="en-US"/>
              </w:rPr>
            </w:pPr>
            <w:r w:rsidRPr="0026705F">
              <w:rPr>
                <w:color w:val="000000"/>
                <w:sz w:val="18"/>
                <w:szCs w:val="18"/>
                <w:lang w:val="en-US"/>
              </w:rPr>
              <w:t>-2,14138</w:t>
            </w:r>
          </w:p>
        </w:tc>
        <w:tc>
          <w:tcPr>
            <w:tcW w:w="925" w:type="dxa"/>
            <w:vAlign w:val="center"/>
          </w:tcPr>
          <w:p w14:paraId="1C362EAC" w14:textId="7DD02D15" w:rsidR="00026F37" w:rsidRPr="0026705F" w:rsidRDefault="00026F37" w:rsidP="00026F37">
            <w:pPr>
              <w:spacing w:line="360" w:lineRule="auto"/>
              <w:jc w:val="center"/>
              <w:rPr>
                <w:sz w:val="18"/>
                <w:szCs w:val="18"/>
                <w:lang w:val="en-US"/>
              </w:rPr>
            </w:pPr>
            <w:r w:rsidRPr="0026705F">
              <w:rPr>
                <w:color w:val="000000"/>
                <w:sz w:val="18"/>
                <w:szCs w:val="18"/>
                <w:lang w:val="en-US"/>
              </w:rPr>
              <w:t>0,133</w:t>
            </w:r>
          </w:p>
        </w:tc>
        <w:tc>
          <w:tcPr>
            <w:tcW w:w="925" w:type="dxa"/>
            <w:vAlign w:val="center"/>
          </w:tcPr>
          <w:p w14:paraId="65A935CD" w14:textId="365E7EC2" w:rsidR="00026F37" w:rsidRPr="0026705F" w:rsidRDefault="00026F37" w:rsidP="00026F37">
            <w:pPr>
              <w:spacing w:line="360" w:lineRule="auto"/>
              <w:jc w:val="center"/>
              <w:rPr>
                <w:sz w:val="18"/>
                <w:szCs w:val="18"/>
                <w:lang w:val="en-US"/>
              </w:rPr>
            </w:pPr>
            <w:r w:rsidRPr="0026705F">
              <w:rPr>
                <w:color w:val="000000"/>
                <w:sz w:val="18"/>
                <w:szCs w:val="18"/>
                <w:lang w:val="en-US"/>
              </w:rPr>
              <w:t>0,842</w:t>
            </w:r>
          </w:p>
        </w:tc>
        <w:tc>
          <w:tcPr>
            <w:tcW w:w="964" w:type="dxa"/>
            <w:vAlign w:val="center"/>
          </w:tcPr>
          <w:p w14:paraId="2781F7F4" w14:textId="6BF4C669"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10F5CB39" w14:textId="5030F4B5" w:rsidR="00026F37" w:rsidRPr="0026705F" w:rsidRDefault="00026F37" w:rsidP="00026F37">
            <w:pPr>
              <w:spacing w:line="360" w:lineRule="auto"/>
              <w:jc w:val="center"/>
              <w:rPr>
                <w:sz w:val="18"/>
                <w:szCs w:val="18"/>
                <w:lang w:val="en-US"/>
              </w:rPr>
            </w:pPr>
            <w:r w:rsidRPr="0026705F">
              <w:rPr>
                <w:color w:val="000000"/>
                <w:sz w:val="18"/>
                <w:szCs w:val="18"/>
                <w:lang w:val="en-US"/>
              </w:rPr>
              <w:t>-4.386368816</w:t>
            </w:r>
          </w:p>
        </w:tc>
        <w:tc>
          <w:tcPr>
            <w:tcW w:w="850" w:type="dxa"/>
            <w:vAlign w:val="center"/>
          </w:tcPr>
          <w:p w14:paraId="19E44850" w14:textId="0128A89D" w:rsidR="00026F37" w:rsidRPr="0026705F" w:rsidRDefault="00026F37" w:rsidP="00026F37">
            <w:pPr>
              <w:spacing w:line="360" w:lineRule="auto"/>
              <w:jc w:val="center"/>
              <w:rPr>
                <w:sz w:val="18"/>
                <w:szCs w:val="18"/>
                <w:lang w:val="en-US"/>
              </w:rPr>
            </w:pPr>
            <w:r w:rsidRPr="0026705F">
              <w:rPr>
                <w:color w:val="000000"/>
                <w:sz w:val="18"/>
                <w:szCs w:val="18"/>
                <w:lang w:val="en-US"/>
              </w:rPr>
              <w:t>-23,696</w:t>
            </w:r>
          </w:p>
        </w:tc>
      </w:tr>
      <w:tr w:rsidR="00026F37" w:rsidRPr="0026705F" w14:paraId="6CC167E5" w14:textId="65B6D5FD" w:rsidTr="004F155D">
        <w:tc>
          <w:tcPr>
            <w:tcW w:w="1209" w:type="dxa"/>
            <w:vAlign w:val="center"/>
          </w:tcPr>
          <w:p w14:paraId="58926673" w14:textId="56DFE00E" w:rsidR="00026F37" w:rsidRPr="0026705F" w:rsidRDefault="00026F37" w:rsidP="00026F37">
            <w:pPr>
              <w:spacing w:line="360" w:lineRule="auto"/>
              <w:jc w:val="center"/>
              <w:rPr>
                <w:sz w:val="18"/>
                <w:szCs w:val="18"/>
                <w:lang w:val="en-US"/>
              </w:rPr>
            </w:pPr>
            <w:r w:rsidRPr="0026705F">
              <w:rPr>
                <w:i/>
                <w:iCs/>
                <w:color w:val="000000"/>
                <w:sz w:val="18"/>
                <w:szCs w:val="18"/>
                <w:lang w:val="en-US"/>
              </w:rPr>
              <w:t>VCAN</w:t>
            </w:r>
          </w:p>
        </w:tc>
        <w:tc>
          <w:tcPr>
            <w:tcW w:w="925" w:type="dxa"/>
            <w:vAlign w:val="center"/>
          </w:tcPr>
          <w:p w14:paraId="03712352" w14:textId="3183DC5C" w:rsidR="00026F37" w:rsidRPr="0026705F" w:rsidRDefault="00026F37" w:rsidP="00026F37">
            <w:pPr>
              <w:spacing w:line="360" w:lineRule="auto"/>
              <w:jc w:val="center"/>
              <w:rPr>
                <w:sz w:val="18"/>
                <w:szCs w:val="18"/>
                <w:lang w:val="en-US"/>
              </w:rPr>
            </w:pPr>
            <w:r w:rsidRPr="0026705F">
              <w:rPr>
                <w:color w:val="000000"/>
                <w:sz w:val="18"/>
                <w:szCs w:val="18"/>
                <w:lang w:val="en-US"/>
              </w:rPr>
              <w:t>-2,00011</w:t>
            </w:r>
          </w:p>
        </w:tc>
        <w:tc>
          <w:tcPr>
            <w:tcW w:w="925" w:type="dxa"/>
            <w:vAlign w:val="center"/>
          </w:tcPr>
          <w:p w14:paraId="2664B697" w14:textId="0FC73C2E" w:rsidR="00026F37" w:rsidRPr="0026705F" w:rsidRDefault="00026F37" w:rsidP="00026F37">
            <w:pPr>
              <w:spacing w:line="360" w:lineRule="auto"/>
              <w:jc w:val="center"/>
              <w:rPr>
                <w:sz w:val="18"/>
                <w:szCs w:val="18"/>
                <w:lang w:val="en-US"/>
              </w:rPr>
            </w:pPr>
            <w:r w:rsidRPr="0026705F">
              <w:rPr>
                <w:color w:val="000000"/>
                <w:sz w:val="18"/>
                <w:szCs w:val="18"/>
                <w:lang w:val="en-US"/>
              </w:rPr>
              <w:t>0,691</w:t>
            </w:r>
          </w:p>
        </w:tc>
        <w:tc>
          <w:tcPr>
            <w:tcW w:w="925" w:type="dxa"/>
            <w:vAlign w:val="center"/>
          </w:tcPr>
          <w:p w14:paraId="00BD825F" w14:textId="695C7BDD" w:rsidR="00026F37" w:rsidRPr="0026705F" w:rsidRDefault="00026F37" w:rsidP="00026F37">
            <w:pPr>
              <w:spacing w:line="360" w:lineRule="auto"/>
              <w:jc w:val="center"/>
              <w:rPr>
                <w:sz w:val="18"/>
                <w:szCs w:val="18"/>
                <w:lang w:val="en-US"/>
              </w:rPr>
            </w:pPr>
            <w:r w:rsidRPr="0026705F">
              <w:rPr>
                <w:color w:val="000000"/>
                <w:sz w:val="18"/>
                <w:szCs w:val="18"/>
                <w:lang w:val="en-US"/>
              </w:rPr>
              <w:t>0,984</w:t>
            </w:r>
          </w:p>
        </w:tc>
        <w:tc>
          <w:tcPr>
            <w:tcW w:w="837" w:type="dxa"/>
            <w:vAlign w:val="center"/>
          </w:tcPr>
          <w:p w14:paraId="013F1CE1" w14:textId="7159B0FF"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50CF627" w14:textId="3B5ECD8F" w:rsidR="00026F37" w:rsidRPr="0026705F" w:rsidRDefault="00026F37" w:rsidP="00026F37">
            <w:pPr>
              <w:spacing w:line="360" w:lineRule="auto"/>
              <w:jc w:val="center"/>
              <w:rPr>
                <w:sz w:val="18"/>
                <w:szCs w:val="18"/>
                <w:lang w:val="en-US"/>
              </w:rPr>
            </w:pPr>
            <w:r w:rsidRPr="0026705F">
              <w:rPr>
                <w:color w:val="000000"/>
                <w:sz w:val="18"/>
                <w:szCs w:val="18"/>
                <w:lang w:val="en-US"/>
              </w:rPr>
              <w:t>-2,0722</w:t>
            </w:r>
          </w:p>
        </w:tc>
        <w:tc>
          <w:tcPr>
            <w:tcW w:w="925" w:type="dxa"/>
            <w:vAlign w:val="center"/>
          </w:tcPr>
          <w:p w14:paraId="6D4C072A" w14:textId="3F00B639" w:rsidR="00026F37" w:rsidRPr="0026705F" w:rsidRDefault="00026F37" w:rsidP="00026F37">
            <w:pPr>
              <w:spacing w:line="360" w:lineRule="auto"/>
              <w:jc w:val="center"/>
              <w:rPr>
                <w:sz w:val="18"/>
                <w:szCs w:val="18"/>
                <w:lang w:val="en-US"/>
              </w:rPr>
            </w:pPr>
            <w:r w:rsidRPr="0026705F">
              <w:rPr>
                <w:color w:val="000000"/>
                <w:sz w:val="18"/>
                <w:szCs w:val="18"/>
                <w:lang w:val="en-US"/>
              </w:rPr>
              <w:t>0,691</w:t>
            </w:r>
          </w:p>
        </w:tc>
        <w:tc>
          <w:tcPr>
            <w:tcW w:w="925" w:type="dxa"/>
            <w:vAlign w:val="center"/>
          </w:tcPr>
          <w:p w14:paraId="18BBBDA9" w14:textId="195B894B" w:rsidR="00026F37" w:rsidRPr="0026705F" w:rsidRDefault="00026F37" w:rsidP="00026F37">
            <w:pPr>
              <w:spacing w:line="360" w:lineRule="auto"/>
              <w:jc w:val="center"/>
              <w:rPr>
                <w:sz w:val="18"/>
                <w:szCs w:val="18"/>
                <w:lang w:val="en-US"/>
              </w:rPr>
            </w:pPr>
            <w:r w:rsidRPr="0026705F">
              <w:rPr>
                <w:color w:val="000000"/>
                <w:sz w:val="18"/>
                <w:szCs w:val="18"/>
                <w:lang w:val="en-US"/>
              </w:rPr>
              <w:t>0,972</w:t>
            </w:r>
          </w:p>
        </w:tc>
        <w:tc>
          <w:tcPr>
            <w:tcW w:w="964" w:type="dxa"/>
            <w:vAlign w:val="center"/>
          </w:tcPr>
          <w:p w14:paraId="7567C958" w14:textId="6A8558E0"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18FAE8CB" w14:textId="0FD92EE2" w:rsidR="00026F37" w:rsidRPr="0026705F" w:rsidRDefault="00026F37" w:rsidP="00026F37">
            <w:pPr>
              <w:spacing w:line="360" w:lineRule="auto"/>
              <w:jc w:val="center"/>
              <w:rPr>
                <w:sz w:val="18"/>
                <w:szCs w:val="18"/>
                <w:lang w:val="en-US"/>
              </w:rPr>
            </w:pPr>
            <w:r w:rsidRPr="0026705F">
              <w:rPr>
                <w:color w:val="000000"/>
                <w:sz w:val="18"/>
                <w:szCs w:val="18"/>
                <w:lang w:val="en-US"/>
              </w:rPr>
              <w:t>-3.202347268</w:t>
            </w:r>
          </w:p>
        </w:tc>
        <w:tc>
          <w:tcPr>
            <w:tcW w:w="850" w:type="dxa"/>
            <w:vAlign w:val="center"/>
          </w:tcPr>
          <w:p w14:paraId="323C3C34" w14:textId="19E84F26" w:rsidR="00026F37" w:rsidRPr="0026705F" w:rsidRDefault="00026F37" w:rsidP="00026F37">
            <w:pPr>
              <w:spacing w:line="360" w:lineRule="auto"/>
              <w:jc w:val="center"/>
              <w:rPr>
                <w:sz w:val="18"/>
                <w:szCs w:val="18"/>
                <w:lang w:val="en-US"/>
              </w:rPr>
            </w:pPr>
            <w:r w:rsidRPr="0026705F">
              <w:rPr>
                <w:color w:val="000000"/>
                <w:sz w:val="18"/>
                <w:szCs w:val="18"/>
                <w:lang w:val="en-US"/>
              </w:rPr>
              <w:t>-21,481</w:t>
            </w:r>
          </w:p>
        </w:tc>
      </w:tr>
      <w:tr w:rsidR="00026F37" w:rsidRPr="0026705F" w14:paraId="2772B64F" w14:textId="4BDE62F1" w:rsidTr="004F155D">
        <w:tc>
          <w:tcPr>
            <w:tcW w:w="1209" w:type="dxa"/>
            <w:vAlign w:val="center"/>
          </w:tcPr>
          <w:p w14:paraId="52BBA637" w14:textId="65A34EF4" w:rsidR="00026F37" w:rsidRPr="0026705F" w:rsidRDefault="00026F37" w:rsidP="00026F37">
            <w:pPr>
              <w:spacing w:line="360" w:lineRule="auto"/>
              <w:jc w:val="center"/>
              <w:rPr>
                <w:sz w:val="18"/>
                <w:szCs w:val="18"/>
                <w:lang w:val="en-US"/>
              </w:rPr>
            </w:pPr>
            <w:r w:rsidRPr="0026705F">
              <w:rPr>
                <w:i/>
                <w:iCs/>
                <w:color w:val="000000"/>
                <w:sz w:val="18"/>
                <w:szCs w:val="18"/>
                <w:lang w:val="en-US"/>
              </w:rPr>
              <w:t>ACTA2</w:t>
            </w:r>
          </w:p>
        </w:tc>
        <w:tc>
          <w:tcPr>
            <w:tcW w:w="925" w:type="dxa"/>
            <w:vAlign w:val="center"/>
          </w:tcPr>
          <w:p w14:paraId="03E466B9" w14:textId="2AA979C2" w:rsidR="00026F37" w:rsidRPr="0026705F" w:rsidRDefault="00026F37" w:rsidP="00026F37">
            <w:pPr>
              <w:spacing w:line="360" w:lineRule="auto"/>
              <w:jc w:val="center"/>
              <w:rPr>
                <w:sz w:val="18"/>
                <w:szCs w:val="18"/>
                <w:lang w:val="en-US"/>
              </w:rPr>
            </w:pPr>
            <w:r w:rsidRPr="0026705F">
              <w:rPr>
                <w:color w:val="000000"/>
                <w:sz w:val="18"/>
                <w:szCs w:val="18"/>
                <w:lang w:val="en-US"/>
              </w:rPr>
              <w:t>-2,04002</w:t>
            </w:r>
          </w:p>
        </w:tc>
        <w:tc>
          <w:tcPr>
            <w:tcW w:w="925" w:type="dxa"/>
            <w:vAlign w:val="center"/>
          </w:tcPr>
          <w:p w14:paraId="6C457968" w14:textId="7903B09C" w:rsidR="00026F37" w:rsidRPr="0026705F" w:rsidRDefault="00026F37" w:rsidP="00026F37">
            <w:pPr>
              <w:spacing w:line="360" w:lineRule="auto"/>
              <w:jc w:val="center"/>
              <w:rPr>
                <w:sz w:val="18"/>
                <w:szCs w:val="18"/>
                <w:lang w:val="en-US"/>
              </w:rPr>
            </w:pPr>
            <w:r w:rsidRPr="0026705F">
              <w:rPr>
                <w:color w:val="000000"/>
                <w:sz w:val="18"/>
                <w:szCs w:val="18"/>
                <w:lang w:val="en-US"/>
              </w:rPr>
              <w:t>0,512</w:t>
            </w:r>
          </w:p>
        </w:tc>
        <w:tc>
          <w:tcPr>
            <w:tcW w:w="925" w:type="dxa"/>
            <w:vAlign w:val="center"/>
          </w:tcPr>
          <w:p w14:paraId="404F7F72" w14:textId="1D9B427E" w:rsidR="00026F37" w:rsidRPr="0026705F" w:rsidRDefault="00026F37" w:rsidP="00026F37">
            <w:pPr>
              <w:spacing w:line="360" w:lineRule="auto"/>
              <w:jc w:val="center"/>
              <w:rPr>
                <w:sz w:val="18"/>
                <w:szCs w:val="18"/>
                <w:lang w:val="en-US"/>
              </w:rPr>
            </w:pPr>
            <w:r w:rsidRPr="0026705F">
              <w:rPr>
                <w:color w:val="000000"/>
                <w:sz w:val="18"/>
                <w:szCs w:val="18"/>
                <w:lang w:val="en-US"/>
              </w:rPr>
              <w:t>0,874</w:t>
            </w:r>
          </w:p>
        </w:tc>
        <w:tc>
          <w:tcPr>
            <w:tcW w:w="837" w:type="dxa"/>
            <w:vAlign w:val="center"/>
          </w:tcPr>
          <w:p w14:paraId="44D90B36" w14:textId="1D21181D"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0C61FD31" w14:textId="252C5A96" w:rsidR="00026F37" w:rsidRPr="0026705F" w:rsidRDefault="00026F37" w:rsidP="00026F37">
            <w:pPr>
              <w:spacing w:line="360" w:lineRule="auto"/>
              <w:jc w:val="center"/>
              <w:rPr>
                <w:sz w:val="18"/>
                <w:szCs w:val="18"/>
                <w:lang w:val="en-US"/>
              </w:rPr>
            </w:pPr>
            <w:r w:rsidRPr="0026705F">
              <w:rPr>
                <w:color w:val="000000"/>
                <w:sz w:val="18"/>
                <w:szCs w:val="18"/>
                <w:lang w:val="en-US"/>
              </w:rPr>
              <w:t>-2,41084</w:t>
            </w:r>
          </w:p>
        </w:tc>
        <w:tc>
          <w:tcPr>
            <w:tcW w:w="925" w:type="dxa"/>
            <w:vAlign w:val="center"/>
          </w:tcPr>
          <w:p w14:paraId="263AEBD0" w14:textId="319BEE35" w:rsidR="00026F37" w:rsidRPr="0026705F" w:rsidRDefault="00026F37" w:rsidP="00026F37">
            <w:pPr>
              <w:spacing w:line="360" w:lineRule="auto"/>
              <w:jc w:val="center"/>
              <w:rPr>
                <w:sz w:val="18"/>
                <w:szCs w:val="18"/>
                <w:lang w:val="en-US"/>
              </w:rPr>
            </w:pPr>
            <w:r w:rsidRPr="0026705F">
              <w:rPr>
                <w:color w:val="000000"/>
                <w:sz w:val="18"/>
                <w:szCs w:val="18"/>
                <w:lang w:val="en-US"/>
              </w:rPr>
              <w:t>0,512</w:t>
            </w:r>
          </w:p>
        </w:tc>
        <w:tc>
          <w:tcPr>
            <w:tcW w:w="925" w:type="dxa"/>
            <w:vAlign w:val="center"/>
          </w:tcPr>
          <w:p w14:paraId="3D754814" w14:textId="460E2632" w:rsidR="00026F37" w:rsidRPr="0026705F" w:rsidRDefault="00026F37" w:rsidP="00026F37">
            <w:pPr>
              <w:spacing w:line="360" w:lineRule="auto"/>
              <w:jc w:val="center"/>
              <w:rPr>
                <w:sz w:val="18"/>
                <w:szCs w:val="18"/>
                <w:lang w:val="en-US"/>
              </w:rPr>
            </w:pPr>
            <w:r w:rsidRPr="0026705F">
              <w:rPr>
                <w:color w:val="000000"/>
                <w:sz w:val="18"/>
                <w:szCs w:val="18"/>
                <w:lang w:val="en-US"/>
              </w:rPr>
              <w:t>0,896</w:t>
            </w:r>
          </w:p>
        </w:tc>
        <w:tc>
          <w:tcPr>
            <w:tcW w:w="964" w:type="dxa"/>
            <w:vAlign w:val="center"/>
          </w:tcPr>
          <w:p w14:paraId="575B05F9" w14:textId="472FBA5E"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761F3CF7" w14:textId="003128E2" w:rsidR="00026F37" w:rsidRPr="0026705F" w:rsidRDefault="00026F37" w:rsidP="00026F37">
            <w:pPr>
              <w:spacing w:line="360" w:lineRule="auto"/>
              <w:jc w:val="center"/>
              <w:rPr>
                <w:sz w:val="18"/>
                <w:szCs w:val="18"/>
                <w:lang w:val="en-US"/>
              </w:rPr>
            </w:pPr>
            <w:r w:rsidRPr="0026705F">
              <w:rPr>
                <w:color w:val="000000"/>
                <w:sz w:val="18"/>
                <w:szCs w:val="18"/>
                <w:lang w:val="en-US"/>
              </w:rPr>
              <w:t>-3.273133043</w:t>
            </w:r>
          </w:p>
        </w:tc>
        <w:tc>
          <w:tcPr>
            <w:tcW w:w="850" w:type="dxa"/>
            <w:vAlign w:val="center"/>
          </w:tcPr>
          <w:p w14:paraId="2D869F67" w14:textId="78FA072E" w:rsidR="00026F37" w:rsidRPr="0026705F" w:rsidRDefault="00026F37" w:rsidP="00026F37">
            <w:pPr>
              <w:spacing w:line="360" w:lineRule="auto"/>
              <w:jc w:val="center"/>
              <w:rPr>
                <w:sz w:val="18"/>
                <w:szCs w:val="18"/>
                <w:lang w:val="en-US"/>
              </w:rPr>
            </w:pPr>
            <w:r w:rsidRPr="0026705F">
              <w:rPr>
                <w:color w:val="000000"/>
                <w:sz w:val="18"/>
                <w:szCs w:val="18"/>
                <w:lang w:val="en-US"/>
              </w:rPr>
              <w:t>-20,362</w:t>
            </w:r>
          </w:p>
        </w:tc>
      </w:tr>
      <w:tr w:rsidR="00026F37" w:rsidRPr="0026705F" w14:paraId="192F6C01" w14:textId="209E02D1" w:rsidTr="004F155D">
        <w:tc>
          <w:tcPr>
            <w:tcW w:w="1209" w:type="dxa"/>
            <w:vAlign w:val="center"/>
          </w:tcPr>
          <w:p w14:paraId="76C8C1CC" w14:textId="4518C6A0" w:rsidR="00026F37" w:rsidRPr="0026705F" w:rsidRDefault="00026F37" w:rsidP="00026F37">
            <w:pPr>
              <w:spacing w:line="360" w:lineRule="auto"/>
              <w:jc w:val="center"/>
              <w:rPr>
                <w:sz w:val="18"/>
                <w:szCs w:val="18"/>
                <w:lang w:val="en-US"/>
              </w:rPr>
            </w:pPr>
            <w:r w:rsidRPr="0026705F">
              <w:rPr>
                <w:i/>
                <w:iCs/>
                <w:color w:val="000000"/>
                <w:sz w:val="18"/>
                <w:szCs w:val="18"/>
                <w:lang w:val="en-US"/>
              </w:rPr>
              <w:t>IGFBP7</w:t>
            </w:r>
          </w:p>
        </w:tc>
        <w:tc>
          <w:tcPr>
            <w:tcW w:w="925" w:type="dxa"/>
            <w:vAlign w:val="center"/>
          </w:tcPr>
          <w:p w14:paraId="0EBFABCB" w14:textId="42B0D421" w:rsidR="00026F37" w:rsidRPr="0026705F" w:rsidRDefault="00026F37" w:rsidP="00026F37">
            <w:pPr>
              <w:spacing w:line="360" w:lineRule="auto"/>
              <w:jc w:val="center"/>
              <w:rPr>
                <w:sz w:val="18"/>
                <w:szCs w:val="18"/>
                <w:lang w:val="en-US"/>
              </w:rPr>
            </w:pPr>
            <w:r w:rsidRPr="0026705F">
              <w:rPr>
                <w:color w:val="000000"/>
                <w:sz w:val="18"/>
                <w:szCs w:val="18"/>
                <w:lang w:val="en-US"/>
              </w:rPr>
              <w:t>-2,09029</w:t>
            </w:r>
          </w:p>
        </w:tc>
        <w:tc>
          <w:tcPr>
            <w:tcW w:w="925" w:type="dxa"/>
            <w:vAlign w:val="center"/>
          </w:tcPr>
          <w:p w14:paraId="6A2E47CF" w14:textId="5F0F12EF" w:rsidR="00026F37" w:rsidRPr="0026705F" w:rsidRDefault="00026F37" w:rsidP="00026F37">
            <w:pPr>
              <w:spacing w:line="360" w:lineRule="auto"/>
              <w:jc w:val="center"/>
              <w:rPr>
                <w:sz w:val="18"/>
                <w:szCs w:val="18"/>
                <w:lang w:val="en-US"/>
              </w:rPr>
            </w:pPr>
            <w:r w:rsidRPr="0026705F">
              <w:rPr>
                <w:color w:val="000000"/>
                <w:sz w:val="18"/>
                <w:szCs w:val="18"/>
                <w:lang w:val="en-US"/>
              </w:rPr>
              <w:t>0,79</w:t>
            </w:r>
          </w:p>
        </w:tc>
        <w:tc>
          <w:tcPr>
            <w:tcW w:w="925" w:type="dxa"/>
            <w:vAlign w:val="center"/>
          </w:tcPr>
          <w:p w14:paraId="0C85D1D4" w14:textId="60563EED" w:rsidR="00026F37" w:rsidRPr="0026705F" w:rsidRDefault="00026F37" w:rsidP="00026F37">
            <w:pPr>
              <w:spacing w:line="360" w:lineRule="auto"/>
              <w:jc w:val="center"/>
              <w:rPr>
                <w:sz w:val="18"/>
                <w:szCs w:val="18"/>
                <w:lang w:val="en-US"/>
              </w:rPr>
            </w:pPr>
            <w:r w:rsidRPr="0026705F">
              <w:rPr>
                <w:color w:val="000000"/>
                <w:sz w:val="18"/>
                <w:szCs w:val="18"/>
                <w:lang w:val="en-US"/>
              </w:rPr>
              <w:t>0,994</w:t>
            </w:r>
          </w:p>
        </w:tc>
        <w:tc>
          <w:tcPr>
            <w:tcW w:w="837" w:type="dxa"/>
            <w:vAlign w:val="center"/>
          </w:tcPr>
          <w:p w14:paraId="04CF6EA3" w14:textId="2FF0BF49"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7729B976" w14:textId="7E12C846" w:rsidR="00026F37" w:rsidRPr="0026705F" w:rsidRDefault="00026F37" w:rsidP="00026F37">
            <w:pPr>
              <w:spacing w:line="360" w:lineRule="auto"/>
              <w:jc w:val="center"/>
              <w:rPr>
                <w:sz w:val="18"/>
                <w:szCs w:val="18"/>
                <w:lang w:val="en-US"/>
              </w:rPr>
            </w:pPr>
            <w:r w:rsidRPr="0026705F">
              <w:rPr>
                <w:color w:val="000000"/>
                <w:sz w:val="18"/>
                <w:szCs w:val="18"/>
                <w:lang w:val="en-US"/>
              </w:rPr>
              <w:t>-2,71296</w:t>
            </w:r>
          </w:p>
        </w:tc>
        <w:tc>
          <w:tcPr>
            <w:tcW w:w="925" w:type="dxa"/>
            <w:vAlign w:val="center"/>
          </w:tcPr>
          <w:p w14:paraId="16BCDFCD" w14:textId="319A15D3" w:rsidR="00026F37" w:rsidRPr="0026705F" w:rsidRDefault="00026F37" w:rsidP="00026F37">
            <w:pPr>
              <w:spacing w:line="360" w:lineRule="auto"/>
              <w:jc w:val="center"/>
              <w:rPr>
                <w:sz w:val="18"/>
                <w:szCs w:val="18"/>
                <w:lang w:val="en-US"/>
              </w:rPr>
            </w:pPr>
            <w:r w:rsidRPr="0026705F">
              <w:rPr>
                <w:color w:val="000000"/>
                <w:sz w:val="18"/>
                <w:szCs w:val="18"/>
                <w:lang w:val="en-US"/>
              </w:rPr>
              <w:t>0,79</w:t>
            </w:r>
          </w:p>
        </w:tc>
        <w:tc>
          <w:tcPr>
            <w:tcW w:w="925" w:type="dxa"/>
            <w:vAlign w:val="center"/>
          </w:tcPr>
          <w:p w14:paraId="66E27F95" w14:textId="7F4404CF" w:rsidR="00026F37" w:rsidRPr="0026705F" w:rsidRDefault="00026F37" w:rsidP="00026F37">
            <w:pPr>
              <w:spacing w:line="360" w:lineRule="auto"/>
              <w:jc w:val="center"/>
              <w:rPr>
                <w:sz w:val="18"/>
                <w:szCs w:val="18"/>
                <w:lang w:val="en-US"/>
              </w:rPr>
            </w:pPr>
            <w:r w:rsidRPr="0026705F">
              <w:rPr>
                <w:color w:val="000000"/>
                <w:sz w:val="18"/>
                <w:szCs w:val="18"/>
                <w:lang w:val="en-US"/>
              </w:rPr>
              <w:t>0,987</w:t>
            </w:r>
          </w:p>
        </w:tc>
        <w:tc>
          <w:tcPr>
            <w:tcW w:w="964" w:type="dxa"/>
            <w:vAlign w:val="center"/>
          </w:tcPr>
          <w:p w14:paraId="1A45553E" w14:textId="57D69463"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71BDCB5C" w14:textId="2AF26431" w:rsidR="00026F37" w:rsidRPr="0026705F" w:rsidRDefault="00026F37" w:rsidP="00026F37">
            <w:pPr>
              <w:spacing w:line="360" w:lineRule="auto"/>
              <w:jc w:val="center"/>
              <w:rPr>
                <w:sz w:val="18"/>
                <w:szCs w:val="18"/>
                <w:lang w:val="en-US"/>
              </w:rPr>
            </w:pPr>
            <w:r w:rsidRPr="0026705F">
              <w:rPr>
                <w:color w:val="000000"/>
                <w:sz w:val="18"/>
                <w:szCs w:val="18"/>
                <w:lang w:val="en-US"/>
              </w:rPr>
              <w:t>-3.825338238</w:t>
            </w:r>
          </w:p>
        </w:tc>
        <w:tc>
          <w:tcPr>
            <w:tcW w:w="850" w:type="dxa"/>
            <w:vAlign w:val="center"/>
          </w:tcPr>
          <w:p w14:paraId="68DEE1F1" w14:textId="17ECB527" w:rsidR="00026F37" w:rsidRPr="0026705F" w:rsidRDefault="00026F37" w:rsidP="00026F37">
            <w:pPr>
              <w:spacing w:line="360" w:lineRule="auto"/>
              <w:jc w:val="center"/>
              <w:rPr>
                <w:sz w:val="18"/>
                <w:szCs w:val="18"/>
                <w:lang w:val="en-US"/>
              </w:rPr>
            </w:pPr>
            <w:r w:rsidRPr="0026705F">
              <w:rPr>
                <w:color w:val="000000"/>
                <w:sz w:val="18"/>
                <w:szCs w:val="18"/>
                <w:lang w:val="en-US"/>
              </w:rPr>
              <w:t>N/S</w:t>
            </w:r>
          </w:p>
        </w:tc>
      </w:tr>
      <w:tr w:rsidR="00026F37" w:rsidRPr="0026705F" w14:paraId="30170E82" w14:textId="498EC878" w:rsidTr="004F155D">
        <w:tc>
          <w:tcPr>
            <w:tcW w:w="1209" w:type="dxa"/>
            <w:vAlign w:val="center"/>
          </w:tcPr>
          <w:p w14:paraId="4B4F2546" w14:textId="6288B5C0" w:rsidR="00026F37" w:rsidRPr="0026705F" w:rsidRDefault="00026F37" w:rsidP="00026F37">
            <w:pPr>
              <w:spacing w:line="360" w:lineRule="auto"/>
              <w:jc w:val="center"/>
              <w:rPr>
                <w:sz w:val="18"/>
                <w:szCs w:val="18"/>
                <w:lang w:val="en-US"/>
              </w:rPr>
            </w:pPr>
            <w:r w:rsidRPr="0026705F">
              <w:rPr>
                <w:i/>
                <w:iCs/>
                <w:color w:val="000000"/>
                <w:sz w:val="18"/>
                <w:szCs w:val="18"/>
                <w:lang w:val="en-US"/>
              </w:rPr>
              <w:t>INHBA</w:t>
            </w:r>
          </w:p>
        </w:tc>
        <w:tc>
          <w:tcPr>
            <w:tcW w:w="925" w:type="dxa"/>
            <w:vAlign w:val="center"/>
          </w:tcPr>
          <w:p w14:paraId="3655D023" w14:textId="14C6C8DD" w:rsidR="00026F37" w:rsidRPr="0026705F" w:rsidRDefault="00026F37" w:rsidP="00026F37">
            <w:pPr>
              <w:spacing w:line="360" w:lineRule="auto"/>
              <w:jc w:val="center"/>
              <w:rPr>
                <w:sz w:val="18"/>
                <w:szCs w:val="18"/>
                <w:lang w:val="en-US"/>
              </w:rPr>
            </w:pPr>
            <w:r w:rsidRPr="0026705F">
              <w:rPr>
                <w:color w:val="000000"/>
                <w:sz w:val="18"/>
                <w:szCs w:val="18"/>
                <w:lang w:val="en-US"/>
              </w:rPr>
              <w:t>-2,10413</w:t>
            </w:r>
          </w:p>
        </w:tc>
        <w:tc>
          <w:tcPr>
            <w:tcW w:w="925" w:type="dxa"/>
            <w:vAlign w:val="center"/>
          </w:tcPr>
          <w:p w14:paraId="151EA329" w14:textId="34F5FEB3" w:rsidR="00026F37" w:rsidRPr="0026705F" w:rsidRDefault="00026F37" w:rsidP="00026F37">
            <w:pPr>
              <w:spacing w:line="360" w:lineRule="auto"/>
              <w:jc w:val="center"/>
              <w:rPr>
                <w:sz w:val="18"/>
                <w:szCs w:val="18"/>
                <w:lang w:val="en-US"/>
              </w:rPr>
            </w:pPr>
            <w:r w:rsidRPr="0026705F">
              <w:rPr>
                <w:color w:val="000000"/>
                <w:sz w:val="18"/>
                <w:szCs w:val="18"/>
                <w:lang w:val="en-US"/>
              </w:rPr>
              <w:t>0,307</w:t>
            </w:r>
          </w:p>
        </w:tc>
        <w:tc>
          <w:tcPr>
            <w:tcW w:w="925" w:type="dxa"/>
            <w:vAlign w:val="center"/>
          </w:tcPr>
          <w:p w14:paraId="53662A92" w14:textId="5C38F50A" w:rsidR="00026F37" w:rsidRPr="0026705F" w:rsidRDefault="00026F37" w:rsidP="00026F37">
            <w:pPr>
              <w:spacing w:line="360" w:lineRule="auto"/>
              <w:jc w:val="center"/>
              <w:rPr>
                <w:sz w:val="18"/>
                <w:szCs w:val="18"/>
                <w:lang w:val="en-US"/>
              </w:rPr>
            </w:pPr>
            <w:r w:rsidRPr="0026705F">
              <w:rPr>
                <w:color w:val="000000"/>
                <w:sz w:val="18"/>
                <w:szCs w:val="18"/>
                <w:lang w:val="en-US"/>
              </w:rPr>
              <w:t>0,937</w:t>
            </w:r>
          </w:p>
        </w:tc>
        <w:tc>
          <w:tcPr>
            <w:tcW w:w="837" w:type="dxa"/>
            <w:vAlign w:val="center"/>
          </w:tcPr>
          <w:p w14:paraId="117BF23E" w14:textId="5BC41F9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7FB07A0E" w14:textId="62FFB32C" w:rsidR="00026F37" w:rsidRPr="0026705F" w:rsidRDefault="00026F37" w:rsidP="00026F37">
            <w:pPr>
              <w:spacing w:line="360" w:lineRule="auto"/>
              <w:jc w:val="center"/>
              <w:rPr>
                <w:sz w:val="18"/>
                <w:szCs w:val="18"/>
                <w:lang w:val="en-US"/>
              </w:rPr>
            </w:pPr>
            <w:r w:rsidRPr="0026705F">
              <w:rPr>
                <w:color w:val="000000"/>
                <w:sz w:val="18"/>
                <w:szCs w:val="18"/>
                <w:lang w:val="en-US"/>
              </w:rPr>
              <w:t>-2,08054</w:t>
            </w:r>
          </w:p>
        </w:tc>
        <w:tc>
          <w:tcPr>
            <w:tcW w:w="925" w:type="dxa"/>
            <w:vAlign w:val="center"/>
          </w:tcPr>
          <w:p w14:paraId="30477734" w14:textId="06897E99" w:rsidR="00026F37" w:rsidRPr="0026705F" w:rsidRDefault="00026F37" w:rsidP="00026F37">
            <w:pPr>
              <w:spacing w:line="360" w:lineRule="auto"/>
              <w:jc w:val="center"/>
              <w:rPr>
                <w:sz w:val="18"/>
                <w:szCs w:val="18"/>
                <w:lang w:val="en-US"/>
              </w:rPr>
            </w:pPr>
            <w:r w:rsidRPr="0026705F">
              <w:rPr>
                <w:color w:val="000000"/>
                <w:sz w:val="18"/>
                <w:szCs w:val="18"/>
                <w:lang w:val="en-US"/>
              </w:rPr>
              <w:t>0,307</w:t>
            </w:r>
          </w:p>
        </w:tc>
        <w:tc>
          <w:tcPr>
            <w:tcW w:w="925" w:type="dxa"/>
            <w:vAlign w:val="center"/>
          </w:tcPr>
          <w:p w14:paraId="40B4D2FE" w14:textId="63CA5E5D" w:rsidR="00026F37" w:rsidRPr="0026705F" w:rsidRDefault="00026F37" w:rsidP="00026F37">
            <w:pPr>
              <w:spacing w:line="360" w:lineRule="auto"/>
              <w:jc w:val="center"/>
              <w:rPr>
                <w:sz w:val="18"/>
                <w:szCs w:val="18"/>
                <w:lang w:val="en-US"/>
              </w:rPr>
            </w:pPr>
            <w:r w:rsidRPr="0026705F">
              <w:rPr>
                <w:color w:val="000000"/>
                <w:sz w:val="18"/>
                <w:szCs w:val="18"/>
                <w:lang w:val="en-US"/>
              </w:rPr>
              <w:t>0,917</w:t>
            </w:r>
          </w:p>
        </w:tc>
        <w:tc>
          <w:tcPr>
            <w:tcW w:w="964" w:type="dxa"/>
            <w:vAlign w:val="center"/>
          </w:tcPr>
          <w:p w14:paraId="740F3097" w14:textId="5F6E11F2"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62F36FDB" w14:textId="347EE8F2" w:rsidR="00026F37" w:rsidRPr="0026705F" w:rsidRDefault="00026F37" w:rsidP="00026F37">
            <w:pPr>
              <w:spacing w:line="360" w:lineRule="auto"/>
              <w:jc w:val="center"/>
              <w:rPr>
                <w:sz w:val="18"/>
                <w:szCs w:val="18"/>
                <w:lang w:val="en-US"/>
              </w:rPr>
            </w:pPr>
            <w:r w:rsidRPr="0026705F">
              <w:rPr>
                <w:color w:val="000000"/>
                <w:sz w:val="18"/>
                <w:szCs w:val="18"/>
                <w:lang w:val="en-US"/>
              </w:rPr>
              <w:t>-3.916208979</w:t>
            </w:r>
          </w:p>
        </w:tc>
        <w:tc>
          <w:tcPr>
            <w:tcW w:w="850" w:type="dxa"/>
            <w:vAlign w:val="center"/>
          </w:tcPr>
          <w:p w14:paraId="05AD8F58" w14:textId="03BB6981" w:rsidR="00026F37" w:rsidRPr="0026705F" w:rsidRDefault="00026F37" w:rsidP="00026F37">
            <w:pPr>
              <w:spacing w:line="360" w:lineRule="auto"/>
              <w:jc w:val="center"/>
              <w:rPr>
                <w:sz w:val="18"/>
                <w:szCs w:val="18"/>
                <w:lang w:val="en-US"/>
              </w:rPr>
            </w:pPr>
            <w:r w:rsidRPr="0026705F">
              <w:rPr>
                <w:color w:val="000000"/>
                <w:sz w:val="18"/>
                <w:szCs w:val="18"/>
                <w:lang w:val="en-US"/>
              </w:rPr>
              <w:t>-24,108</w:t>
            </w:r>
          </w:p>
        </w:tc>
      </w:tr>
      <w:tr w:rsidR="00026F37" w:rsidRPr="0026705F" w14:paraId="7CB6326B" w14:textId="6E60DE16" w:rsidTr="004F155D">
        <w:tc>
          <w:tcPr>
            <w:tcW w:w="1209" w:type="dxa"/>
            <w:vAlign w:val="center"/>
          </w:tcPr>
          <w:p w14:paraId="7F9464EB" w14:textId="31B1677C" w:rsidR="00026F37" w:rsidRPr="0026705F" w:rsidRDefault="00026F37" w:rsidP="00026F37">
            <w:pPr>
              <w:spacing w:line="360" w:lineRule="auto"/>
              <w:jc w:val="center"/>
              <w:rPr>
                <w:sz w:val="18"/>
                <w:szCs w:val="18"/>
                <w:lang w:val="en-US"/>
              </w:rPr>
            </w:pPr>
            <w:r w:rsidRPr="0026705F">
              <w:rPr>
                <w:i/>
                <w:iCs/>
                <w:color w:val="000000"/>
                <w:sz w:val="18"/>
                <w:szCs w:val="18"/>
                <w:lang w:val="en-US"/>
              </w:rPr>
              <w:t>TIMP3</w:t>
            </w:r>
          </w:p>
        </w:tc>
        <w:tc>
          <w:tcPr>
            <w:tcW w:w="925" w:type="dxa"/>
            <w:vAlign w:val="center"/>
          </w:tcPr>
          <w:p w14:paraId="7AF08773" w14:textId="291475B7" w:rsidR="00026F37" w:rsidRPr="0026705F" w:rsidRDefault="00026F37" w:rsidP="00026F37">
            <w:pPr>
              <w:spacing w:line="360" w:lineRule="auto"/>
              <w:jc w:val="center"/>
              <w:rPr>
                <w:sz w:val="18"/>
                <w:szCs w:val="18"/>
                <w:lang w:val="en-US"/>
              </w:rPr>
            </w:pPr>
            <w:r w:rsidRPr="0026705F">
              <w:rPr>
                <w:color w:val="000000"/>
                <w:sz w:val="18"/>
                <w:szCs w:val="18"/>
                <w:lang w:val="en-US"/>
              </w:rPr>
              <w:t>-2,15144</w:t>
            </w:r>
          </w:p>
        </w:tc>
        <w:tc>
          <w:tcPr>
            <w:tcW w:w="925" w:type="dxa"/>
            <w:vAlign w:val="center"/>
          </w:tcPr>
          <w:p w14:paraId="78893F2F" w14:textId="15A67FD2" w:rsidR="00026F37" w:rsidRPr="0026705F" w:rsidRDefault="00026F37" w:rsidP="00026F37">
            <w:pPr>
              <w:spacing w:line="360" w:lineRule="auto"/>
              <w:jc w:val="center"/>
              <w:rPr>
                <w:sz w:val="18"/>
                <w:szCs w:val="18"/>
                <w:lang w:val="en-US"/>
              </w:rPr>
            </w:pPr>
            <w:r w:rsidRPr="0026705F">
              <w:rPr>
                <w:color w:val="000000"/>
                <w:sz w:val="18"/>
                <w:szCs w:val="18"/>
                <w:lang w:val="en-US"/>
              </w:rPr>
              <w:t>0,641</w:t>
            </w:r>
          </w:p>
        </w:tc>
        <w:tc>
          <w:tcPr>
            <w:tcW w:w="925" w:type="dxa"/>
            <w:vAlign w:val="center"/>
          </w:tcPr>
          <w:p w14:paraId="4449EA61" w14:textId="2F824DA4" w:rsidR="00026F37" w:rsidRPr="0026705F" w:rsidRDefault="00026F37" w:rsidP="00026F37">
            <w:pPr>
              <w:spacing w:line="360" w:lineRule="auto"/>
              <w:jc w:val="center"/>
              <w:rPr>
                <w:sz w:val="18"/>
                <w:szCs w:val="18"/>
                <w:lang w:val="en-US"/>
              </w:rPr>
            </w:pPr>
            <w:r w:rsidRPr="0026705F">
              <w:rPr>
                <w:color w:val="000000"/>
                <w:sz w:val="18"/>
                <w:szCs w:val="18"/>
                <w:lang w:val="en-US"/>
              </w:rPr>
              <w:t>0,981</w:t>
            </w:r>
          </w:p>
        </w:tc>
        <w:tc>
          <w:tcPr>
            <w:tcW w:w="837" w:type="dxa"/>
            <w:vAlign w:val="center"/>
          </w:tcPr>
          <w:p w14:paraId="62B17243" w14:textId="486D1C5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69117A55" w14:textId="106D9F60" w:rsidR="00026F37" w:rsidRPr="0026705F" w:rsidRDefault="00026F37" w:rsidP="00026F37">
            <w:pPr>
              <w:spacing w:line="360" w:lineRule="auto"/>
              <w:jc w:val="center"/>
              <w:rPr>
                <w:sz w:val="18"/>
                <w:szCs w:val="18"/>
                <w:lang w:val="en-US"/>
              </w:rPr>
            </w:pPr>
            <w:r w:rsidRPr="0026705F">
              <w:rPr>
                <w:color w:val="000000"/>
                <w:sz w:val="18"/>
                <w:szCs w:val="18"/>
                <w:lang w:val="en-US"/>
              </w:rPr>
              <w:t>-2,05469</w:t>
            </w:r>
          </w:p>
        </w:tc>
        <w:tc>
          <w:tcPr>
            <w:tcW w:w="925" w:type="dxa"/>
            <w:vAlign w:val="center"/>
          </w:tcPr>
          <w:p w14:paraId="5E8EF8AD" w14:textId="5887E424" w:rsidR="00026F37" w:rsidRPr="0026705F" w:rsidRDefault="00026F37" w:rsidP="00026F37">
            <w:pPr>
              <w:spacing w:line="360" w:lineRule="auto"/>
              <w:jc w:val="center"/>
              <w:rPr>
                <w:sz w:val="18"/>
                <w:szCs w:val="18"/>
                <w:lang w:val="en-US"/>
              </w:rPr>
            </w:pPr>
            <w:r w:rsidRPr="0026705F">
              <w:rPr>
                <w:color w:val="000000"/>
                <w:sz w:val="18"/>
                <w:szCs w:val="18"/>
                <w:lang w:val="en-US"/>
              </w:rPr>
              <w:t>0,641</w:t>
            </w:r>
          </w:p>
        </w:tc>
        <w:tc>
          <w:tcPr>
            <w:tcW w:w="925" w:type="dxa"/>
            <w:vAlign w:val="center"/>
          </w:tcPr>
          <w:p w14:paraId="2DE6F0F8" w14:textId="704810BE" w:rsidR="00026F37" w:rsidRPr="0026705F" w:rsidRDefault="00026F37" w:rsidP="00026F37">
            <w:pPr>
              <w:spacing w:line="360" w:lineRule="auto"/>
              <w:jc w:val="center"/>
              <w:rPr>
                <w:sz w:val="18"/>
                <w:szCs w:val="18"/>
                <w:lang w:val="en-US"/>
              </w:rPr>
            </w:pPr>
            <w:r w:rsidRPr="0026705F">
              <w:rPr>
                <w:color w:val="000000"/>
                <w:sz w:val="18"/>
                <w:szCs w:val="18"/>
                <w:lang w:val="en-US"/>
              </w:rPr>
              <w:t>0,957</w:t>
            </w:r>
          </w:p>
        </w:tc>
        <w:tc>
          <w:tcPr>
            <w:tcW w:w="964" w:type="dxa"/>
            <w:vAlign w:val="center"/>
          </w:tcPr>
          <w:p w14:paraId="0FB7380F" w14:textId="2766E758"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09758684" w14:textId="47CB2852" w:rsidR="00026F37" w:rsidRPr="0026705F" w:rsidRDefault="00026F37" w:rsidP="00026F37">
            <w:pPr>
              <w:spacing w:line="360" w:lineRule="auto"/>
              <w:jc w:val="center"/>
              <w:rPr>
                <w:sz w:val="18"/>
                <w:szCs w:val="18"/>
                <w:lang w:val="en-US"/>
              </w:rPr>
            </w:pPr>
            <w:r w:rsidRPr="0026705F">
              <w:rPr>
                <w:color w:val="000000"/>
                <w:sz w:val="18"/>
                <w:szCs w:val="18"/>
                <w:lang w:val="en-US"/>
              </w:rPr>
              <w:t>-4.48098573</w:t>
            </w:r>
          </w:p>
        </w:tc>
        <w:tc>
          <w:tcPr>
            <w:tcW w:w="850" w:type="dxa"/>
            <w:vAlign w:val="center"/>
          </w:tcPr>
          <w:p w14:paraId="1534D7E6" w14:textId="42FEA88C" w:rsidR="00026F37" w:rsidRPr="0026705F" w:rsidRDefault="00026F37" w:rsidP="00026F37">
            <w:pPr>
              <w:spacing w:line="360" w:lineRule="auto"/>
              <w:jc w:val="center"/>
              <w:rPr>
                <w:sz w:val="18"/>
                <w:szCs w:val="18"/>
                <w:lang w:val="en-US"/>
              </w:rPr>
            </w:pPr>
            <w:r w:rsidRPr="0026705F">
              <w:rPr>
                <w:color w:val="000000"/>
                <w:sz w:val="18"/>
                <w:szCs w:val="18"/>
                <w:lang w:val="en-US"/>
              </w:rPr>
              <w:t>N/S</w:t>
            </w:r>
          </w:p>
        </w:tc>
      </w:tr>
      <w:tr w:rsidR="00026F37" w:rsidRPr="0026705F" w14:paraId="10DBF65E" w14:textId="274B473B" w:rsidTr="004F155D">
        <w:tc>
          <w:tcPr>
            <w:tcW w:w="1209" w:type="dxa"/>
            <w:vAlign w:val="center"/>
          </w:tcPr>
          <w:p w14:paraId="74B93A1B" w14:textId="7DDBC6A0" w:rsidR="00026F37" w:rsidRPr="0026705F" w:rsidRDefault="00026F37" w:rsidP="00026F37">
            <w:pPr>
              <w:spacing w:line="360" w:lineRule="auto"/>
              <w:jc w:val="center"/>
              <w:rPr>
                <w:sz w:val="18"/>
                <w:szCs w:val="18"/>
                <w:lang w:val="en-US"/>
              </w:rPr>
            </w:pPr>
            <w:r w:rsidRPr="0026705F">
              <w:rPr>
                <w:i/>
                <w:iCs/>
                <w:color w:val="000000"/>
                <w:sz w:val="18"/>
                <w:szCs w:val="18"/>
                <w:lang w:val="en-US"/>
              </w:rPr>
              <w:t>IGFBP5</w:t>
            </w:r>
          </w:p>
        </w:tc>
        <w:tc>
          <w:tcPr>
            <w:tcW w:w="925" w:type="dxa"/>
            <w:vAlign w:val="center"/>
          </w:tcPr>
          <w:p w14:paraId="00F7097C" w14:textId="10F4C680" w:rsidR="00026F37" w:rsidRPr="0026705F" w:rsidRDefault="00026F37" w:rsidP="00026F37">
            <w:pPr>
              <w:spacing w:line="360" w:lineRule="auto"/>
              <w:jc w:val="center"/>
              <w:rPr>
                <w:sz w:val="18"/>
                <w:szCs w:val="18"/>
                <w:lang w:val="en-US"/>
              </w:rPr>
            </w:pPr>
            <w:r w:rsidRPr="0026705F">
              <w:rPr>
                <w:color w:val="000000"/>
                <w:sz w:val="18"/>
                <w:szCs w:val="18"/>
                <w:lang w:val="en-US"/>
              </w:rPr>
              <w:t>-2,31262</w:t>
            </w:r>
          </w:p>
        </w:tc>
        <w:tc>
          <w:tcPr>
            <w:tcW w:w="925" w:type="dxa"/>
            <w:vAlign w:val="center"/>
          </w:tcPr>
          <w:p w14:paraId="20338E46" w14:textId="7B553262" w:rsidR="00026F37" w:rsidRPr="0026705F" w:rsidRDefault="00026F37" w:rsidP="00026F37">
            <w:pPr>
              <w:spacing w:line="360" w:lineRule="auto"/>
              <w:jc w:val="center"/>
              <w:rPr>
                <w:sz w:val="18"/>
                <w:szCs w:val="18"/>
                <w:lang w:val="en-US"/>
              </w:rPr>
            </w:pPr>
            <w:r w:rsidRPr="0026705F">
              <w:rPr>
                <w:color w:val="000000"/>
                <w:sz w:val="18"/>
                <w:szCs w:val="18"/>
                <w:lang w:val="en-US"/>
              </w:rPr>
              <w:t>0,18</w:t>
            </w:r>
          </w:p>
        </w:tc>
        <w:tc>
          <w:tcPr>
            <w:tcW w:w="925" w:type="dxa"/>
            <w:vAlign w:val="center"/>
          </w:tcPr>
          <w:p w14:paraId="74E5DE0E" w14:textId="0E7ADA42" w:rsidR="00026F37" w:rsidRPr="0026705F" w:rsidRDefault="00026F37" w:rsidP="00026F37">
            <w:pPr>
              <w:spacing w:line="360" w:lineRule="auto"/>
              <w:jc w:val="center"/>
              <w:rPr>
                <w:sz w:val="18"/>
                <w:szCs w:val="18"/>
                <w:lang w:val="en-US"/>
              </w:rPr>
            </w:pPr>
            <w:r w:rsidRPr="0026705F">
              <w:rPr>
                <w:color w:val="000000"/>
                <w:sz w:val="18"/>
                <w:szCs w:val="18"/>
                <w:lang w:val="en-US"/>
              </w:rPr>
              <w:t>0,775</w:t>
            </w:r>
          </w:p>
        </w:tc>
        <w:tc>
          <w:tcPr>
            <w:tcW w:w="837" w:type="dxa"/>
            <w:vAlign w:val="center"/>
          </w:tcPr>
          <w:p w14:paraId="3184C77E" w14:textId="2AAB4081"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0D9B3B12" w14:textId="126BFC2F" w:rsidR="00026F37" w:rsidRPr="0026705F" w:rsidRDefault="00026F37" w:rsidP="00026F37">
            <w:pPr>
              <w:spacing w:line="360" w:lineRule="auto"/>
              <w:jc w:val="center"/>
              <w:rPr>
                <w:sz w:val="18"/>
                <w:szCs w:val="18"/>
                <w:lang w:val="en-US"/>
              </w:rPr>
            </w:pPr>
            <w:r w:rsidRPr="0026705F">
              <w:rPr>
                <w:color w:val="000000"/>
                <w:sz w:val="18"/>
                <w:szCs w:val="18"/>
                <w:lang w:val="en-US"/>
              </w:rPr>
              <w:t>-2,58867</w:t>
            </w:r>
          </w:p>
        </w:tc>
        <w:tc>
          <w:tcPr>
            <w:tcW w:w="925" w:type="dxa"/>
            <w:vAlign w:val="center"/>
          </w:tcPr>
          <w:p w14:paraId="1735E14E" w14:textId="53B651BE" w:rsidR="00026F37" w:rsidRPr="0026705F" w:rsidRDefault="00026F37" w:rsidP="00026F37">
            <w:pPr>
              <w:spacing w:line="360" w:lineRule="auto"/>
              <w:jc w:val="center"/>
              <w:rPr>
                <w:sz w:val="18"/>
                <w:szCs w:val="18"/>
                <w:lang w:val="en-US"/>
              </w:rPr>
            </w:pPr>
            <w:r w:rsidRPr="0026705F">
              <w:rPr>
                <w:color w:val="000000"/>
                <w:sz w:val="18"/>
                <w:szCs w:val="18"/>
                <w:lang w:val="en-US"/>
              </w:rPr>
              <w:t>0,18</w:t>
            </w:r>
          </w:p>
        </w:tc>
        <w:tc>
          <w:tcPr>
            <w:tcW w:w="925" w:type="dxa"/>
            <w:vAlign w:val="center"/>
          </w:tcPr>
          <w:p w14:paraId="091136EB" w14:textId="146AC87B" w:rsidR="00026F37" w:rsidRPr="0026705F" w:rsidRDefault="00026F37" w:rsidP="00026F37">
            <w:pPr>
              <w:spacing w:line="360" w:lineRule="auto"/>
              <w:jc w:val="center"/>
              <w:rPr>
                <w:sz w:val="18"/>
                <w:szCs w:val="18"/>
                <w:lang w:val="en-US"/>
              </w:rPr>
            </w:pPr>
            <w:r w:rsidRPr="0026705F">
              <w:rPr>
                <w:color w:val="000000"/>
                <w:sz w:val="18"/>
                <w:szCs w:val="18"/>
                <w:lang w:val="en-US"/>
              </w:rPr>
              <w:t>0,802</w:t>
            </w:r>
          </w:p>
        </w:tc>
        <w:tc>
          <w:tcPr>
            <w:tcW w:w="964" w:type="dxa"/>
            <w:vAlign w:val="center"/>
          </w:tcPr>
          <w:p w14:paraId="74749715" w14:textId="107EAFB2"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7D85CB7A" w14:textId="5F4FAA82" w:rsidR="00026F37" w:rsidRPr="0026705F" w:rsidRDefault="00026F37" w:rsidP="00026F37">
            <w:pPr>
              <w:spacing w:line="360" w:lineRule="auto"/>
              <w:jc w:val="center"/>
              <w:rPr>
                <w:sz w:val="18"/>
                <w:szCs w:val="18"/>
                <w:lang w:val="en-US"/>
              </w:rPr>
            </w:pPr>
            <w:r w:rsidRPr="0026705F">
              <w:rPr>
                <w:color w:val="000000"/>
                <w:sz w:val="18"/>
                <w:szCs w:val="18"/>
                <w:lang w:val="en-US"/>
              </w:rPr>
              <w:t>-2.553521471</w:t>
            </w:r>
          </w:p>
        </w:tc>
        <w:tc>
          <w:tcPr>
            <w:tcW w:w="850" w:type="dxa"/>
            <w:vAlign w:val="center"/>
          </w:tcPr>
          <w:p w14:paraId="0DF87083" w14:textId="0E4D18B8" w:rsidR="00026F37" w:rsidRPr="0026705F" w:rsidRDefault="00026F37" w:rsidP="00026F37">
            <w:pPr>
              <w:spacing w:line="360" w:lineRule="auto"/>
              <w:jc w:val="center"/>
              <w:rPr>
                <w:sz w:val="18"/>
                <w:szCs w:val="18"/>
                <w:lang w:val="en-US"/>
              </w:rPr>
            </w:pPr>
            <w:r w:rsidRPr="0026705F">
              <w:rPr>
                <w:color w:val="000000"/>
                <w:sz w:val="18"/>
                <w:szCs w:val="18"/>
                <w:lang w:val="en-US"/>
              </w:rPr>
              <w:t>-38,544</w:t>
            </w:r>
          </w:p>
        </w:tc>
      </w:tr>
      <w:tr w:rsidR="00026F37" w:rsidRPr="0026705F" w14:paraId="2317B9F4" w14:textId="0F010F69" w:rsidTr="004F155D">
        <w:tc>
          <w:tcPr>
            <w:tcW w:w="1209" w:type="dxa"/>
            <w:vAlign w:val="center"/>
          </w:tcPr>
          <w:p w14:paraId="61872EF7" w14:textId="735FEC5F" w:rsidR="00026F37" w:rsidRPr="0026705F" w:rsidRDefault="00026F37" w:rsidP="00026F37">
            <w:pPr>
              <w:spacing w:line="360" w:lineRule="auto"/>
              <w:jc w:val="center"/>
              <w:rPr>
                <w:sz w:val="18"/>
                <w:szCs w:val="18"/>
                <w:lang w:val="en-US"/>
              </w:rPr>
            </w:pPr>
            <w:r w:rsidRPr="0026705F">
              <w:rPr>
                <w:i/>
                <w:iCs/>
                <w:color w:val="000000"/>
                <w:sz w:val="18"/>
                <w:szCs w:val="18"/>
                <w:lang w:val="en-US"/>
              </w:rPr>
              <w:t>POSTN</w:t>
            </w:r>
          </w:p>
        </w:tc>
        <w:tc>
          <w:tcPr>
            <w:tcW w:w="925" w:type="dxa"/>
            <w:vAlign w:val="center"/>
          </w:tcPr>
          <w:p w14:paraId="1A21AA20" w14:textId="196FC7E3" w:rsidR="00026F37" w:rsidRPr="0026705F" w:rsidRDefault="00026F37" w:rsidP="00026F37">
            <w:pPr>
              <w:spacing w:line="360" w:lineRule="auto"/>
              <w:jc w:val="center"/>
              <w:rPr>
                <w:sz w:val="18"/>
                <w:szCs w:val="18"/>
                <w:lang w:val="en-US"/>
              </w:rPr>
            </w:pPr>
            <w:r w:rsidRPr="0026705F">
              <w:rPr>
                <w:color w:val="000000"/>
                <w:sz w:val="18"/>
                <w:szCs w:val="18"/>
                <w:lang w:val="en-US"/>
              </w:rPr>
              <w:t>-2,48366</w:t>
            </w:r>
          </w:p>
        </w:tc>
        <w:tc>
          <w:tcPr>
            <w:tcW w:w="925" w:type="dxa"/>
            <w:vAlign w:val="center"/>
          </w:tcPr>
          <w:p w14:paraId="188852C9" w14:textId="4796B7BB" w:rsidR="00026F37" w:rsidRPr="0026705F" w:rsidRDefault="00026F37" w:rsidP="00026F37">
            <w:pPr>
              <w:spacing w:line="360" w:lineRule="auto"/>
              <w:jc w:val="center"/>
              <w:rPr>
                <w:sz w:val="18"/>
                <w:szCs w:val="18"/>
                <w:lang w:val="en-US"/>
              </w:rPr>
            </w:pPr>
            <w:r w:rsidRPr="0026705F">
              <w:rPr>
                <w:color w:val="000000"/>
                <w:sz w:val="18"/>
                <w:szCs w:val="18"/>
                <w:lang w:val="en-US"/>
              </w:rPr>
              <w:t>0,767</w:t>
            </w:r>
          </w:p>
        </w:tc>
        <w:tc>
          <w:tcPr>
            <w:tcW w:w="925" w:type="dxa"/>
            <w:vAlign w:val="center"/>
          </w:tcPr>
          <w:p w14:paraId="40DCB599" w14:textId="7C135E4A" w:rsidR="00026F37" w:rsidRPr="0026705F" w:rsidRDefault="00026F37" w:rsidP="00026F37">
            <w:pPr>
              <w:spacing w:line="360" w:lineRule="auto"/>
              <w:jc w:val="center"/>
              <w:rPr>
                <w:sz w:val="18"/>
                <w:szCs w:val="18"/>
                <w:lang w:val="en-US"/>
              </w:rPr>
            </w:pPr>
            <w:r w:rsidRPr="0026705F">
              <w:rPr>
                <w:color w:val="000000"/>
                <w:sz w:val="18"/>
                <w:szCs w:val="18"/>
                <w:lang w:val="en-US"/>
              </w:rPr>
              <w:t>0,98</w:t>
            </w:r>
          </w:p>
        </w:tc>
        <w:tc>
          <w:tcPr>
            <w:tcW w:w="837" w:type="dxa"/>
            <w:vAlign w:val="center"/>
          </w:tcPr>
          <w:p w14:paraId="6E2F7A7B" w14:textId="6A732BCB"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36497602" w14:textId="1C96AA3D" w:rsidR="00026F37" w:rsidRPr="0026705F" w:rsidRDefault="00026F37" w:rsidP="00026F37">
            <w:pPr>
              <w:spacing w:line="360" w:lineRule="auto"/>
              <w:jc w:val="center"/>
              <w:rPr>
                <w:sz w:val="18"/>
                <w:szCs w:val="18"/>
                <w:lang w:val="en-US"/>
              </w:rPr>
            </w:pPr>
            <w:r w:rsidRPr="0026705F">
              <w:rPr>
                <w:color w:val="000000"/>
                <w:sz w:val="18"/>
                <w:szCs w:val="18"/>
                <w:lang w:val="en-US"/>
              </w:rPr>
              <w:t>-2,44336</w:t>
            </w:r>
          </w:p>
        </w:tc>
        <w:tc>
          <w:tcPr>
            <w:tcW w:w="925" w:type="dxa"/>
            <w:vAlign w:val="center"/>
          </w:tcPr>
          <w:p w14:paraId="3B40FFFF" w14:textId="5B0D9C8F" w:rsidR="00026F37" w:rsidRPr="0026705F" w:rsidRDefault="00026F37" w:rsidP="00026F37">
            <w:pPr>
              <w:spacing w:line="360" w:lineRule="auto"/>
              <w:jc w:val="center"/>
              <w:rPr>
                <w:sz w:val="18"/>
                <w:szCs w:val="18"/>
                <w:lang w:val="en-US"/>
              </w:rPr>
            </w:pPr>
            <w:r w:rsidRPr="0026705F">
              <w:rPr>
                <w:color w:val="000000"/>
                <w:sz w:val="18"/>
                <w:szCs w:val="18"/>
                <w:lang w:val="en-US"/>
              </w:rPr>
              <w:t>0,767</w:t>
            </w:r>
          </w:p>
        </w:tc>
        <w:tc>
          <w:tcPr>
            <w:tcW w:w="925" w:type="dxa"/>
            <w:vAlign w:val="center"/>
          </w:tcPr>
          <w:p w14:paraId="47A9A83D" w14:textId="343BEED8" w:rsidR="00026F37" w:rsidRPr="0026705F" w:rsidRDefault="00026F37" w:rsidP="00026F37">
            <w:pPr>
              <w:spacing w:line="360" w:lineRule="auto"/>
              <w:jc w:val="center"/>
              <w:rPr>
                <w:sz w:val="18"/>
                <w:szCs w:val="18"/>
                <w:lang w:val="en-US"/>
              </w:rPr>
            </w:pPr>
            <w:r w:rsidRPr="0026705F">
              <w:rPr>
                <w:color w:val="000000"/>
                <w:sz w:val="18"/>
                <w:szCs w:val="18"/>
                <w:lang w:val="en-US"/>
              </w:rPr>
              <w:t>0,907</w:t>
            </w:r>
          </w:p>
        </w:tc>
        <w:tc>
          <w:tcPr>
            <w:tcW w:w="964" w:type="dxa"/>
            <w:vAlign w:val="center"/>
          </w:tcPr>
          <w:p w14:paraId="52A7F464" w14:textId="5DEB4AFF"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078C0E92" w14:textId="3EB9F601" w:rsidR="00026F37" w:rsidRPr="0026705F" w:rsidRDefault="00026F37" w:rsidP="00026F37">
            <w:pPr>
              <w:spacing w:line="360" w:lineRule="auto"/>
              <w:jc w:val="center"/>
              <w:rPr>
                <w:sz w:val="18"/>
                <w:szCs w:val="18"/>
                <w:lang w:val="en-US"/>
              </w:rPr>
            </w:pPr>
            <w:r w:rsidRPr="0026705F">
              <w:rPr>
                <w:color w:val="000000"/>
                <w:sz w:val="18"/>
                <w:szCs w:val="18"/>
                <w:lang w:val="en-US"/>
              </w:rPr>
              <w:t>-4.277563864</w:t>
            </w:r>
          </w:p>
        </w:tc>
        <w:tc>
          <w:tcPr>
            <w:tcW w:w="850" w:type="dxa"/>
            <w:vAlign w:val="center"/>
          </w:tcPr>
          <w:p w14:paraId="36B8DD00" w14:textId="7F1F4FD0" w:rsidR="00026F37" w:rsidRPr="0026705F" w:rsidRDefault="00026F37" w:rsidP="00026F37">
            <w:pPr>
              <w:spacing w:line="360" w:lineRule="auto"/>
              <w:jc w:val="center"/>
              <w:rPr>
                <w:sz w:val="18"/>
                <w:szCs w:val="18"/>
                <w:lang w:val="en-US"/>
              </w:rPr>
            </w:pPr>
            <w:r w:rsidRPr="0026705F">
              <w:rPr>
                <w:color w:val="000000"/>
                <w:sz w:val="18"/>
                <w:szCs w:val="18"/>
                <w:lang w:val="en-US"/>
              </w:rPr>
              <w:t>-42,901</w:t>
            </w:r>
          </w:p>
        </w:tc>
      </w:tr>
      <w:tr w:rsidR="00026F37" w:rsidRPr="0026705F" w14:paraId="41D65CD1" w14:textId="6D032921" w:rsidTr="004F155D">
        <w:tc>
          <w:tcPr>
            <w:tcW w:w="1209" w:type="dxa"/>
            <w:vAlign w:val="center"/>
          </w:tcPr>
          <w:p w14:paraId="604580FB" w14:textId="41FBE947" w:rsidR="00026F37" w:rsidRPr="0026705F" w:rsidRDefault="00026F37" w:rsidP="00026F37">
            <w:pPr>
              <w:spacing w:line="360" w:lineRule="auto"/>
              <w:jc w:val="center"/>
              <w:rPr>
                <w:sz w:val="18"/>
                <w:szCs w:val="18"/>
                <w:lang w:val="en-US"/>
              </w:rPr>
            </w:pPr>
            <w:r w:rsidRPr="0026705F">
              <w:rPr>
                <w:i/>
                <w:iCs/>
                <w:color w:val="000000"/>
                <w:sz w:val="18"/>
                <w:szCs w:val="18"/>
                <w:lang w:val="en-US"/>
              </w:rPr>
              <w:t>TAGLN</w:t>
            </w:r>
          </w:p>
        </w:tc>
        <w:tc>
          <w:tcPr>
            <w:tcW w:w="925" w:type="dxa"/>
            <w:vAlign w:val="center"/>
          </w:tcPr>
          <w:p w14:paraId="657217FD" w14:textId="70540975" w:rsidR="00026F37" w:rsidRPr="0026705F" w:rsidRDefault="00026F37" w:rsidP="00026F37">
            <w:pPr>
              <w:spacing w:line="360" w:lineRule="auto"/>
              <w:jc w:val="center"/>
              <w:rPr>
                <w:sz w:val="18"/>
                <w:szCs w:val="18"/>
                <w:lang w:val="en-US"/>
              </w:rPr>
            </w:pPr>
            <w:r w:rsidRPr="0026705F">
              <w:rPr>
                <w:color w:val="000000"/>
                <w:sz w:val="18"/>
                <w:szCs w:val="18"/>
                <w:lang w:val="en-US"/>
              </w:rPr>
              <w:t>-2,65058</w:t>
            </w:r>
          </w:p>
        </w:tc>
        <w:tc>
          <w:tcPr>
            <w:tcW w:w="925" w:type="dxa"/>
            <w:vAlign w:val="center"/>
          </w:tcPr>
          <w:p w14:paraId="650F39F2" w14:textId="15B04ADF" w:rsidR="00026F37" w:rsidRPr="0026705F" w:rsidRDefault="00026F37" w:rsidP="00026F37">
            <w:pPr>
              <w:spacing w:line="360" w:lineRule="auto"/>
              <w:jc w:val="center"/>
              <w:rPr>
                <w:sz w:val="18"/>
                <w:szCs w:val="18"/>
                <w:lang w:val="en-US"/>
              </w:rPr>
            </w:pPr>
            <w:r w:rsidRPr="0026705F">
              <w:rPr>
                <w:color w:val="000000"/>
                <w:sz w:val="18"/>
                <w:szCs w:val="18"/>
                <w:lang w:val="en-US"/>
              </w:rPr>
              <w:t>0,714</w:t>
            </w:r>
          </w:p>
        </w:tc>
        <w:tc>
          <w:tcPr>
            <w:tcW w:w="925" w:type="dxa"/>
            <w:vAlign w:val="center"/>
          </w:tcPr>
          <w:p w14:paraId="142EEE7B" w14:textId="27350895" w:rsidR="00026F37" w:rsidRPr="0026705F" w:rsidRDefault="00026F37" w:rsidP="00026F37">
            <w:pPr>
              <w:spacing w:line="360" w:lineRule="auto"/>
              <w:jc w:val="center"/>
              <w:rPr>
                <w:sz w:val="18"/>
                <w:szCs w:val="18"/>
                <w:lang w:val="en-US"/>
              </w:rPr>
            </w:pPr>
            <w:r w:rsidRPr="0026705F">
              <w:rPr>
                <w:color w:val="000000"/>
                <w:sz w:val="18"/>
                <w:szCs w:val="18"/>
                <w:lang w:val="en-US"/>
              </w:rPr>
              <w:t>0,994</w:t>
            </w:r>
          </w:p>
        </w:tc>
        <w:tc>
          <w:tcPr>
            <w:tcW w:w="837" w:type="dxa"/>
            <w:vAlign w:val="center"/>
          </w:tcPr>
          <w:p w14:paraId="677F97EF" w14:textId="1B78044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51D0C64" w14:textId="3FA0213D" w:rsidR="00026F37" w:rsidRPr="0026705F" w:rsidRDefault="00026F37" w:rsidP="00026F37">
            <w:pPr>
              <w:spacing w:line="360" w:lineRule="auto"/>
              <w:jc w:val="center"/>
              <w:rPr>
                <w:sz w:val="18"/>
                <w:szCs w:val="18"/>
                <w:lang w:val="en-US"/>
              </w:rPr>
            </w:pPr>
            <w:r w:rsidRPr="0026705F">
              <w:rPr>
                <w:color w:val="000000"/>
                <w:sz w:val="18"/>
                <w:szCs w:val="18"/>
                <w:lang w:val="en-US"/>
              </w:rPr>
              <w:t>-2,77994</w:t>
            </w:r>
          </w:p>
        </w:tc>
        <w:tc>
          <w:tcPr>
            <w:tcW w:w="925" w:type="dxa"/>
            <w:vAlign w:val="center"/>
          </w:tcPr>
          <w:p w14:paraId="56714BCB" w14:textId="7D27F620" w:rsidR="00026F37" w:rsidRPr="0026705F" w:rsidRDefault="00026F37" w:rsidP="00026F37">
            <w:pPr>
              <w:spacing w:line="360" w:lineRule="auto"/>
              <w:jc w:val="center"/>
              <w:rPr>
                <w:sz w:val="18"/>
                <w:szCs w:val="18"/>
                <w:lang w:val="en-US"/>
              </w:rPr>
            </w:pPr>
            <w:r w:rsidRPr="0026705F">
              <w:rPr>
                <w:color w:val="000000"/>
                <w:sz w:val="18"/>
                <w:szCs w:val="18"/>
                <w:lang w:val="en-US"/>
              </w:rPr>
              <w:t>0,714</w:t>
            </w:r>
          </w:p>
        </w:tc>
        <w:tc>
          <w:tcPr>
            <w:tcW w:w="925" w:type="dxa"/>
            <w:vAlign w:val="center"/>
          </w:tcPr>
          <w:p w14:paraId="53758110" w14:textId="011A2915" w:rsidR="00026F37" w:rsidRPr="0026705F" w:rsidRDefault="00026F37" w:rsidP="00026F37">
            <w:pPr>
              <w:spacing w:line="360" w:lineRule="auto"/>
              <w:jc w:val="center"/>
              <w:rPr>
                <w:sz w:val="18"/>
                <w:szCs w:val="18"/>
                <w:lang w:val="en-US"/>
              </w:rPr>
            </w:pPr>
            <w:r w:rsidRPr="0026705F">
              <w:rPr>
                <w:color w:val="000000"/>
                <w:sz w:val="18"/>
                <w:szCs w:val="18"/>
                <w:lang w:val="en-US"/>
              </w:rPr>
              <w:t>0,989</w:t>
            </w:r>
          </w:p>
        </w:tc>
        <w:tc>
          <w:tcPr>
            <w:tcW w:w="964" w:type="dxa"/>
            <w:vAlign w:val="center"/>
          </w:tcPr>
          <w:p w14:paraId="5DE5263E" w14:textId="3CC988B4"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7BAD48FF" w14:textId="6F45DB64" w:rsidR="00026F37" w:rsidRPr="0026705F" w:rsidRDefault="00026F37" w:rsidP="00026F37">
            <w:pPr>
              <w:spacing w:line="360" w:lineRule="auto"/>
              <w:jc w:val="center"/>
              <w:rPr>
                <w:sz w:val="18"/>
                <w:szCs w:val="18"/>
                <w:lang w:val="en-US"/>
              </w:rPr>
            </w:pPr>
            <w:r w:rsidRPr="0026705F">
              <w:rPr>
                <w:color w:val="000000"/>
                <w:sz w:val="18"/>
                <w:szCs w:val="18"/>
                <w:lang w:val="en-US"/>
              </w:rPr>
              <w:t>-2.623927376</w:t>
            </w:r>
          </w:p>
        </w:tc>
        <w:tc>
          <w:tcPr>
            <w:tcW w:w="850" w:type="dxa"/>
            <w:vAlign w:val="center"/>
          </w:tcPr>
          <w:p w14:paraId="2D4DD8EA" w14:textId="65FE7CB1" w:rsidR="00026F37" w:rsidRPr="0026705F" w:rsidRDefault="00026F37" w:rsidP="00026F37">
            <w:pPr>
              <w:spacing w:line="360" w:lineRule="auto"/>
              <w:jc w:val="center"/>
              <w:rPr>
                <w:sz w:val="18"/>
                <w:szCs w:val="18"/>
                <w:lang w:val="en-US"/>
              </w:rPr>
            </w:pPr>
            <w:r w:rsidRPr="0026705F">
              <w:rPr>
                <w:color w:val="000000"/>
                <w:sz w:val="18"/>
                <w:szCs w:val="18"/>
                <w:lang w:val="en-US"/>
              </w:rPr>
              <w:t>-27,861</w:t>
            </w:r>
          </w:p>
        </w:tc>
      </w:tr>
      <w:tr w:rsidR="00026F37" w:rsidRPr="0026705F" w14:paraId="52AC24CC" w14:textId="1E876180" w:rsidTr="004F155D">
        <w:tc>
          <w:tcPr>
            <w:tcW w:w="1209" w:type="dxa"/>
            <w:vAlign w:val="center"/>
          </w:tcPr>
          <w:p w14:paraId="57B39345" w14:textId="783130DE" w:rsidR="00026F37" w:rsidRPr="0026705F" w:rsidRDefault="00026F37" w:rsidP="00026F37">
            <w:pPr>
              <w:spacing w:line="360" w:lineRule="auto"/>
              <w:jc w:val="center"/>
              <w:rPr>
                <w:sz w:val="18"/>
                <w:szCs w:val="18"/>
                <w:lang w:val="en-US"/>
              </w:rPr>
            </w:pPr>
            <w:r w:rsidRPr="0026705F">
              <w:rPr>
                <w:i/>
                <w:iCs/>
                <w:color w:val="000000"/>
                <w:sz w:val="18"/>
                <w:szCs w:val="18"/>
                <w:lang w:val="en-US"/>
              </w:rPr>
              <w:t>MGP</w:t>
            </w:r>
          </w:p>
        </w:tc>
        <w:tc>
          <w:tcPr>
            <w:tcW w:w="925" w:type="dxa"/>
            <w:vAlign w:val="center"/>
          </w:tcPr>
          <w:p w14:paraId="1F2593A3" w14:textId="62FBBDF8" w:rsidR="00026F37" w:rsidRPr="0026705F" w:rsidRDefault="00026F37" w:rsidP="00026F37">
            <w:pPr>
              <w:spacing w:line="360" w:lineRule="auto"/>
              <w:jc w:val="center"/>
              <w:rPr>
                <w:sz w:val="18"/>
                <w:szCs w:val="18"/>
                <w:lang w:val="en-US"/>
              </w:rPr>
            </w:pPr>
            <w:r w:rsidRPr="0026705F">
              <w:rPr>
                <w:color w:val="000000"/>
                <w:sz w:val="18"/>
                <w:szCs w:val="18"/>
                <w:lang w:val="en-US"/>
              </w:rPr>
              <w:t>-2,68571</w:t>
            </w:r>
          </w:p>
        </w:tc>
        <w:tc>
          <w:tcPr>
            <w:tcW w:w="925" w:type="dxa"/>
            <w:vAlign w:val="center"/>
          </w:tcPr>
          <w:p w14:paraId="7F9D9852" w14:textId="29D0BBF1" w:rsidR="00026F37" w:rsidRPr="0026705F" w:rsidRDefault="00026F37" w:rsidP="00026F37">
            <w:pPr>
              <w:spacing w:line="360" w:lineRule="auto"/>
              <w:jc w:val="center"/>
              <w:rPr>
                <w:sz w:val="18"/>
                <w:szCs w:val="18"/>
                <w:lang w:val="en-US"/>
              </w:rPr>
            </w:pPr>
            <w:r w:rsidRPr="0026705F">
              <w:rPr>
                <w:color w:val="000000"/>
                <w:sz w:val="18"/>
                <w:szCs w:val="18"/>
                <w:lang w:val="en-US"/>
              </w:rPr>
              <w:t>0,054</w:t>
            </w:r>
          </w:p>
        </w:tc>
        <w:tc>
          <w:tcPr>
            <w:tcW w:w="925" w:type="dxa"/>
            <w:vAlign w:val="center"/>
          </w:tcPr>
          <w:p w14:paraId="5BE98643" w14:textId="47C6DB9A" w:rsidR="00026F37" w:rsidRPr="0026705F" w:rsidRDefault="00026F37" w:rsidP="00026F37">
            <w:pPr>
              <w:spacing w:line="360" w:lineRule="auto"/>
              <w:jc w:val="center"/>
              <w:rPr>
                <w:sz w:val="18"/>
                <w:szCs w:val="18"/>
                <w:lang w:val="en-US"/>
              </w:rPr>
            </w:pPr>
            <w:r w:rsidRPr="0026705F">
              <w:rPr>
                <w:color w:val="000000"/>
                <w:sz w:val="18"/>
                <w:szCs w:val="18"/>
                <w:lang w:val="en-US"/>
              </w:rPr>
              <w:t>0,765</w:t>
            </w:r>
          </w:p>
        </w:tc>
        <w:tc>
          <w:tcPr>
            <w:tcW w:w="837" w:type="dxa"/>
            <w:vAlign w:val="center"/>
          </w:tcPr>
          <w:p w14:paraId="28D09793" w14:textId="245CF06A"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57A3111E" w14:textId="03650012" w:rsidR="00026F37" w:rsidRPr="0026705F" w:rsidRDefault="00026F37" w:rsidP="00026F37">
            <w:pPr>
              <w:spacing w:line="360" w:lineRule="auto"/>
              <w:jc w:val="center"/>
              <w:rPr>
                <w:sz w:val="18"/>
                <w:szCs w:val="18"/>
                <w:lang w:val="en-US"/>
              </w:rPr>
            </w:pPr>
            <w:r w:rsidRPr="0026705F">
              <w:rPr>
                <w:color w:val="000000"/>
                <w:sz w:val="18"/>
                <w:szCs w:val="18"/>
                <w:lang w:val="en-US"/>
              </w:rPr>
              <w:t>-3,13864</w:t>
            </w:r>
          </w:p>
        </w:tc>
        <w:tc>
          <w:tcPr>
            <w:tcW w:w="925" w:type="dxa"/>
            <w:vAlign w:val="center"/>
          </w:tcPr>
          <w:p w14:paraId="25D4951A" w14:textId="54C07380" w:rsidR="00026F37" w:rsidRPr="0026705F" w:rsidRDefault="00026F37" w:rsidP="00026F37">
            <w:pPr>
              <w:spacing w:line="360" w:lineRule="auto"/>
              <w:jc w:val="center"/>
              <w:rPr>
                <w:sz w:val="18"/>
                <w:szCs w:val="18"/>
                <w:lang w:val="en-US"/>
              </w:rPr>
            </w:pPr>
            <w:r w:rsidRPr="0026705F">
              <w:rPr>
                <w:color w:val="000000"/>
                <w:sz w:val="18"/>
                <w:szCs w:val="18"/>
                <w:lang w:val="en-US"/>
              </w:rPr>
              <w:t>0,054</w:t>
            </w:r>
          </w:p>
        </w:tc>
        <w:tc>
          <w:tcPr>
            <w:tcW w:w="925" w:type="dxa"/>
            <w:vAlign w:val="center"/>
          </w:tcPr>
          <w:p w14:paraId="6768BAD1" w14:textId="761BE1D8" w:rsidR="00026F37" w:rsidRPr="0026705F" w:rsidRDefault="00026F37" w:rsidP="00026F37">
            <w:pPr>
              <w:spacing w:line="360" w:lineRule="auto"/>
              <w:jc w:val="center"/>
              <w:rPr>
                <w:sz w:val="18"/>
                <w:szCs w:val="18"/>
                <w:lang w:val="en-US"/>
              </w:rPr>
            </w:pPr>
            <w:r w:rsidRPr="0026705F">
              <w:rPr>
                <w:color w:val="000000"/>
                <w:sz w:val="18"/>
                <w:szCs w:val="18"/>
                <w:lang w:val="en-US"/>
              </w:rPr>
              <w:t>0,781</w:t>
            </w:r>
          </w:p>
        </w:tc>
        <w:tc>
          <w:tcPr>
            <w:tcW w:w="964" w:type="dxa"/>
            <w:vAlign w:val="center"/>
          </w:tcPr>
          <w:p w14:paraId="37D3E2DB" w14:textId="5F5D62C4"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2190FFA5" w14:textId="08D380EF" w:rsidR="00026F37" w:rsidRPr="0026705F" w:rsidRDefault="00026F37" w:rsidP="00026F37">
            <w:pPr>
              <w:spacing w:line="360" w:lineRule="auto"/>
              <w:jc w:val="center"/>
              <w:rPr>
                <w:sz w:val="18"/>
                <w:szCs w:val="18"/>
                <w:lang w:val="en-US"/>
              </w:rPr>
            </w:pPr>
            <w:r w:rsidRPr="0026705F">
              <w:rPr>
                <w:color w:val="000000"/>
                <w:sz w:val="18"/>
                <w:szCs w:val="18"/>
                <w:lang w:val="en-US"/>
              </w:rPr>
              <w:t>N/S</w:t>
            </w:r>
          </w:p>
        </w:tc>
        <w:tc>
          <w:tcPr>
            <w:tcW w:w="850" w:type="dxa"/>
            <w:vAlign w:val="center"/>
          </w:tcPr>
          <w:p w14:paraId="4AB432D5" w14:textId="4FB87C2C" w:rsidR="00026F37" w:rsidRPr="0026705F" w:rsidRDefault="00026F37" w:rsidP="00026F37">
            <w:pPr>
              <w:spacing w:line="360" w:lineRule="auto"/>
              <w:jc w:val="center"/>
              <w:rPr>
                <w:sz w:val="18"/>
                <w:szCs w:val="18"/>
                <w:lang w:val="en-US"/>
              </w:rPr>
            </w:pPr>
            <w:r w:rsidRPr="0026705F">
              <w:rPr>
                <w:color w:val="000000"/>
                <w:sz w:val="18"/>
                <w:szCs w:val="18"/>
                <w:lang w:val="en-US"/>
              </w:rPr>
              <w:t>-30,292</w:t>
            </w:r>
          </w:p>
        </w:tc>
      </w:tr>
      <w:tr w:rsidR="00026F37" w:rsidRPr="0026705F" w14:paraId="05ED4E90" w14:textId="7E0EEC38" w:rsidTr="004F155D">
        <w:tc>
          <w:tcPr>
            <w:tcW w:w="1209" w:type="dxa"/>
            <w:vAlign w:val="center"/>
          </w:tcPr>
          <w:p w14:paraId="310C875E" w14:textId="122C99F4" w:rsidR="00026F37" w:rsidRPr="0026705F" w:rsidRDefault="00026F37" w:rsidP="00026F37">
            <w:pPr>
              <w:spacing w:line="360" w:lineRule="auto"/>
              <w:jc w:val="center"/>
              <w:rPr>
                <w:sz w:val="18"/>
                <w:szCs w:val="18"/>
                <w:lang w:val="en-US"/>
              </w:rPr>
            </w:pPr>
            <w:r w:rsidRPr="0026705F">
              <w:rPr>
                <w:i/>
                <w:iCs/>
                <w:color w:val="000000"/>
                <w:sz w:val="18"/>
                <w:szCs w:val="18"/>
                <w:lang w:val="en-US"/>
              </w:rPr>
              <w:t>PI16</w:t>
            </w:r>
          </w:p>
        </w:tc>
        <w:tc>
          <w:tcPr>
            <w:tcW w:w="925" w:type="dxa"/>
            <w:vAlign w:val="center"/>
          </w:tcPr>
          <w:p w14:paraId="48B1F225" w14:textId="6EB3C5A8" w:rsidR="00026F37" w:rsidRPr="0026705F" w:rsidRDefault="00026F37" w:rsidP="00026F37">
            <w:pPr>
              <w:spacing w:line="360" w:lineRule="auto"/>
              <w:jc w:val="center"/>
              <w:rPr>
                <w:sz w:val="18"/>
                <w:szCs w:val="18"/>
                <w:lang w:val="en-US"/>
              </w:rPr>
            </w:pPr>
            <w:r w:rsidRPr="0026705F">
              <w:rPr>
                <w:color w:val="000000"/>
                <w:sz w:val="18"/>
                <w:szCs w:val="18"/>
                <w:lang w:val="en-US"/>
              </w:rPr>
              <w:t>-2,96732</w:t>
            </w:r>
          </w:p>
        </w:tc>
        <w:tc>
          <w:tcPr>
            <w:tcW w:w="925" w:type="dxa"/>
            <w:vAlign w:val="center"/>
          </w:tcPr>
          <w:p w14:paraId="6DA35CD7" w14:textId="5A8CBE5B" w:rsidR="00026F37" w:rsidRPr="0026705F" w:rsidRDefault="00026F37" w:rsidP="00026F37">
            <w:pPr>
              <w:spacing w:line="360" w:lineRule="auto"/>
              <w:jc w:val="center"/>
              <w:rPr>
                <w:sz w:val="18"/>
                <w:szCs w:val="18"/>
                <w:lang w:val="en-US"/>
              </w:rPr>
            </w:pPr>
            <w:r w:rsidRPr="0026705F">
              <w:rPr>
                <w:color w:val="000000"/>
                <w:sz w:val="18"/>
                <w:szCs w:val="18"/>
                <w:lang w:val="en-US"/>
              </w:rPr>
              <w:t>0,004</w:t>
            </w:r>
          </w:p>
        </w:tc>
        <w:tc>
          <w:tcPr>
            <w:tcW w:w="925" w:type="dxa"/>
            <w:vAlign w:val="center"/>
          </w:tcPr>
          <w:p w14:paraId="2F2D976C" w14:textId="646F7D33" w:rsidR="00026F37" w:rsidRPr="0026705F" w:rsidRDefault="00026F37" w:rsidP="00026F37">
            <w:pPr>
              <w:spacing w:line="360" w:lineRule="auto"/>
              <w:jc w:val="center"/>
              <w:rPr>
                <w:sz w:val="18"/>
                <w:szCs w:val="18"/>
                <w:lang w:val="en-US"/>
              </w:rPr>
            </w:pPr>
            <w:r w:rsidRPr="0026705F">
              <w:rPr>
                <w:color w:val="000000"/>
                <w:sz w:val="18"/>
                <w:szCs w:val="18"/>
                <w:lang w:val="en-US"/>
              </w:rPr>
              <w:t>0,624</w:t>
            </w:r>
          </w:p>
        </w:tc>
        <w:tc>
          <w:tcPr>
            <w:tcW w:w="837" w:type="dxa"/>
            <w:vAlign w:val="center"/>
          </w:tcPr>
          <w:p w14:paraId="0316D2B2" w14:textId="6D9BBD8D"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428CB029" w14:textId="060D8242" w:rsidR="00026F37" w:rsidRPr="0026705F" w:rsidRDefault="00026F37" w:rsidP="00026F37">
            <w:pPr>
              <w:spacing w:line="360" w:lineRule="auto"/>
              <w:jc w:val="center"/>
              <w:rPr>
                <w:sz w:val="18"/>
                <w:szCs w:val="18"/>
                <w:lang w:val="en-US"/>
              </w:rPr>
            </w:pPr>
            <w:r w:rsidRPr="0026705F">
              <w:rPr>
                <w:color w:val="000000"/>
                <w:sz w:val="18"/>
                <w:szCs w:val="18"/>
                <w:lang w:val="en-US"/>
              </w:rPr>
              <w:t>-1,79624</w:t>
            </w:r>
          </w:p>
        </w:tc>
        <w:tc>
          <w:tcPr>
            <w:tcW w:w="925" w:type="dxa"/>
            <w:vAlign w:val="center"/>
          </w:tcPr>
          <w:p w14:paraId="2A4EEFEF" w14:textId="4F4ACBC2" w:rsidR="00026F37" w:rsidRPr="0026705F" w:rsidRDefault="00026F37" w:rsidP="00026F37">
            <w:pPr>
              <w:spacing w:line="360" w:lineRule="auto"/>
              <w:jc w:val="center"/>
              <w:rPr>
                <w:sz w:val="18"/>
                <w:szCs w:val="18"/>
                <w:lang w:val="en-US"/>
              </w:rPr>
            </w:pPr>
            <w:r w:rsidRPr="0026705F">
              <w:rPr>
                <w:color w:val="000000"/>
                <w:sz w:val="18"/>
                <w:szCs w:val="18"/>
                <w:lang w:val="en-US"/>
              </w:rPr>
              <w:t>0,004</w:t>
            </w:r>
          </w:p>
        </w:tc>
        <w:tc>
          <w:tcPr>
            <w:tcW w:w="925" w:type="dxa"/>
            <w:vAlign w:val="center"/>
          </w:tcPr>
          <w:p w14:paraId="315771E7" w14:textId="0377AAA5" w:rsidR="00026F37" w:rsidRPr="0026705F" w:rsidRDefault="00026F37" w:rsidP="00026F37">
            <w:pPr>
              <w:spacing w:line="360" w:lineRule="auto"/>
              <w:jc w:val="center"/>
              <w:rPr>
                <w:sz w:val="18"/>
                <w:szCs w:val="18"/>
                <w:lang w:val="en-US"/>
              </w:rPr>
            </w:pPr>
            <w:r w:rsidRPr="0026705F">
              <w:rPr>
                <w:color w:val="000000"/>
                <w:sz w:val="18"/>
                <w:szCs w:val="18"/>
                <w:lang w:val="en-US"/>
              </w:rPr>
              <w:t>0,398</w:t>
            </w:r>
          </w:p>
        </w:tc>
        <w:tc>
          <w:tcPr>
            <w:tcW w:w="964" w:type="dxa"/>
            <w:vAlign w:val="center"/>
          </w:tcPr>
          <w:p w14:paraId="02B968BD" w14:textId="2F0B2D36"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2C605017" w14:textId="738096FF" w:rsidR="00026F37" w:rsidRPr="0026705F" w:rsidRDefault="00026F37" w:rsidP="00026F37">
            <w:pPr>
              <w:spacing w:line="360" w:lineRule="auto"/>
              <w:jc w:val="center"/>
              <w:rPr>
                <w:sz w:val="18"/>
                <w:szCs w:val="18"/>
                <w:lang w:val="en-US"/>
              </w:rPr>
            </w:pPr>
            <w:r w:rsidRPr="0026705F">
              <w:rPr>
                <w:color w:val="000000"/>
                <w:sz w:val="18"/>
                <w:szCs w:val="18"/>
                <w:lang w:val="en-US"/>
              </w:rPr>
              <w:t>-4.298649546</w:t>
            </w:r>
          </w:p>
        </w:tc>
        <w:tc>
          <w:tcPr>
            <w:tcW w:w="850" w:type="dxa"/>
            <w:vAlign w:val="center"/>
          </w:tcPr>
          <w:p w14:paraId="1D890E31" w14:textId="272DADDF" w:rsidR="00026F37" w:rsidRPr="0026705F" w:rsidRDefault="00026F37" w:rsidP="00026F37">
            <w:pPr>
              <w:spacing w:line="360" w:lineRule="auto"/>
              <w:jc w:val="center"/>
              <w:rPr>
                <w:sz w:val="18"/>
                <w:szCs w:val="18"/>
                <w:lang w:val="en-US"/>
              </w:rPr>
            </w:pPr>
            <w:r w:rsidRPr="0026705F">
              <w:rPr>
                <w:color w:val="000000"/>
                <w:sz w:val="18"/>
                <w:szCs w:val="18"/>
                <w:lang w:val="en-US"/>
              </w:rPr>
              <w:t>-49,878</w:t>
            </w:r>
          </w:p>
        </w:tc>
      </w:tr>
      <w:tr w:rsidR="00026F37" w:rsidRPr="0026705F" w14:paraId="3C81FFCB" w14:textId="2DF22C38" w:rsidTr="004F155D">
        <w:tc>
          <w:tcPr>
            <w:tcW w:w="1209" w:type="dxa"/>
            <w:vAlign w:val="center"/>
          </w:tcPr>
          <w:p w14:paraId="0C4AB6B2" w14:textId="1B366229" w:rsidR="00026F37" w:rsidRPr="0026705F" w:rsidRDefault="00026F37" w:rsidP="00026F37">
            <w:pPr>
              <w:spacing w:line="360" w:lineRule="auto"/>
              <w:jc w:val="center"/>
              <w:rPr>
                <w:i/>
                <w:iCs/>
                <w:color w:val="000000"/>
                <w:sz w:val="18"/>
                <w:szCs w:val="18"/>
                <w:lang w:val="en-US"/>
              </w:rPr>
            </w:pPr>
            <w:r w:rsidRPr="0026705F">
              <w:rPr>
                <w:i/>
                <w:iCs/>
                <w:color w:val="000000"/>
                <w:sz w:val="18"/>
                <w:szCs w:val="18"/>
                <w:lang w:val="en-US"/>
              </w:rPr>
              <w:t>MFAP5</w:t>
            </w:r>
          </w:p>
        </w:tc>
        <w:tc>
          <w:tcPr>
            <w:tcW w:w="925" w:type="dxa"/>
            <w:vAlign w:val="center"/>
          </w:tcPr>
          <w:p w14:paraId="294F84CF" w14:textId="01B2B3D3" w:rsidR="00026F37" w:rsidRPr="0026705F" w:rsidRDefault="00026F37" w:rsidP="00026F37">
            <w:pPr>
              <w:spacing w:line="360" w:lineRule="auto"/>
              <w:jc w:val="center"/>
              <w:rPr>
                <w:sz w:val="18"/>
                <w:szCs w:val="18"/>
                <w:lang w:val="en-US"/>
              </w:rPr>
            </w:pPr>
            <w:r w:rsidRPr="0026705F">
              <w:rPr>
                <w:color w:val="000000"/>
                <w:sz w:val="18"/>
                <w:szCs w:val="18"/>
                <w:lang w:val="en-US"/>
              </w:rPr>
              <w:t>-3,20671</w:t>
            </w:r>
          </w:p>
        </w:tc>
        <w:tc>
          <w:tcPr>
            <w:tcW w:w="925" w:type="dxa"/>
            <w:vAlign w:val="center"/>
          </w:tcPr>
          <w:p w14:paraId="6AA6D13D" w14:textId="1B88AAAF" w:rsidR="00026F37" w:rsidRPr="0026705F" w:rsidRDefault="00026F37" w:rsidP="00026F37">
            <w:pPr>
              <w:spacing w:line="360" w:lineRule="auto"/>
              <w:jc w:val="center"/>
              <w:rPr>
                <w:sz w:val="18"/>
                <w:szCs w:val="18"/>
                <w:lang w:val="en-US"/>
              </w:rPr>
            </w:pPr>
            <w:r w:rsidRPr="0026705F">
              <w:rPr>
                <w:color w:val="000000"/>
                <w:sz w:val="18"/>
                <w:szCs w:val="18"/>
                <w:lang w:val="en-US"/>
              </w:rPr>
              <w:t>0,199</w:t>
            </w:r>
          </w:p>
        </w:tc>
        <w:tc>
          <w:tcPr>
            <w:tcW w:w="925" w:type="dxa"/>
            <w:vAlign w:val="center"/>
          </w:tcPr>
          <w:p w14:paraId="1CB5FB69" w14:textId="6508C66D" w:rsidR="00026F37" w:rsidRPr="0026705F" w:rsidRDefault="00026F37" w:rsidP="00026F37">
            <w:pPr>
              <w:spacing w:line="360" w:lineRule="auto"/>
              <w:jc w:val="center"/>
              <w:rPr>
                <w:sz w:val="18"/>
                <w:szCs w:val="18"/>
                <w:lang w:val="en-US"/>
              </w:rPr>
            </w:pPr>
            <w:r w:rsidRPr="0026705F">
              <w:rPr>
                <w:color w:val="000000"/>
                <w:sz w:val="18"/>
                <w:szCs w:val="18"/>
                <w:lang w:val="en-US"/>
              </w:rPr>
              <w:t>0,989</w:t>
            </w:r>
          </w:p>
        </w:tc>
        <w:tc>
          <w:tcPr>
            <w:tcW w:w="837" w:type="dxa"/>
            <w:vAlign w:val="center"/>
          </w:tcPr>
          <w:p w14:paraId="0C7AB45A" w14:textId="1305F71C"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089B6F02" w14:textId="476F0A5B" w:rsidR="00026F37" w:rsidRPr="0026705F" w:rsidRDefault="00026F37" w:rsidP="00026F37">
            <w:pPr>
              <w:spacing w:line="360" w:lineRule="auto"/>
              <w:jc w:val="center"/>
              <w:rPr>
                <w:sz w:val="18"/>
                <w:szCs w:val="18"/>
                <w:lang w:val="en-US"/>
              </w:rPr>
            </w:pPr>
            <w:r w:rsidRPr="0026705F">
              <w:rPr>
                <w:color w:val="000000"/>
                <w:sz w:val="18"/>
                <w:szCs w:val="18"/>
                <w:lang w:val="en-US"/>
              </w:rPr>
              <w:t>-3,23205</w:t>
            </w:r>
          </w:p>
        </w:tc>
        <w:tc>
          <w:tcPr>
            <w:tcW w:w="925" w:type="dxa"/>
            <w:vAlign w:val="center"/>
          </w:tcPr>
          <w:p w14:paraId="4DFE6782" w14:textId="09ED3096" w:rsidR="00026F37" w:rsidRPr="0026705F" w:rsidRDefault="00026F37" w:rsidP="00026F37">
            <w:pPr>
              <w:spacing w:line="360" w:lineRule="auto"/>
              <w:jc w:val="center"/>
              <w:rPr>
                <w:sz w:val="18"/>
                <w:szCs w:val="18"/>
                <w:lang w:val="en-US"/>
              </w:rPr>
            </w:pPr>
            <w:r w:rsidRPr="0026705F">
              <w:rPr>
                <w:color w:val="000000"/>
                <w:sz w:val="18"/>
                <w:szCs w:val="18"/>
                <w:lang w:val="en-US"/>
              </w:rPr>
              <w:t>0,199</w:t>
            </w:r>
          </w:p>
        </w:tc>
        <w:tc>
          <w:tcPr>
            <w:tcW w:w="925" w:type="dxa"/>
            <w:vAlign w:val="center"/>
          </w:tcPr>
          <w:p w14:paraId="33D5C084" w14:textId="6B6D90B4" w:rsidR="00026F37" w:rsidRPr="0026705F" w:rsidRDefault="00026F37" w:rsidP="00026F37">
            <w:pPr>
              <w:spacing w:line="360" w:lineRule="auto"/>
              <w:jc w:val="center"/>
              <w:rPr>
                <w:sz w:val="18"/>
                <w:szCs w:val="18"/>
                <w:lang w:val="en-US"/>
              </w:rPr>
            </w:pPr>
            <w:r w:rsidRPr="0026705F">
              <w:rPr>
                <w:color w:val="000000"/>
                <w:sz w:val="18"/>
                <w:szCs w:val="18"/>
                <w:lang w:val="en-US"/>
              </w:rPr>
              <w:t>0,973</w:t>
            </w:r>
          </w:p>
        </w:tc>
        <w:tc>
          <w:tcPr>
            <w:tcW w:w="964" w:type="dxa"/>
            <w:vAlign w:val="center"/>
          </w:tcPr>
          <w:p w14:paraId="2A475D13" w14:textId="4D8B3E30"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05342527" w14:textId="1E7419CF" w:rsidR="00026F37" w:rsidRPr="0026705F" w:rsidRDefault="00026F37" w:rsidP="00026F37">
            <w:pPr>
              <w:spacing w:line="360" w:lineRule="auto"/>
              <w:jc w:val="center"/>
              <w:rPr>
                <w:sz w:val="18"/>
                <w:szCs w:val="18"/>
                <w:lang w:val="en-US"/>
              </w:rPr>
            </w:pPr>
            <w:r w:rsidRPr="0026705F">
              <w:rPr>
                <w:color w:val="000000"/>
                <w:sz w:val="18"/>
                <w:szCs w:val="18"/>
                <w:lang w:val="en-US"/>
              </w:rPr>
              <w:t>-3.921596288</w:t>
            </w:r>
          </w:p>
        </w:tc>
        <w:tc>
          <w:tcPr>
            <w:tcW w:w="850" w:type="dxa"/>
            <w:vAlign w:val="center"/>
          </w:tcPr>
          <w:p w14:paraId="3E971F95" w14:textId="670ECCD9" w:rsidR="00026F37" w:rsidRPr="0026705F" w:rsidRDefault="00026F37" w:rsidP="00026F37">
            <w:pPr>
              <w:spacing w:line="360" w:lineRule="auto"/>
              <w:jc w:val="center"/>
              <w:rPr>
                <w:sz w:val="18"/>
                <w:szCs w:val="18"/>
                <w:lang w:val="en-US"/>
              </w:rPr>
            </w:pPr>
            <w:r w:rsidRPr="0026705F">
              <w:rPr>
                <w:color w:val="000000"/>
                <w:sz w:val="18"/>
                <w:szCs w:val="18"/>
                <w:lang w:val="en-US"/>
              </w:rPr>
              <w:t>-3,697</w:t>
            </w:r>
          </w:p>
        </w:tc>
      </w:tr>
      <w:tr w:rsidR="00026F37" w:rsidRPr="0026705F" w14:paraId="34E8CCC1" w14:textId="46A37CA8" w:rsidTr="004F155D">
        <w:tc>
          <w:tcPr>
            <w:tcW w:w="1209" w:type="dxa"/>
            <w:vAlign w:val="center"/>
          </w:tcPr>
          <w:p w14:paraId="0E7C8AA8" w14:textId="1060827C" w:rsidR="00026F37" w:rsidRPr="0026705F" w:rsidRDefault="00026F37" w:rsidP="00026F37">
            <w:pPr>
              <w:spacing w:line="360" w:lineRule="auto"/>
              <w:jc w:val="center"/>
              <w:rPr>
                <w:i/>
                <w:iCs/>
                <w:color w:val="000000"/>
                <w:sz w:val="18"/>
                <w:szCs w:val="18"/>
                <w:lang w:val="en-US"/>
              </w:rPr>
            </w:pPr>
            <w:r w:rsidRPr="0026705F">
              <w:rPr>
                <w:i/>
                <w:iCs/>
                <w:color w:val="000000"/>
                <w:sz w:val="18"/>
                <w:szCs w:val="18"/>
                <w:lang w:val="en-US"/>
              </w:rPr>
              <w:t>COMP</w:t>
            </w:r>
          </w:p>
        </w:tc>
        <w:tc>
          <w:tcPr>
            <w:tcW w:w="925" w:type="dxa"/>
            <w:vAlign w:val="center"/>
          </w:tcPr>
          <w:p w14:paraId="5ADFF7CA" w14:textId="3FA94772" w:rsidR="00026F37" w:rsidRPr="0026705F" w:rsidRDefault="00026F37" w:rsidP="00026F37">
            <w:pPr>
              <w:spacing w:line="360" w:lineRule="auto"/>
              <w:jc w:val="center"/>
              <w:rPr>
                <w:sz w:val="18"/>
                <w:szCs w:val="18"/>
                <w:lang w:val="en-US"/>
              </w:rPr>
            </w:pPr>
            <w:r w:rsidRPr="0026705F">
              <w:rPr>
                <w:color w:val="000000"/>
                <w:sz w:val="18"/>
                <w:szCs w:val="18"/>
                <w:lang w:val="en-US"/>
              </w:rPr>
              <w:t>-3,72632</w:t>
            </w:r>
          </w:p>
        </w:tc>
        <w:tc>
          <w:tcPr>
            <w:tcW w:w="925" w:type="dxa"/>
            <w:vAlign w:val="center"/>
          </w:tcPr>
          <w:p w14:paraId="5D31F964" w14:textId="00D38E1F" w:rsidR="00026F37" w:rsidRPr="0026705F" w:rsidRDefault="00026F37" w:rsidP="00026F37">
            <w:pPr>
              <w:spacing w:line="360" w:lineRule="auto"/>
              <w:jc w:val="center"/>
              <w:rPr>
                <w:sz w:val="18"/>
                <w:szCs w:val="18"/>
                <w:lang w:val="en-US"/>
              </w:rPr>
            </w:pPr>
            <w:r w:rsidRPr="0026705F">
              <w:rPr>
                <w:color w:val="000000"/>
                <w:sz w:val="18"/>
                <w:szCs w:val="18"/>
                <w:lang w:val="en-US"/>
              </w:rPr>
              <w:t>0,22</w:t>
            </w:r>
          </w:p>
        </w:tc>
        <w:tc>
          <w:tcPr>
            <w:tcW w:w="925" w:type="dxa"/>
            <w:vAlign w:val="center"/>
          </w:tcPr>
          <w:p w14:paraId="61395894" w14:textId="4EFFEE70" w:rsidR="00026F37" w:rsidRPr="0026705F" w:rsidRDefault="00026F37" w:rsidP="00026F37">
            <w:pPr>
              <w:spacing w:line="360" w:lineRule="auto"/>
              <w:jc w:val="center"/>
              <w:rPr>
                <w:sz w:val="18"/>
                <w:szCs w:val="18"/>
                <w:lang w:val="en-US"/>
              </w:rPr>
            </w:pPr>
            <w:r w:rsidRPr="0026705F">
              <w:rPr>
                <w:color w:val="000000"/>
                <w:sz w:val="18"/>
                <w:szCs w:val="18"/>
                <w:lang w:val="en-US"/>
              </w:rPr>
              <w:t>0,954</w:t>
            </w:r>
          </w:p>
        </w:tc>
        <w:tc>
          <w:tcPr>
            <w:tcW w:w="837" w:type="dxa"/>
            <w:vAlign w:val="center"/>
          </w:tcPr>
          <w:p w14:paraId="70080B24" w14:textId="1516D209"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013" w:type="dxa"/>
            <w:vAlign w:val="center"/>
          </w:tcPr>
          <w:p w14:paraId="45D25FBC" w14:textId="1E627D6D" w:rsidR="00026F37" w:rsidRPr="0026705F" w:rsidRDefault="00026F37" w:rsidP="00026F37">
            <w:pPr>
              <w:spacing w:line="360" w:lineRule="auto"/>
              <w:jc w:val="center"/>
              <w:rPr>
                <w:sz w:val="18"/>
                <w:szCs w:val="18"/>
                <w:lang w:val="en-US"/>
              </w:rPr>
            </w:pPr>
            <w:r w:rsidRPr="0026705F">
              <w:rPr>
                <w:color w:val="000000"/>
                <w:sz w:val="18"/>
                <w:szCs w:val="18"/>
                <w:lang w:val="en-US"/>
              </w:rPr>
              <w:t>-2,9054</w:t>
            </w:r>
          </w:p>
        </w:tc>
        <w:tc>
          <w:tcPr>
            <w:tcW w:w="925" w:type="dxa"/>
            <w:vAlign w:val="center"/>
          </w:tcPr>
          <w:p w14:paraId="32AF90EE" w14:textId="43728FBF" w:rsidR="00026F37" w:rsidRPr="0026705F" w:rsidRDefault="00026F37" w:rsidP="00026F37">
            <w:pPr>
              <w:spacing w:line="360" w:lineRule="auto"/>
              <w:jc w:val="center"/>
              <w:rPr>
                <w:sz w:val="18"/>
                <w:szCs w:val="18"/>
                <w:lang w:val="en-US"/>
              </w:rPr>
            </w:pPr>
            <w:r w:rsidRPr="0026705F">
              <w:rPr>
                <w:color w:val="000000"/>
                <w:sz w:val="18"/>
                <w:szCs w:val="18"/>
                <w:lang w:val="en-US"/>
              </w:rPr>
              <w:t>0,22</w:t>
            </w:r>
          </w:p>
        </w:tc>
        <w:tc>
          <w:tcPr>
            <w:tcW w:w="925" w:type="dxa"/>
            <w:vAlign w:val="center"/>
          </w:tcPr>
          <w:p w14:paraId="1457C7F1" w14:textId="1D01615D" w:rsidR="00026F37" w:rsidRPr="0026705F" w:rsidRDefault="00026F37" w:rsidP="00026F37">
            <w:pPr>
              <w:spacing w:line="360" w:lineRule="auto"/>
              <w:jc w:val="center"/>
              <w:rPr>
                <w:sz w:val="18"/>
                <w:szCs w:val="18"/>
                <w:lang w:val="en-US"/>
              </w:rPr>
            </w:pPr>
            <w:r w:rsidRPr="0026705F">
              <w:rPr>
                <w:color w:val="000000"/>
                <w:sz w:val="18"/>
                <w:szCs w:val="18"/>
                <w:lang w:val="en-US"/>
              </w:rPr>
              <w:t>0,853</w:t>
            </w:r>
          </w:p>
        </w:tc>
        <w:tc>
          <w:tcPr>
            <w:tcW w:w="964" w:type="dxa"/>
            <w:vAlign w:val="center"/>
          </w:tcPr>
          <w:p w14:paraId="069E14FD" w14:textId="5D7CB28E" w:rsidR="00026F37" w:rsidRPr="0026705F" w:rsidRDefault="00026F37" w:rsidP="00026F37">
            <w:pPr>
              <w:spacing w:line="360" w:lineRule="auto"/>
              <w:jc w:val="center"/>
              <w:rPr>
                <w:sz w:val="18"/>
                <w:szCs w:val="18"/>
                <w:lang w:val="en-US"/>
              </w:rPr>
            </w:pPr>
            <w:r w:rsidRPr="0026705F">
              <w:rPr>
                <w:color w:val="000000"/>
                <w:sz w:val="18"/>
                <w:szCs w:val="18"/>
                <w:lang w:val="en-US"/>
              </w:rPr>
              <w:t>0 (0)</w:t>
            </w:r>
          </w:p>
        </w:tc>
        <w:tc>
          <w:tcPr>
            <w:tcW w:w="1276" w:type="dxa"/>
            <w:vAlign w:val="center"/>
          </w:tcPr>
          <w:p w14:paraId="5107D7A6" w14:textId="3DD598F1" w:rsidR="00026F37" w:rsidRPr="0026705F" w:rsidRDefault="00026F37" w:rsidP="00026F37">
            <w:pPr>
              <w:spacing w:line="360" w:lineRule="auto"/>
              <w:jc w:val="center"/>
              <w:rPr>
                <w:sz w:val="18"/>
                <w:szCs w:val="18"/>
                <w:lang w:val="en-US"/>
              </w:rPr>
            </w:pPr>
            <w:r w:rsidRPr="0026705F">
              <w:rPr>
                <w:color w:val="000000"/>
                <w:sz w:val="18"/>
                <w:szCs w:val="18"/>
                <w:lang w:val="en-US"/>
              </w:rPr>
              <w:t>-2.449051665</w:t>
            </w:r>
          </w:p>
        </w:tc>
        <w:tc>
          <w:tcPr>
            <w:tcW w:w="850" w:type="dxa"/>
            <w:vAlign w:val="center"/>
          </w:tcPr>
          <w:p w14:paraId="08F21798" w14:textId="465935E9" w:rsidR="00026F37" w:rsidRPr="0026705F" w:rsidRDefault="00026F37" w:rsidP="00026F37">
            <w:pPr>
              <w:spacing w:line="360" w:lineRule="auto"/>
              <w:jc w:val="center"/>
              <w:rPr>
                <w:sz w:val="18"/>
                <w:szCs w:val="18"/>
                <w:lang w:val="en-US"/>
              </w:rPr>
            </w:pPr>
            <w:r w:rsidRPr="0026705F">
              <w:rPr>
                <w:color w:val="000000"/>
                <w:sz w:val="18"/>
                <w:szCs w:val="18"/>
                <w:lang w:val="en-US"/>
              </w:rPr>
              <w:t>-20,326</w:t>
            </w:r>
          </w:p>
        </w:tc>
      </w:tr>
    </w:tbl>
    <w:p w14:paraId="5363CD0A" w14:textId="77777777" w:rsidR="0089042D" w:rsidRPr="0026705F" w:rsidRDefault="0089042D" w:rsidP="0089042D">
      <w:pPr>
        <w:spacing w:line="360" w:lineRule="auto"/>
        <w:jc w:val="both"/>
        <w:rPr>
          <w:sz w:val="10"/>
          <w:szCs w:val="10"/>
          <w:lang w:val="en-US"/>
        </w:rPr>
      </w:pPr>
    </w:p>
    <w:p w14:paraId="000001D9" w14:textId="6676B391" w:rsidR="007F3335" w:rsidRPr="0026705F" w:rsidRDefault="0089042D" w:rsidP="0026705F">
      <w:pPr>
        <w:spacing w:line="276" w:lineRule="auto"/>
        <w:ind w:left="-993" w:right="-709"/>
        <w:jc w:val="both"/>
        <w:rPr>
          <w:sz w:val="20"/>
          <w:szCs w:val="20"/>
          <w:lang w:val="en-US"/>
        </w:rPr>
      </w:pPr>
      <w:r w:rsidRPr="0026705F">
        <w:rPr>
          <w:b/>
          <w:bCs/>
          <w:sz w:val="20"/>
          <w:szCs w:val="20"/>
          <w:lang w:val="en-US"/>
        </w:rPr>
        <w:t>Gene name</w:t>
      </w:r>
      <w:r w:rsidRPr="0026705F">
        <w:rPr>
          <w:sz w:val="20"/>
          <w:szCs w:val="20"/>
          <w:lang w:val="en-US"/>
        </w:rPr>
        <w:t xml:space="preserve">: Subgroup of 10 upregulated and 20 downregulated genes in fibroblasts, each showing at least a 1.5 log2 fold change (adjusted p-value &lt; 0.001), consistent expression in both SASCs and VASCs, and concordance across at least two independent studies (including the current study). This subgroup of 30 genes, meeting the specified criteria, was selected from an original set of 1,509 genes differentially expressed in fibroblasts compared to SASC or VASC (adjusted p-value &lt; 0.05), based on </w:t>
      </w:r>
      <w:proofErr w:type="spellStart"/>
      <w:r w:rsidRPr="0026705F">
        <w:rPr>
          <w:sz w:val="20"/>
          <w:szCs w:val="20"/>
          <w:lang w:val="en-US"/>
        </w:rPr>
        <w:t>scRNA</w:t>
      </w:r>
      <w:proofErr w:type="spellEnd"/>
      <w:r w:rsidRPr="0026705F">
        <w:rPr>
          <w:sz w:val="20"/>
          <w:szCs w:val="20"/>
          <w:lang w:val="en-US"/>
        </w:rPr>
        <w:t xml:space="preserve">-seq results (Supp. Table S10 and Figure 3). </w:t>
      </w:r>
      <w:r w:rsidRPr="0026705F">
        <w:rPr>
          <w:b/>
          <w:bCs/>
          <w:sz w:val="20"/>
          <w:szCs w:val="20"/>
          <w:lang w:val="en-US"/>
        </w:rPr>
        <w:t>FIBRO vs SASC Average log2 fold change</w:t>
      </w:r>
      <w:r w:rsidRPr="0026705F">
        <w:rPr>
          <w:sz w:val="20"/>
          <w:szCs w:val="20"/>
          <w:lang w:val="en-US"/>
        </w:rPr>
        <w:t xml:space="preserve"> and </w:t>
      </w:r>
      <w:r w:rsidRPr="0026705F">
        <w:rPr>
          <w:b/>
          <w:bCs/>
          <w:sz w:val="20"/>
          <w:szCs w:val="20"/>
          <w:lang w:val="en-US"/>
        </w:rPr>
        <w:t>FIBRO vs VASC Average log2 fold change</w:t>
      </w:r>
      <w:r w:rsidRPr="0026705F">
        <w:rPr>
          <w:sz w:val="20"/>
          <w:szCs w:val="20"/>
          <w:lang w:val="en-US"/>
        </w:rPr>
        <w:t xml:space="preserve">: Log2-transformed mean fold changes in gene expression from single-cell RNA sequencing between fibroblasts and SASC or VASC, respectively; </w:t>
      </w:r>
      <w:r w:rsidRPr="0026705F">
        <w:rPr>
          <w:b/>
          <w:bCs/>
          <w:sz w:val="20"/>
          <w:szCs w:val="20"/>
          <w:lang w:val="en-US"/>
        </w:rPr>
        <w:t xml:space="preserve">Fraction </w:t>
      </w:r>
      <w:r w:rsidRPr="0026705F">
        <w:rPr>
          <w:b/>
          <w:bCs/>
          <w:sz w:val="20"/>
          <w:szCs w:val="20"/>
          <w:lang w:val="en-US"/>
        </w:rPr>
        <w:lastRenderedPageBreak/>
        <w:t>in FIBRO/SACS/VASC</w:t>
      </w:r>
      <w:r w:rsidRPr="0026705F">
        <w:rPr>
          <w:sz w:val="20"/>
          <w:szCs w:val="20"/>
          <w:lang w:val="en-US"/>
        </w:rPr>
        <w:t xml:space="preserve">: fraction of cells expressing the specified gene in each cell type. </w:t>
      </w:r>
      <w:r w:rsidRPr="0026705F">
        <w:rPr>
          <w:b/>
          <w:bCs/>
          <w:sz w:val="20"/>
          <w:szCs w:val="20"/>
          <w:lang w:val="en-US"/>
        </w:rPr>
        <w:t>Zych et al. 2014 [5] and Abreu de Melo et al. 2021 [6]</w:t>
      </w:r>
      <w:r w:rsidRPr="0026705F">
        <w:rPr>
          <w:sz w:val="20"/>
          <w:szCs w:val="20"/>
          <w:lang w:val="en-US"/>
        </w:rPr>
        <w:t>: expres</w:t>
      </w:r>
      <w:r w:rsidR="004C2C97" w:rsidRPr="0026705F">
        <w:rPr>
          <w:sz w:val="20"/>
          <w:szCs w:val="20"/>
          <w:lang w:val="en-US"/>
        </w:rPr>
        <w:t>s</w:t>
      </w:r>
      <w:r w:rsidRPr="0026705F">
        <w:rPr>
          <w:sz w:val="20"/>
          <w:szCs w:val="20"/>
          <w:lang w:val="en-US"/>
        </w:rPr>
        <w:t xml:space="preserve">ion values of the corresponding genes from Zych et al. 2014 (PMID: 25068904) and Abreu de Melo et al. 2021 (PMID: 33389760); </w:t>
      </w:r>
      <w:r w:rsidR="004C2C97" w:rsidRPr="0026705F">
        <w:rPr>
          <w:b/>
          <w:bCs/>
          <w:sz w:val="20"/>
          <w:szCs w:val="20"/>
          <w:lang w:val="en-US"/>
        </w:rPr>
        <w:t>NS</w:t>
      </w:r>
      <w:r w:rsidRPr="0026705F">
        <w:rPr>
          <w:sz w:val="20"/>
          <w:szCs w:val="20"/>
          <w:lang w:val="en-US"/>
        </w:rPr>
        <w:t>: not specified.</w:t>
      </w:r>
    </w:p>
    <w:p w14:paraId="3E0138C0" w14:textId="77777777" w:rsidR="00026F37" w:rsidRPr="0026705F" w:rsidRDefault="00026F37">
      <w:pPr>
        <w:rPr>
          <w:sz w:val="22"/>
          <w:szCs w:val="22"/>
          <w:lang w:val="en-US"/>
        </w:rPr>
      </w:pPr>
    </w:p>
    <w:p w14:paraId="4F8B0A27" w14:textId="77777777" w:rsidR="00324E86" w:rsidRPr="0026705F" w:rsidRDefault="00324E86" w:rsidP="006A11B0">
      <w:pPr>
        <w:spacing w:line="480" w:lineRule="auto"/>
        <w:rPr>
          <w:b/>
          <w:bCs/>
          <w:sz w:val="22"/>
          <w:szCs w:val="22"/>
          <w:lang w:val="en-US"/>
        </w:rPr>
        <w:sectPr w:rsidR="00324E86" w:rsidRPr="0026705F" w:rsidSect="0026705F">
          <w:footerReference w:type="even" r:id="rId10"/>
          <w:footerReference w:type="default" r:id="rId11"/>
          <w:pgSz w:w="11906" w:h="16838"/>
          <w:pgMar w:top="1417" w:right="1417" w:bottom="1417" w:left="1417" w:header="708" w:footer="708" w:gutter="0"/>
          <w:pgNumType w:start="1"/>
          <w:cols w:space="708"/>
          <w:docGrid w:linePitch="326"/>
        </w:sectPr>
      </w:pPr>
    </w:p>
    <w:p w14:paraId="1B2B9B68" w14:textId="0B06B9A9" w:rsidR="00026F37" w:rsidRPr="0026705F" w:rsidRDefault="006A11B0" w:rsidP="006A11B0">
      <w:pPr>
        <w:spacing w:line="480" w:lineRule="auto"/>
        <w:rPr>
          <w:sz w:val="22"/>
          <w:szCs w:val="22"/>
          <w:lang w:val="en-US"/>
        </w:rPr>
      </w:pPr>
      <w:r w:rsidRPr="0026705F">
        <w:rPr>
          <w:b/>
          <w:bCs/>
          <w:sz w:val="22"/>
          <w:szCs w:val="22"/>
          <w:lang w:val="en-US"/>
        </w:rPr>
        <w:lastRenderedPageBreak/>
        <w:t>Supplementary Table S13.</w:t>
      </w:r>
      <w:r w:rsidRPr="0026705F">
        <w:rPr>
          <w:sz w:val="22"/>
          <w:szCs w:val="22"/>
          <w:lang w:val="en-US"/>
        </w:rPr>
        <w:t xml:space="preserve"> Results of confirmatory quantitative PCR analysis of selected AD-MSC and fibroblast markers.</w:t>
      </w:r>
    </w:p>
    <w:tbl>
      <w:tblPr>
        <w:tblW w:w="15635" w:type="dxa"/>
        <w:tblInd w:w="-813" w:type="dxa"/>
        <w:tblCellMar>
          <w:left w:w="70" w:type="dxa"/>
          <w:right w:w="70" w:type="dxa"/>
        </w:tblCellMar>
        <w:tblLook w:val="04A0" w:firstRow="1" w:lastRow="0" w:firstColumn="1" w:lastColumn="0" w:noHBand="0" w:noVBand="1"/>
      </w:tblPr>
      <w:tblGrid>
        <w:gridCol w:w="969"/>
        <w:gridCol w:w="1152"/>
        <w:gridCol w:w="1152"/>
        <w:gridCol w:w="1152"/>
        <w:gridCol w:w="1152"/>
        <w:gridCol w:w="1134"/>
        <w:gridCol w:w="1152"/>
        <w:gridCol w:w="1152"/>
        <w:gridCol w:w="1152"/>
        <w:gridCol w:w="1207"/>
        <w:gridCol w:w="1500"/>
        <w:gridCol w:w="1390"/>
        <w:gridCol w:w="1371"/>
      </w:tblGrid>
      <w:tr w:rsidR="00324E86" w:rsidRPr="0026705F" w14:paraId="7DF2CE21" w14:textId="77777777" w:rsidTr="00324E86">
        <w:trPr>
          <w:trHeight w:val="1262"/>
        </w:trPr>
        <w:tc>
          <w:tcPr>
            <w:tcW w:w="969"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01B7020F" w14:textId="77777777" w:rsidR="006A11B0" w:rsidRPr="0026705F" w:rsidRDefault="006A11B0" w:rsidP="00324E86">
            <w:pPr>
              <w:rPr>
                <w:b/>
                <w:bCs/>
                <w:color w:val="000000"/>
                <w:sz w:val="18"/>
                <w:szCs w:val="18"/>
                <w:lang w:val="en-US"/>
              </w:rPr>
            </w:pPr>
            <w:r w:rsidRPr="0026705F">
              <w:rPr>
                <w:b/>
                <w:bCs/>
                <w:color w:val="000000"/>
                <w:sz w:val="18"/>
                <w:szCs w:val="18"/>
                <w:lang w:val="en-US"/>
              </w:rPr>
              <w:t>Gene</w:t>
            </w:r>
          </w:p>
        </w:tc>
        <w:tc>
          <w:tcPr>
            <w:tcW w:w="1152" w:type="dxa"/>
            <w:tcBorders>
              <w:top w:val="single" w:sz="8" w:space="0" w:color="auto"/>
              <w:left w:val="nil"/>
              <w:bottom w:val="single" w:sz="8" w:space="0" w:color="auto"/>
              <w:right w:val="single" w:sz="8" w:space="0" w:color="auto"/>
            </w:tcBorders>
            <w:shd w:val="clear" w:color="auto" w:fill="auto"/>
            <w:vAlign w:val="center"/>
            <w:hideMark/>
          </w:tcPr>
          <w:p w14:paraId="64D6AA60" w14:textId="77777777" w:rsidR="006A11B0" w:rsidRPr="0026705F" w:rsidRDefault="006A11B0">
            <w:pPr>
              <w:jc w:val="center"/>
              <w:rPr>
                <w:b/>
                <w:bCs/>
                <w:color w:val="000000"/>
                <w:sz w:val="18"/>
                <w:szCs w:val="18"/>
                <w:lang w:val="en-US"/>
              </w:rPr>
            </w:pPr>
            <w:r w:rsidRPr="0026705F">
              <w:rPr>
                <w:b/>
                <w:bCs/>
                <w:color w:val="000000"/>
                <w:sz w:val="18"/>
                <w:szCs w:val="18"/>
                <w:lang w:val="en-US"/>
              </w:rPr>
              <w:t>SASC_1 Mean ±SD</w:t>
            </w:r>
          </w:p>
        </w:tc>
        <w:tc>
          <w:tcPr>
            <w:tcW w:w="1152" w:type="dxa"/>
            <w:tcBorders>
              <w:top w:val="single" w:sz="8" w:space="0" w:color="auto"/>
              <w:left w:val="nil"/>
              <w:bottom w:val="single" w:sz="8" w:space="0" w:color="auto"/>
              <w:right w:val="single" w:sz="8" w:space="0" w:color="auto"/>
            </w:tcBorders>
            <w:shd w:val="clear" w:color="auto" w:fill="auto"/>
            <w:vAlign w:val="center"/>
            <w:hideMark/>
          </w:tcPr>
          <w:p w14:paraId="1A53162C" w14:textId="77777777" w:rsidR="006A11B0" w:rsidRPr="0026705F" w:rsidRDefault="006A11B0">
            <w:pPr>
              <w:jc w:val="center"/>
              <w:rPr>
                <w:b/>
                <w:bCs/>
                <w:color w:val="000000"/>
                <w:sz w:val="18"/>
                <w:szCs w:val="18"/>
                <w:lang w:val="en-US"/>
              </w:rPr>
            </w:pPr>
            <w:r w:rsidRPr="0026705F">
              <w:rPr>
                <w:b/>
                <w:bCs/>
                <w:color w:val="000000"/>
                <w:sz w:val="18"/>
                <w:szCs w:val="18"/>
                <w:lang w:val="en-US"/>
              </w:rPr>
              <w:t>SASC_4  Mean ±SD</w:t>
            </w:r>
          </w:p>
        </w:tc>
        <w:tc>
          <w:tcPr>
            <w:tcW w:w="1152" w:type="dxa"/>
            <w:tcBorders>
              <w:top w:val="single" w:sz="8" w:space="0" w:color="auto"/>
              <w:left w:val="nil"/>
              <w:bottom w:val="single" w:sz="8" w:space="0" w:color="auto"/>
              <w:right w:val="single" w:sz="8" w:space="0" w:color="auto"/>
            </w:tcBorders>
            <w:shd w:val="clear" w:color="auto" w:fill="auto"/>
            <w:vAlign w:val="center"/>
            <w:hideMark/>
          </w:tcPr>
          <w:p w14:paraId="008652AE" w14:textId="77777777" w:rsidR="006A11B0" w:rsidRPr="0026705F" w:rsidRDefault="006A11B0">
            <w:pPr>
              <w:jc w:val="center"/>
              <w:rPr>
                <w:b/>
                <w:bCs/>
                <w:color w:val="000000"/>
                <w:sz w:val="18"/>
                <w:szCs w:val="18"/>
                <w:lang w:val="en-US"/>
              </w:rPr>
            </w:pPr>
            <w:r w:rsidRPr="0026705F">
              <w:rPr>
                <w:b/>
                <w:bCs/>
                <w:color w:val="000000"/>
                <w:sz w:val="18"/>
                <w:szCs w:val="18"/>
                <w:lang w:val="en-US"/>
              </w:rPr>
              <w:t>VASC_2 Mean ±SD</w:t>
            </w:r>
          </w:p>
        </w:tc>
        <w:tc>
          <w:tcPr>
            <w:tcW w:w="1152" w:type="dxa"/>
            <w:tcBorders>
              <w:top w:val="single" w:sz="8" w:space="0" w:color="auto"/>
              <w:left w:val="nil"/>
              <w:bottom w:val="single" w:sz="8" w:space="0" w:color="auto"/>
              <w:right w:val="single" w:sz="8" w:space="0" w:color="auto"/>
            </w:tcBorders>
            <w:shd w:val="clear" w:color="auto" w:fill="auto"/>
            <w:vAlign w:val="center"/>
            <w:hideMark/>
          </w:tcPr>
          <w:p w14:paraId="3C1E95A2" w14:textId="77777777" w:rsidR="006A11B0" w:rsidRPr="0026705F" w:rsidRDefault="006A11B0">
            <w:pPr>
              <w:jc w:val="center"/>
              <w:rPr>
                <w:b/>
                <w:bCs/>
                <w:color w:val="000000"/>
                <w:sz w:val="18"/>
                <w:szCs w:val="18"/>
                <w:lang w:val="en-US"/>
              </w:rPr>
            </w:pPr>
            <w:r w:rsidRPr="0026705F">
              <w:rPr>
                <w:b/>
                <w:bCs/>
                <w:color w:val="000000"/>
                <w:sz w:val="18"/>
                <w:szCs w:val="18"/>
                <w:lang w:val="en-US"/>
              </w:rPr>
              <w:t>VASC_5 Mean ±SD</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7C5F3912" w14:textId="77777777" w:rsidR="006A11B0" w:rsidRPr="0026705F" w:rsidRDefault="006A11B0">
            <w:pPr>
              <w:jc w:val="center"/>
              <w:rPr>
                <w:b/>
                <w:bCs/>
                <w:color w:val="000000"/>
                <w:sz w:val="18"/>
                <w:szCs w:val="18"/>
                <w:lang w:val="en-US"/>
              </w:rPr>
            </w:pPr>
            <w:r w:rsidRPr="0026705F">
              <w:rPr>
                <w:b/>
                <w:bCs/>
                <w:color w:val="000000"/>
                <w:sz w:val="18"/>
                <w:szCs w:val="18"/>
                <w:lang w:val="en-US"/>
              </w:rPr>
              <w:t>(SV)ASC Mean</w:t>
            </w:r>
          </w:p>
        </w:tc>
        <w:tc>
          <w:tcPr>
            <w:tcW w:w="1152" w:type="dxa"/>
            <w:tcBorders>
              <w:top w:val="single" w:sz="8" w:space="0" w:color="auto"/>
              <w:left w:val="nil"/>
              <w:bottom w:val="single" w:sz="8" w:space="0" w:color="auto"/>
              <w:right w:val="single" w:sz="8" w:space="0" w:color="auto"/>
            </w:tcBorders>
            <w:shd w:val="clear" w:color="auto" w:fill="auto"/>
            <w:vAlign w:val="center"/>
            <w:hideMark/>
          </w:tcPr>
          <w:p w14:paraId="6C1D6F4F" w14:textId="77777777" w:rsidR="006A11B0" w:rsidRPr="0026705F" w:rsidRDefault="006A11B0">
            <w:pPr>
              <w:jc w:val="center"/>
              <w:rPr>
                <w:b/>
                <w:bCs/>
                <w:color w:val="000000"/>
                <w:sz w:val="18"/>
                <w:szCs w:val="18"/>
                <w:lang w:val="en-US"/>
              </w:rPr>
            </w:pPr>
            <w:r w:rsidRPr="0026705F">
              <w:rPr>
                <w:b/>
                <w:bCs/>
                <w:color w:val="000000"/>
                <w:sz w:val="18"/>
                <w:szCs w:val="18"/>
                <w:lang w:val="en-US"/>
              </w:rPr>
              <w:t>FIBRO_3 Mean ±SD</w:t>
            </w:r>
          </w:p>
        </w:tc>
        <w:tc>
          <w:tcPr>
            <w:tcW w:w="1152" w:type="dxa"/>
            <w:tcBorders>
              <w:top w:val="single" w:sz="8" w:space="0" w:color="auto"/>
              <w:left w:val="nil"/>
              <w:bottom w:val="single" w:sz="8" w:space="0" w:color="auto"/>
              <w:right w:val="single" w:sz="8" w:space="0" w:color="auto"/>
            </w:tcBorders>
            <w:shd w:val="clear" w:color="auto" w:fill="auto"/>
            <w:vAlign w:val="center"/>
            <w:hideMark/>
          </w:tcPr>
          <w:p w14:paraId="404408A2" w14:textId="1ECE694C" w:rsidR="006A11B0" w:rsidRPr="0026705F" w:rsidRDefault="006A11B0">
            <w:pPr>
              <w:jc w:val="center"/>
              <w:rPr>
                <w:b/>
                <w:bCs/>
                <w:color w:val="000000"/>
                <w:sz w:val="18"/>
                <w:szCs w:val="18"/>
                <w:lang w:val="en-US"/>
              </w:rPr>
            </w:pPr>
            <w:r w:rsidRPr="0026705F">
              <w:rPr>
                <w:b/>
                <w:bCs/>
                <w:color w:val="000000"/>
                <w:sz w:val="18"/>
                <w:szCs w:val="18"/>
                <w:lang w:val="en-US"/>
              </w:rPr>
              <w:t>FIBRO_6 Mean ±SD</w:t>
            </w:r>
          </w:p>
        </w:tc>
        <w:tc>
          <w:tcPr>
            <w:tcW w:w="1152" w:type="dxa"/>
            <w:tcBorders>
              <w:top w:val="single" w:sz="8" w:space="0" w:color="auto"/>
              <w:left w:val="nil"/>
              <w:bottom w:val="single" w:sz="8" w:space="0" w:color="auto"/>
              <w:right w:val="single" w:sz="8" w:space="0" w:color="auto"/>
            </w:tcBorders>
            <w:shd w:val="clear" w:color="auto" w:fill="auto"/>
            <w:vAlign w:val="center"/>
            <w:hideMark/>
          </w:tcPr>
          <w:p w14:paraId="0D0C0E17" w14:textId="77777777" w:rsidR="006A11B0" w:rsidRPr="0026705F" w:rsidRDefault="006A11B0">
            <w:pPr>
              <w:jc w:val="center"/>
              <w:rPr>
                <w:b/>
                <w:bCs/>
                <w:color w:val="000000"/>
                <w:sz w:val="18"/>
                <w:szCs w:val="18"/>
                <w:lang w:val="en-US"/>
              </w:rPr>
            </w:pPr>
            <w:r w:rsidRPr="0026705F">
              <w:rPr>
                <w:b/>
                <w:bCs/>
                <w:color w:val="000000"/>
                <w:sz w:val="18"/>
                <w:szCs w:val="18"/>
                <w:lang w:val="en-US"/>
              </w:rPr>
              <w:t>FIBRO Mean</w:t>
            </w:r>
          </w:p>
        </w:tc>
        <w:tc>
          <w:tcPr>
            <w:tcW w:w="1207" w:type="dxa"/>
            <w:tcBorders>
              <w:top w:val="single" w:sz="8" w:space="0" w:color="auto"/>
              <w:left w:val="nil"/>
              <w:bottom w:val="single" w:sz="8" w:space="0" w:color="auto"/>
              <w:right w:val="single" w:sz="8" w:space="0" w:color="auto"/>
            </w:tcBorders>
            <w:shd w:val="clear" w:color="auto" w:fill="auto"/>
            <w:vAlign w:val="center"/>
            <w:hideMark/>
          </w:tcPr>
          <w:p w14:paraId="228536AA" w14:textId="77777777" w:rsidR="006A11B0" w:rsidRPr="0026705F" w:rsidRDefault="006A11B0">
            <w:pPr>
              <w:jc w:val="center"/>
              <w:rPr>
                <w:b/>
                <w:bCs/>
                <w:color w:val="000000"/>
                <w:sz w:val="18"/>
                <w:szCs w:val="18"/>
                <w:lang w:val="en-US"/>
              </w:rPr>
            </w:pPr>
            <w:r w:rsidRPr="0026705F">
              <w:rPr>
                <w:b/>
                <w:bCs/>
                <w:color w:val="000000"/>
                <w:sz w:val="18"/>
                <w:szCs w:val="18"/>
                <w:lang w:val="en-US"/>
              </w:rPr>
              <w:t>FIBRO Mean/ (SV)ASC Mean</w:t>
            </w:r>
          </w:p>
        </w:tc>
        <w:tc>
          <w:tcPr>
            <w:tcW w:w="1500" w:type="dxa"/>
            <w:tcBorders>
              <w:top w:val="single" w:sz="8" w:space="0" w:color="auto"/>
              <w:left w:val="nil"/>
              <w:bottom w:val="single" w:sz="8" w:space="0" w:color="auto"/>
              <w:right w:val="single" w:sz="8" w:space="0" w:color="auto"/>
            </w:tcBorders>
            <w:shd w:val="clear" w:color="auto" w:fill="auto"/>
            <w:vAlign w:val="center"/>
            <w:hideMark/>
          </w:tcPr>
          <w:p w14:paraId="6B8ED4F9" w14:textId="77777777" w:rsidR="006A11B0" w:rsidRPr="0026705F" w:rsidRDefault="006A11B0">
            <w:pPr>
              <w:jc w:val="center"/>
              <w:rPr>
                <w:b/>
                <w:bCs/>
                <w:color w:val="000000"/>
                <w:sz w:val="18"/>
                <w:szCs w:val="18"/>
                <w:lang w:val="en-US"/>
              </w:rPr>
            </w:pPr>
            <w:r w:rsidRPr="0026705F">
              <w:rPr>
                <w:b/>
                <w:bCs/>
                <w:color w:val="000000"/>
                <w:sz w:val="18"/>
                <w:szCs w:val="18"/>
                <w:lang w:val="en-US"/>
              </w:rPr>
              <w:t>qPCR Log</w:t>
            </w:r>
            <w:r w:rsidRPr="0026705F">
              <w:rPr>
                <w:b/>
                <w:bCs/>
                <w:color w:val="000000"/>
                <w:sz w:val="18"/>
                <w:szCs w:val="18"/>
                <w:vertAlign w:val="subscript"/>
                <w:lang w:val="en-US"/>
              </w:rPr>
              <w:t>2</w:t>
            </w:r>
            <w:r w:rsidRPr="0026705F">
              <w:rPr>
                <w:b/>
                <w:bCs/>
                <w:color w:val="000000"/>
                <w:sz w:val="18"/>
                <w:szCs w:val="18"/>
                <w:lang w:val="en-US"/>
              </w:rPr>
              <w:t xml:space="preserve"> Fold Change</w:t>
            </w:r>
          </w:p>
        </w:tc>
        <w:tc>
          <w:tcPr>
            <w:tcW w:w="1390" w:type="dxa"/>
            <w:tcBorders>
              <w:top w:val="single" w:sz="8" w:space="0" w:color="auto"/>
              <w:left w:val="nil"/>
              <w:bottom w:val="single" w:sz="8" w:space="0" w:color="auto"/>
              <w:right w:val="single" w:sz="8" w:space="0" w:color="auto"/>
            </w:tcBorders>
            <w:shd w:val="clear" w:color="auto" w:fill="auto"/>
            <w:vAlign w:val="center"/>
            <w:hideMark/>
          </w:tcPr>
          <w:p w14:paraId="618D3DA8" w14:textId="77777777" w:rsidR="006A11B0" w:rsidRPr="0026705F" w:rsidRDefault="006A11B0">
            <w:pPr>
              <w:jc w:val="center"/>
              <w:rPr>
                <w:b/>
                <w:bCs/>
                <w:color w:val="000000"/>
                <w:sz w:val="18"/>
                <w:szCs w:val="18"/>
                <w:lang w:val="en-US"/>
              </w:rPr>
            </w:pPr>
            <w:proofErr w:type="spellStart"/>
            <w:r w:rsidRPr="0026705F">
              <w:rPr>
                <w:b/>
                <w:bCs/>
                <w:color w:val="000000"/>
                <w:sz w:val="18"/>
                <w:szCs w:val="18"/>
                <w:lang w:val="en-US"/>
              </w:rPr>
              <w:t>scRNA</w:t>
            </w:r>
            <w:proofErr w:type="spellEnd"/>
            <w:r w:rsidRPr="0026705F">
              <w:rPr>
                <w:b/>
                <w:bCs/>
                <w:color w:val="000000"/>
                <w:sz w:val="18"/>
                <w:szCs w:val="18"/>
                <w:lang w:val="en-US"/>
              </w:rPr>
              <w:t>-seq Mean Log</w:t>
            </w:r>
            <w:r w:rsidRPr="0026705F">
              <w:rPr>
                <w:b/>
                <w:bCs/>
                <w:color w:val="000000"/>
                <w:sz w:val="18"/>
                <w:szCs w:val="18"/>
                <w:vertAlign w:val="subscript"/>
                <w:lang w:val="en-US"/>
              </w:rPr>
              <w:t>2</w:t>
            </w:r>
            <w:r w:rsidRPr="0026705F">
              <w:rPr>
                <w:b/>
                <w:bCs/>
                <w:color w:val="000000"/>
                <w:sz w:val="18"/>
                <w:szCs w:val="18"/>
                <w:lang w:val="en-US"/>
              </w:rPr>
              <w:t xml:space="preserve"> Fold Change SASC</w:t>
            </w:r>
          </w:p>
        </w:tc>
        <w:tc>
          <w:tcPr>
            <w:tcW w:w="1371" w:type="dxa"/>
            <w:tcBorders>
              <w:top w:val="single" w:sz="8" w:space="0" w:color="auto"/>
              <w:left w:val="nil"/>
              <w:bottom w:val="single" w:sz="8" w:space="0" w:color="auto"/>
              <w:right w:val="single" w:sz="8" w:space="0" w:color="auto"/>
            </w:tcBorders>
            <w:shd w:val="clear" w:color="auto" w:fill="auto"/>
            <w:vAlign w:val="center"/>
            <w:hideMark/>
          </w:tcPr>
          <w:p w14:paraId="028330C6" w14:textId="77777777" w:rsidR="006A11B0" w:rsidRPr="0026705F" w:rsidRDefault="006A11B0">
            <w:pPr>
              <w:jc w:val="center"/>
              <w:rPr>
                <w:b/>
                <w:bCs/>
                <w:color w:val="000000"/>
                <w:sz w:val="18"/>
                <w:szCs w:val="18"/>
                <w:lang w:val="en-US"/>
              </w:rPr>
            </w:pPr>
            <w:proofErr w:type="spellStart"/>
            <w:r w:rsidRPr="0026705F">
              <w:rPr>
                <w:b/>
                <w:bCs/>
                <w:color w:val="000000"/>
                <w:sz w:val="18"/>
                <w:szCs w:val="18"/>
                <w:lang w:val="en-US"/>
              </w:rPr>
              <w:t>scRNA</w:t>
            </w:r>
            <w:proofErr w:type="spellEnd"/>
            <w:r w:rsidRPr="0026705F">
              <w:rPr>
                <w:b/>
                <w:bCs/>
                <w:color w:val="000000"/>
                <w:sz w:val="18"/>
                <w:szCs w:val="18"/>
                <w:lang w:val="en-US"/>
              </w:rPr>
              <w:t>-seq Mean Log</w:t>
            </w:r>
            <w:r w:rsidRPr="0026705F">
              <w:rPr>
                <w:b/>
                <w:bCs/>
                <w:color w:val="000000"/>
                <w:sz w:val="18"/>
                <w:szCs w:val="18"/>
                <w:vertAlign w:val="subscript"/>
                <w:lang w:val="en-US"/>
              </w:rPr>
              <w:t>2</w:t>
            </w:r>
            <w:r w:rsidRPr="0026705F">
              <w:rPr>
                <w:b/>
                <w:bCs/>
                <w:color w:val="000000"/>
                <w:sz w:val="18"/>
                <w:szCs w:val="18"/>
                <w:lang w:val="en-US"/>
              </w:rPr>
              <w:t xml:space="preserve"> Fold Change VASC</w:t>
            </w:r>
          </w:p>
        </w:tc>
      </w:tr>
      <w:tr w:rsidR="00324E86" w:rsidRPr="0026705F" w14:paraId="60F07B79" w14:textId="77777777" w:rsidTr="00324E86">
        <w:trPr>
          <w:trHeight w:val="319"/>
        </w:trPr>
        <w:tc>
          <w:tcPr>
            <w:tcW w:w="969" w:type="dxa"/>
            <w:tcBorders>
              <w:top w:val="nil"/>
              <w:left w:val="single" w:sz="8" w:space="0" w:color="auto"/>
              <w:bottom w:val="single" w:sz="8" w:space="0" w:color="auto"/>
              <w:right w:val="single" w:sz="8" w:space="0" w:color="auto"/>
            </w:tcBorders>
            <w:shd w:val="clear" w:color="auto" w:fill="auto"/>
            <w:vAlign w:val="center"/>
            <w:hideMark/>
          </w:tcPr>
          <w:p w14:paraId="66DABCA7" w14:textId="77777777" w:rsidR="006A11B0" w:rsidRPr="0026705F" w:rsidRDefault="006A11B0">
            <w:pPr>
              <w:rPr>
                <w:b/>
                <w:bCs/>
                <w:i/>
                <w:iCs/>
                <w:color w:val="000000"/>
                <w:sz w:val="18"/>
                <w:szCs w:val="18"/>
                <w:lang w:val="en-US"/>
              </w:rPr>
            </w:pPr>
            <w:r w:rsidRPr="0026705F">
              <w:rPr>
                <w:b/>
                <w:bCs/>
                <w:i/>
                <w:iCs/>
                <w:color w:val="000000"/>
                <w:sz w:val="18"/>
                <w:szCs w:val="18"/>
                <w:lang w:val="en-US"/>
              </w:rPr>
              <w:t>CXCL1</w:t>
            </w:r>
          </w:p>
        </w:tc>
        <w:tc>
          <w:tcPr>
            <w:tcW w:w="1152" w:type="dxa"/>
            <w:tcBorders>
              <w:top w:val="nil"/>
              <w:left w:val="nil"/>
              <w:bottom w:val="single" w:sz="8" w:space="0" w:color="auto"/>
              <w:right w:val="single" w:sz="8" w:space="0" w:color="auto"/>
            </w:tcBorders>
            <w:shd w:val="clear" w:color="auto" w:fill="auto"/>
            <w:vAlign w:val="center"/>
            <w:hideMark/>
          </w:tcPr>
          <w:p w14:paraId="70843C64" w14:textId="77777777" w:rsidR="006A11B0" w:rsidRPr="0026705F" w:rsidRDefault="006A11B0">
            <w:pPr>
              <w:rPr>
                <w:color w:val="000000"/>
                <w:sz w:val="18"/>
                <w:szCs w:val="18"/>
                <w:lang w:val="en-US"/>
              </w:rPr>
            </w:pPr>
            <w:r w:rsidRPr="0026705F">
              <w:rPr>
                <w:color w:val="000000"/>
                <w:sz w:val="18"/>
                <w:szCs w:val="18"/>
                <w:lang w:val="en-US"/>
              </w:rPr>
              <w:t>0,12± 0,02</w:t>
            </w:r>
          </w:p>
        </w:tc>
        <w:tc>
          <w:tcPr>
            <w:tcW w:w="1152" w:type="dxa"/>
            <w:tcBorders>
              <w:top w:val="nil"/>
              <w:left w:val="nil"/>
              <w:bottom w:val="single" w:sz="8" w:space="0" w:color="auto"/>
              <w:right w:val="single" w:sz="8" w:space="0" w:color="auto"/>
            </w:tcBorders>
            <w:shd w:val="clear" w:color="auto" w:fill="auto"/>
            <w:vAlign w:val="center"/>
            <w:hideMark/>
          </w:tcPr>
          <w:p w14:paraId="1C0DAD7C" w14:textId="77777777" w:rsidR="006A11B0" w:rsidRPr="0026705F" w:rsidRDefault="006A11B0">
            <w:pPr>
              <w:rPr>
                <w:color w:val="000000"/>
                <w:sz w:val="18"/>
                <w:szCs w:val="18"/>
                <w:lang w:val="en-US"/>
              </w:rPr>
            </w:pPr>
            <w:r w:rsidRPr="0026705F">
              <w:rPr>
                <w:color w:val="000000"/>
                <w:sz w:val="18"/>
                <w:szCs w:val="18"/>
                <w:lang w:val="en-US"/>
              </w:rPr>
              <w:t>0,38± 0,00</w:t>
            </w:r>
          </w:p>
        </w:tc>
        <w:tc>
          <w:tcPr>
            <w:tcW w:w="1152" w:type="dxa"/>
            <w:tcBorders>
              <w:top w:val="nil"/>
              <w:left w:val="nil"/>
              <w:bottom w:val="single" w:sz="8" w:space="0" w:color="auto"/>
              <w:right w:val="single" w:sz="8" w:space="0" w:color="auto"/>
            </w:tcBorders>
            <w:shd w:val="clear" w:color="auto" w:fill="auto"/>
            <w:vAlign w:val="center"/>
            <w:hideMark/>
          </w:tcPr>
          <w:p w14:paraId="53C529C4" w14:textId="77777777" w:rsidR="006A11B0" w:rsidRPr="0026705F" w:rsidRDefault="006A11B0">
            <w:pPr>
              <w:rPr>
                <w:color w:val="000000"/>
                <w:sz w:val="18"/>
                <w:szCs w:val="18"/>
                <w:lang w:val="en-US"/>
              </w:rPr>
            </w:pPr>
            <w:r w:rsidRPr="0026705F">
              <w:rPr>
                <w:color w:val="000000"/>
                <w:sz w:val="18"/>
                <w:szCs w:val="18"/>
                <w:lang w:val="en-US"/>
              </w:rPr>
              <w:t>0,80±0,02</w:t>
            </w:r>
          </w:p>
        </w:tc>
        <w:tc>
          <w:tcPr>
            <w:tcW w:w="1152" w:type="dxa"/>
            <w:tcBorders>
              <w:top w:val="nil"/>
              <w:left w:val="nil"/>
              <w:bottom w:val="single" w:sz="8" w:space="0" w:color="auto"/>
              <w:right w:val="single" w:sz="8" w:space="0" w:color="auto"/>
            </w:tcBorders>
            <w:shd w:val="clear" w:color="auto" w:fill="auto"/>
            <w:vAlign w:val="center"/>
            <w:hideMark/>
          </w:tcPr>
          <w:p w14:paraId="4DE01520" w14:textId="77777777" w:rsidR="006A11B0" w:rsidRPr="0026705F" w:rsidRDefault="006A11B0">
            <w:pPr>
              <w:rPr>
                <w:color w:val="000000"/>
                <w:sz w:val="18"/>
                <w:szCs w:val="18"/>
                <w:lang w:val="en-US"/>
              </w:rPr>
            </w:pPr>
            <w:r w:rsidRPr="0026705F">
              <w:rPr>
                <w:color w:val="000000"/>
                <w:sz w:val="18"/>
                <w:szCs w:val="18"/>
                <w:lang w:val="en-US"/>
              </w:rPr>
              <w:t>0,37±0,00</w:t>
            </w:r>
          </w:p>
        </w:tc>
        <w:tc>
          <w:tcPr>
            <w:tcW w:w="1134" w:type="dxa"/>
            <w:tcBorders>
              <w:top w:val="nil"/>
              <w:left w:val="nil"/>
              <w:bottom w:val="single" w:sz="8" w:space="0" w:color="auto"/>
              <w:right w:val="single" w:sz="8" w:space="0" w:color="auto"/>
            </w:tcBorders>
            <w:shd w:val="clear" w:color="auto" w:fill="auto"/>
            <w:vAlign w:val="center"/>
            <w:hideMark/>
          </w:tcPr>
          <w:p w14:paraId="28974D0F" w14:textId="77777777" w:rsidR="006A11B0" w:rsidRPr="0026705F" w:rsidRDefault="006A11B0">
            <w:pPr>
              <w:jc w:val="right"/>
              <w:rPr>
                <w:b/>
                <w:bCs/>
                <w:color w:val="000000"/>
                <w:sz w:val="18"/>
                <w:szCs w:val="18"/>
                <w:lang w:val="en-US"/>
              </w:rPr>
            </w:pPr>
            <w:r w:rsidRPr="0026705F">
              <w:rPr>
                <w:b/>
                <w:bCs/>
                <w:color w:val="000000"/>
                <w:sz w:val="18"/>
                <w:szCs w:val="18"/>
                <w:lang w:val="en-US"/>
              </w:rPr>
              <w:t>0,42</w:t>
            </w:r>
          </w:p>
        </w:tc>
        <w:tc>
          <w:tcPr>
            <w:tcW w:w="1152" w:type="dxa"/>
            <w:tcBorders>
              <w:top w:val="nil"/>
              <w:left w:val="nil"/>
              <w:bottom w:val="single" w:sz="8" w:space="0" w:color="auto"/>
              <w:right w:val="single" w:sz="8" w:space="0" w:color="auto"/>
            </w:tcBorders>
            <w:shd w:val="clear" w:color="auto" w:fill="auto"/>
            <w:vAlign w:val="center"/>
            <w:hideMark/>
          </w:tcPr>
          <w:p w14:paraId="4F740985" w14:textId="77777777" w:rsidR="006A11B0" w:rsidRPr="0026705F" w:rsidRDefault="006A11B0">
            <w:pPr>
              <w:rPr>
                <w:color w:val="000000"/>
                <w:sz w:val="18"/>
                <w:szCs w:val="18"/>
                <w:lang w:val="en-US"/>
              </w:rPr>
            </w:pPr>
            <w:r w:rsidRPr="0026705F">
              <w:rPr>
                <w:color w:val="000000"/>
                <w:sz w:val="18"/>
                <w:szCs w:val="18"/>
                <w:lang w:val="en-US"/>
              </w:rPr>
              <w:t>16,45±0,14</w:t>
            </w:r>
          </w:p>
        </w:tc>
        <w:tc>
          <w:tcPr>
            <w:tcW w:w="1152" w:type="dxa"/>
            <w:tcBorders>
              <w:top w:val="nil"/>
              <w:left w:val="nil"/>
              <w:bottom w:val="single" w:sz="8" w:space="0" w:color="auto"/>
              <w:right w:val="single" w:sz="8" w:space="0" w:color="auto"/>
            </w:tcBorders>
            <w:shd w:val="clear" w:color="auto" w:fill="auto"/>
            <w:vAlign w:val="center"/>
            <w:hideMark/>
          </w:tcPr>
          <w:p w14:paraId="319E21B0" w14:textId="77777777" w:rsidR="006A11B0" w:rsidRPr="0026705F" w:rsidRDefault="006A11B0">
            <w:pPr>
              <w:rPr>
                <w:color w:val="000000"/>
                <w:sz w:val="18"/>
                <w:szCs w:val="18"/>
                <w:lang w:val="en-US"/>
              </w:rPr>
            </w:pPr>
            <w:r w:rsidRPr="0026705F">
              <w:rPr>
                <w:color w:val="000000"/>
                <w:sz w:val="18"/>
                <w:szCs w:val="18"/>
                <w:lang w:val="en-US"/>
              </w:rPr>
              <w:t>31,65±1,10</w:t>
            </w:r>
          </w:p>
        </w:tc>
        <w:tc>
          <w:tcPr>
            <w:tcW w:w="1152" w:type="dxa"/>
            <w:tcBorders>
              <w:top w:val="nil"/>
              <w:left w:val="nil"/>
              <w:bottom w:val="single" w:sz="8" w:space="0" w:color="auto"/>
              <w:right w:val="single" w:sz="8" w:space="0" w:color="auto"/>
            </w:tcBorders>
            <w:shd w:val="clear" w:color="auto" w:fill="auto"/>
            <w:vAlign w:val="center"/>
            <w:hideMark/>
          </w:tcPr>
          <w:p w14:paraId="1A7F25C5" w14:textId="77777777" w:rsidR="006A11B0" w:rsidRPr="0026705F" w:rsidRDefault="006A11B0">
            <w:pPr>
              <w:jc w:val="right"/>
              <w:rPr>
                <w:b/>
                <w:bCs/>
                <w:color w:val="000000"/>
                <w:sz w:val="18"/>
                <w:szCs w:val="18"/>
                <w:lang w:val="en-US"/>
              </w:rPr>
            </w:pPr>
            <w:r w:rsidRPr="0026705F">
              <w:rPr>
                <w:b/>
                <w:bCs/>
                <w:color w:val="000000"/>
                <w:sz w:val="18"/>
                <w:szCs w:val="18"/>
                <w:lang w:val="en-US"/>
              </w:rPr>
              <w:t>24,05</w:t>
            </w:r>
          </w:p>
        </w:tc>
        <w:tc>
          <w:tcPr>
            <w:tcW w:w="1207" w:type="dxa"/>
            <w:tcBorders>
              <w:top w:val="nil"/>
              <w:left w:val="nil"/>
              <w:bottom w:val="single" w:sz="8" w:space="0" w:color="auto"/>
              <w:right w:val="single" w:sz="8" w:space="0" w:color="auto"/>
            </w:tcBorders>
            <w:shd w:val="clear" w:color="auto" w:fill="auto"/>
            <w:vAlign w:val="center"/>
            <w:hideMark/>
          </w:tcPr>
          <w:p w14:paraId="1AD8BF53" w14:textId="77777777" w:rsidR="006A11B0" w:rsidRPr="0026705F" w:rsidRDefault="006A11B0">
            <w:pPr>
              <w:jc w:val="right"/>
              <w:rPr>
                <w:b/>
                <w:bCs/>
                <w:color w:val="000000"/>
                <w:sz w:val="18"/>
                <w:szCs w:val="18"/>
                <w:lang w:val="en-US"/>
              </w:rPr>
            </w:pPr>
            <w:r w:rsidRPr="0026705F">
              <w:rPr>
                <w:b/>
                <w:bCs/>
                <w:color w:val="000000"/>
                <w:sz w:val="18"/>
                <w:szCs w:val="18"/>
                <w:lang w:val="en-US"/>
              </w:rPr>
              <w:t>57,80</w:t>
            </w:r>
          </w:p>
        </w:tc>
        <w:tc>
          <w:tcPr>
            <w:tcW w:w="1500" w:type="dxa"/>
            <w:tcBorders>
              <w:top w:val="nil"/>
              <w:left w:val="nil"/>
              <w:bottom w:val="single" w:sz="8" w:space="0" w:color="auto"/>
              <w:right w:val="single" w:sz="8" w:space="0" w:color="auto"/>
            </w:tcBorders>
            <w:shd w:val="clear" w:color="auto" w:fill="auto"/>
            <w:vAlign w:val="center"/>
            <w:hideMark/>
          </w:tcPr>
          <w:p w14:paraId="083094F1" w14:textId="77777777" w:rsidR="006A11B0" w:rsidRPr="0026705F" w:rsidRDefault="006A11B0">
            <w:pPr>
              <w:jc w:val="right"/>
              <w:rPr>
                <w:b/>
                <w:bCs/>
                <w:color w:val="000000"/>
                <w:sz w:val="18"/>
                <w:szCs w:val="18"/>
                <w:lang w:val="en-US"/>
              </w:rPr>
            </w:pPr>
            <w:r w:rsidRPr="0026705F">
              <w:rPr>
                <w:b/>
                <w:bCs/>
                <w:color w:val="000000"/>
                <w:sz w:val="18"/>
                <w:szCs w:val="18"/>
                <w:lang w:val="en-US"/>
              </w:rPr>
              <w:t>5,85</w:t>
            </w:r>
          </w:p>
        </w:tc>
        <w:tc>
          <w:tcPr>
            <w:tcW w:w="1390" w:type="dxa"/>
            <w:tcBorders>
              <w:top w:val="nil"/>
              <w:left w:val="nil"/>
              <w:bottom w:val="single" w:sz="8" w:space="0" w:color="auto"/>
              <w:right w:val="single" w:sz="8" w:space="0" w:color="auto"/>
            </w:tcBorders>
            <w:shd w:val="clear" w:color="auto" w:fill="auto"/>
            <w:vAlign w:val="center"/>
            <w:hideMark/>
          </w:tcPr>
          <w:p w14:paraId="4ACEA775" w14:textId="77777777" w:rsidR="006A11B0" w:rsidRPr="0026705F" w:rsidRDefault="006A11B0">
            <w:pPr>
              <w:jc w:val="right"/>
              <w:rPr>
                <w:color w:val="000000"/>
                <w:sz w:val="18"/>
                <w:szCs w:val="18"/>
                <w:lang w:val="en-US"/>
              </w:rPr>
            </w:pPr>
            <w:r w:rsidRPr="0026705F">
              <w:rPr>
                <w:color w:val="000000"/>
                <w:sz w:val="18"/>
                <w:szCs w:val="18"/>
                <w:lang w:val="en-US"/>
              </w:rPr>
              <w:t>2,35</w:t>
            </w:r>
          </w:p>
        </w:tc>
        <w:tc>
          <w:tcPr>
            <w:tcW w:w="1371" w:type="dxa"/>
            <w:tcBorders>
              <w:top w:val="nil"/>
              <w:left w:val="nil"/>
              <w:bottom w:val="single" w:sz="8" w:space="0" w:color="auto"/>
              <w:right w:val="single" w:sz="8" w:space="0" w:color="auto"/>
            </w:tcBorders>
            <w:shd w:val="clear" w:color="auto" w:fill="auto"/>
            <w:vAlign w:val="center"/>
            <w:hideMark/>
          </w:tcPr>
          <w:p w14:paraId="74FB1F66" w14:textId="77777777" w:rsidR="006A11B0" w:rsidRPr="0026705F" w:rsidRDefault="006A11B0">
            <w:pPr>
              <w:jc w:val="right"/>
              <w:rPr>
                <w:color w:val="000000"/>
                <w:sz w:val="18"/>
                <w:szCs w:val="18"/>
                <w:lang w:val="en-US"/>
              </w:rPr>
            </w:pPr>
            <w:r w:rsidRPr="0026705F">
              <w:rPr>
                <w:color w:val="000000"/>
                <w:sz w:val="18"/>
                <w:szCs w:val="18"/>
                <w:lang w:val="en-US"/>
              </w:rPr>
              <w:t>2,35</w:t>
            </w:r>
          </w:p>
        </w:tc>
      </w:tr>
      <w:tr w:rsidR="00324E86" w:rsidRPr="0026705F" w14:paraId="25DC2DF8" w14:textId="77777777" w:rsidTr="00324E86">
        <w:trPr>
          <w:trHeight w:val="319"/>
        </w:trPr>
        <w:tc>
          <w:tcPr>
            <w:tcW w:w="969" w:type="dxa"/>
            <w:tcBorders>
              <w:top w:val="nil"/>
              <w:left w:val="single" w:sz="8" w:space="0" w:color="auto"/>
              <w:bottom w:val="single" w:sz="8" w:space="0" w:color="auto"/>
              <w:right w:val="single" w:sz="8" w:space="0" w:color="auto"/>
            </w:tcBorders>
            <w:shd w:val="clear" w:color="auto" w:fill="auto"/>
            <w:vAlign w:val="center"/>
            <w:hideMark/>
          </w:tcPr>
          <w:p w14:paraId="04BDAEB2" w14:textId="77777777" w:rsidR="006A11B0" w:rsidRPr="0026705F" w:rsidRDefault="006A11B0">
            <w:pPr>
              <w:rPr>
                <w:b/>
                <w:bCs/>
                <w:i/>
                <w:iCs/>
                <w:color w:val="000000"/>
                <w:sz w:val="18"/>
                <w:szCs w:val="18"/>
                <w:lang w:val="en-US"/>
              </w:rPr>
            </w:pPr>
            <w:r w:rsidRPr="0026705F">
              <w:rPr>
                <w:b/>
                <w:bCs/>
                <w:i/>
                <w:iCs/>
                <w:color w:val="000000"/>
                <w:sz w:val="18"/>
                <w:szCs w:val="18"/>
                <w:lang w:val="en-US"/>
              </w:rPr>
              <w:t>S100A4</w:t>
            </w:r>
          </w:p>
        </w:tc>
        <w:tc>
          <w:tcPr>
            <w:tcW w:w="1152" w:type="dxa"/>
            <w:tcBorders>
              <w:top w:val="nil"/>
              <w:left w:val="nil"/>
              <w:bottom w:val="single" w:sz="8" w:space="0" w:color="auto"/>
              <w:right w:val="single" w:sz="8" w:space="0" w:color="auto"/>
            </w:tcBorders>
            <w:shd w:val="clear" w:color="auto" w:fill="auto"/>
            <w:vAlign w:val="center"/>
            <w:hideMark/>
          </w:tcPr>
          <w:p w14:paraId="7BE39F0E" w14:textId="77777777" w:rsidR="006A11B0" w:rsidRPr="0026705F" w:rsidRDefault="006A11B0">
            <w:pPr>
              <w:rPr>
                <w:color w:val="000000"/>
                <w:sz w:val="18"/>
                <w:szCs w:val="18"/>
                <w:lang w:val="en-US"/>
              </w:rPr>
            </w:pPr>
            <w:r w:rsidRPr="0026705F">
              <w:rPr>
                <w:color w:val="000000"/>
                <w:sz w:val="18"/>
                <w:szCs w:val="18"/>
                <w:lang w:val="en-US"/>
              </w:rPr>
              <w:t>0,38±0,00</w:t>
            </w:r>
          </w:p>
        </w:tc>
        <w:tc>
          <w:tcPr>
            <w:tcW w:w="1152" w:type="dxa"/>
            <w:tcBorders>
              <w:top w:val="nil"/>
              <w:left w:val="nil"/>
              <w:bottom w:val="single" w:sz="8" w:space="0" w:color="auto"/>
              <w:right w:val="single" w:sz="8" w:space="0" w:color="auto"/>
            </w:tcBorders>
            <w:shd w:val="clear" w:color="auto" w:fill="auto"/>
            <w:vAlign w:val="center"/>
            <w:hideMark/>
          </w:tcPr>
          <w:p w14:paraId="6659C55C" w14:textId="77777777" w:rsidR="006A11B0" w:rsidRPr="0026705F" w:rsidRDefault="006A11B0">
            <w:pPr>
              <w:rPr>
                <w:color w:val="000000"/>
                <w:sz w:val="18"/>
                <w:szCs w:val="18"/>
                <w:lang w:val="en-US"/>
              </w:rPr>
            </w:pPr>
            <w:r w:rsidRPr="0026705F">
              <w:rPr>
                <w:color w:val="000000"/>
                <w:sz w:val="18"/>
                <w:szCs w:val="18"/>
                <w:lang w:val="en-US"/>
              </w:rPr>
              <w:t>0,05± 0,00</w:t>
            </w:r>
          </w:p>
        </w:tc>
        <w:tc>
          <w:tcPr>
            <w:tcW w:w="1152" w:type="dxa"/>
            <w:tcBorders>
              <w:top w:val="nil"/>
              <w:left w:val="nil"/>
              <w:bottom w:val="single" w:sz="8" w:space="0" w:color="auto"/>
              <w:right w:val="single" w:sz="8" w:space="0" w:color="auto"/>
            </w:tcBorders>
            <w:shd w:val="clear" w:color="auto" w:fill="auto"/>
            <w:vAlign w:val="center"/>
            <w:hideMark/>
          </w:tcPr>
          <w:p w14:paraId="1CF53C35" w14:textId="77777777" w:rsidR="006A11B0" w:rsidRPr="0026705F" w:rsidRDefault="006A11B0">
            <w:pPr>
              <w:rPr>
                <w:color w:val="000000"/>
                <w:sz w:val="18"/>
                <w:szCs w:val="18"/>
                <w:lang w:val="en-US"/>
              </w:rPr>
            </w:pPr>
            <w:r w:rsidRPr="0026705F">
              <w:rPr>
                <w:color w:val="000000"/>
                <w:sz w:val="18"/>
                <w:szCs w:val="18"/>
                <w:lang w:val="en-US"/>
              </w:rPr>
              <w:t>0,42±0,01</w:t>
            </w:r>
          </w:p>
        </w:tc>
        <w:tc>
          <w:tcPr>
            <w:tcW w:w="1152" w:type="dxa"/>
            <w:tcBorders>
              <w:top w:val="nil"/>
              <w:left w:val="nil"/>
              <w:bottom w:val="single" w:sz="8" w:space="0" w:color="auto"/>
              <w:right w:val="single" w:sz="8" w:space="0" w:color="auto"/>
            </w:tcBorders>
            <w:shd w:val="clear" w:color="auto" w:fill="auto"/>
            <w:vAlign w:val="center"/>
            <w:hideMark/>
          </w:tcPr>
          <w:p w14:paraId="0713724F" w14:textId="77777777" w:rsidR="006A11B0" w:rsidRPr="0026705F" w:rsidRDefault="006A11B0">
            <w:pPr>
              <w:rPr>
                <w:color w:val="000000"/>
                <w:sz w:val="18"/>
                <w:szCs w:val="18"/>
                <w:lang w:val="en-US"/>
              </w:rPr>
            </w:pPr>
            <w:r w:rsidRPr="0026705F">
              <w:rPr>
                <w:color w:val="000000"/>
                <w:sz w:val="18"/>
                <w:szCs w:val="18"/>
                <w:lang w:val="en-US"/>
              </w:rPr>
              <w:t>0,10±0,00</w:t>
            </w:r>
          </w:p>
        </w:tc>
        <w:tc>
          <w:tcPr>
            <w:tcW w:w="1134" w:type="dxa"/>
            <w:tcBorders>
              <w:top w:val="nil"/>
              <w:left w:val="nil"/>
              <w:bottom w:val="single" w:sz="8" w:space="0" w:color="auto"/>
              <w:right w:val="single" w:sz="8" w:space="0" w:color="auto"/>
            </w:tcBorders>
            <w:shd w:val="clear" w:color="auto" w:fill="auto"/>
            <w:vAlign w:val="center"/>
            <w:hideMark/>
          </w:tcPr>
          <w:p w14:paraId="1014E4E5" w14:textId="77777777" w:rsidR="006A11B0" w:rsidRPr="0026705F" w:rsidRDefault="006A11B0">
            <w:pPr>
              <w:jc w:val="right"/>
              <w:rPr>
                <w:b/>
                <w:bCs/>
                <w:color w:val="000000"/>
                <w:sz w:val="18"/>
                <w:szCs w:val="18"/>
                <w:lang w:val="en-US"/>
              </w:rPr>
            </w:pPr>
            <w:r w:rsidRPr="0026705F">
              <w:rPr>
                <w:b/>
                <w:bCs/>
                <w:color w:val="000000"/>
                <w:sz w:val="18"/>
                <w:szCs w:val="18"/>
                <w:lang w:val="en-US"/>
              </w:rPr>
              <w:t>0,24</w:t>
            </w:r>
          </w:p>
        </w:tc>
        <w:tc>
          <w:tcPr>
            <w:tcW w:w="1152" w:type="dxa"/>
            <w:tcBorders>
              <w:top w:val="nil"/>
              <w:left w:val="nil"/>
              <w:bottom w:val="single" w:sz="8" w:space="0" w:color="auto"/>
              <w:right w:val="single" w:sz="8" w:space="0" w:color="auto"/>
            </w:tcBorders>
            <w:shd w:val="clear" w:color="auto" w:fill="auto"/>
            <w:vAlign w:val="center"/>
            <w:hideMark/>
          </w:tcPr>
          <w:p w14:paraId="0C9DCE68" w14:textId="77777777" w:rsidR="006A11B0" w:rsidRPr="0026705F" w:rsidRDefault="006A11B0">
            <w:pPr>
              <w:rPr>
                <w:color w:val="000000"/>
                <w:sz w:val="18"/>
                <w:szCs w:val="18"/>
                <w:lang w:val="en-US"/>
              </w:rPr>
            </w:pPr>
            <w:r w:rsidRPr="0026705F">
              <w:rPr>
                <w:color w:val="000000"/>
                <w:sz w:val="18"/>
                <w:szCs w:val="18"/>
                <w:lang w:val="en-US"/>
              </w:rPr>
              <w:t>2,30±0,00</w:t>
            </w:r>
          </w:p>
        </w:tc>
        <w:tc>
          <w:tcPr>
            <w:tcW w:w="1152" w:type="dxa"/>
            <w:tcBorders>
              <w:top w:val="nil"/>
              <w:left w:val="nil"/>
              <w:bottom w:val="single" w:sz="8" w:space="0" w:color="auto"/>
              <w:right w:val="single" w:sz="8" w:space="0" w:color="auto"/>
            </w:tcBorders>
            <w:shd w:val="clear" w:color="auto" w:fill="auto"/>
            <w:vAlign w:val="center"/>
            <w:hideMark/>
          </w:tcPr>
          <w:p w14:paraId="1D041B83" w14:textId="77777777" w:rsidR="006A11B0" w:rsidRPr="0026705F" w:rsidRDefault="006A11B0">
            <w:pPr>
              <w:rPr>
                <w:color w:val="000000"/>
                <w:sz w:val="18"/>
                <w:szCs w:val="18"/>
                <w:lang w:val="en-US"/>
              </w:rPr>
            </w:pPr>
            <w:r w:rsidRPr="0026705F">
              <w:rPr>
                <w:color w:val="000000"/>
                <w:sz w:val="18"/>
                <w:szCs w:val="18"/>
                <w:lang w:val="en-US"/>
              </w:rPr>
              <w:t>1,67±0,02</w:t>
            </w:r>
          </w:p>
        </w:tc>
        <w:tc>
          <w:tcPr>
            <w:tcW w:w="1152" w:type="dxa"/>
            <w:tcBorders>
              <w:top w:val="nil"/>
              <w:left w:val="nil"/>
              <w:bottom w:val="single" w:sz="8" w:space="0" w:color="auto"/>
              <w:right w:val="single" w:sz="8" w:space="0" w:color="auto"/>
            </w:tcBorders>
            <w:shd w:val="clear" w:color="auto" w:fill="auto"/>
            <w:vAlign w:val="center"/>
            <w:hideMark/>
          </w:tcPr>
          <w:p w14:paraId="41A03F1D" w14:textId="77777777" w:rsidR="006A11B0" w:rsidRPr="0026705F" w:rsidRDefault="006A11B0">
            <w:pPr>
              <w:jc w:val="right"/>
              <w:rPr>
                <w:b/>
                <w:bCs/>
                <w:color w:val="000000"/>
                <w:sz w:val="18"/>
                <w:szCs w:val="18"/>
                <w:lang w:val="en-US"/>
              </w:rPr>
            </w:pPr>
            <w:r w:rsidRPr="0026705F">
              <w:rPr>
                <w:b/>
                <w:bCs/>
                <w:color w:val="000000"/>
                <w:sz w:val="18"/>
                <w:szCs w:val="18"/>
                <w:lang w:val="en-US"/>
              </w:rPr>
              <w:t>1,98</w:t>
            </w:r>
          </w:p>
        </w:tc>
        <w:tc>
          <w:tcPr>
            <w:tcW w:w="1207" w:type="dxa"/>
            <w:tcBorders>
              <w:top w:val="nil"/>
              <w:left w:val="nil"/>
              <w:bottom w:val="single" w:sz="8" w:space="0" w:color="auto"/>
              <w:right w:val="single" w:sz="8" w:space="0" w:color="auto"/>
            </w:tcBorders>
            <w:shd w:val="clear" w:color="auto" w:fill="auto"/>
            <w:vAlign w:val="center"/>
            <w:hideMark/>
          </w:tcPr>
          <w:p w14:paraId="3BA22329" w14:textId="77777777" w:rsidR="006A11B0" w:rsidRPr="0026705F" w:rsidRDefault="006A11B0">
            <w:pPr>
              <w:jc w:val="right"/>
              <w:rPr>
                <w:b/>
                <w:bCs/>
                <w:color w:val="000000"/>
                <w:sz w:val="18"/>
                <w:szCs w:val="18"/>
                <w:lang w:val="en-US"/>
              </w:rPr>
            </w:pPr>
            <w:r w:rsidRPr="0026705F">
              <w:rPr>
                <w:b/>
                <w:bCs/>
                <w:color w:val="000000"/>
                <w:sz w:val="18"/>
                <w:szCs w:val="18"/>
                <w:lang w:val="en-US"/>
              </w:rPr>
              <w:t>8,36</w:t>
            </w:r>
          </w:p>
        </w:tc>
        <w:tc>
          <w:tcPr>
            <w:tcW w:w="1500" w:type="dxa"/>
            <w:tcBorders>
              <w:top w:val="nil"/>
              <w:left w:val="nil"/>
              <w:bottom w:val="single" w:sz="8" w:space="0" w:color="auto"/>
              <w:right w:val="single" w:sz="8" w:space="0" w:color="auto"/>
            </w:tcBorders>
            <w:shd w:val="clear" w:color="auto" w:fill="auto"/>
            <w:vAlign w:val="center"/>
            <w:hideMark/>
          </w:tcPr>
          <w:p w14:paraId="562BBDC0" w14:textId="77777777" w:rsidR="006A11B0" w:rsidRPr="0026705F" w:rsidRDefault="006A11B0">
            <w:pPr>
              <w:jc w:val="right"/>
              <w:rPr>
                <w:b/>
                <w:bCs/>
                <w:color w:val="000000"/>
                <w:sz w:val="18"/>
                <w:szCs w:val="18"/>
                <w:lang w:val="en-US"/>
              </w:rPr>
            </w:pPr>
            <w:r w:rsidRPr="0026705F">
              <w:rPr>
                <w:b/>
                <w:bCs/>
                <w:color w:val="000000"/>
                <w:sz w:val="18"/>
                <w:szCs w:val="18"/>
                <w:lang w:val="en-US"/>
              </w:rPr>
              <w:t>3,06</w:t>
            </w:r>
          </w:p>
        </w:tc>
        <w:tc>
          <w:tcPr>
            <w:tcW w:w="1390" w:type="dxa"/>
            <w:tcBorders>
              <w:top w:val="nil"/>
              <w:left w:val="nil"/>
              <w:bottom w:val="single" w:sz="8" w:space="0" w:color="auto"/>
              <w:right w:val="single" w:sz="8" w:space="0" w:color="auto"/>
            </w:tcBorders>
            <w:shd w:val="clear" w:color="auto" w:fill="auto"/>
            <w:vAlign w:val="center"/>
            <w:hideMark/>
          </w:tcPr>
          <w:p w14:paraId="671B5121" w14:textId="77777777" w:rsidR="006A11B0" w:rsidRPr="0026705F" w:rsidRDefault="006A11B0">
            <w:pPr>
              <w:jc w:val="right"/>
              <w:rPr>
                <w:color w:val="000000"/>
                <w:sz w:val="18"/>
                <w:szCs w:val="18"/>
                <w:lang w:val="en-US"/>
              </w:rPr>
            </w:pPr>
            <w:r w:rsidRPr="0026705F">
              <w:rPr>
                <w:color w:val="000000"/>
                <w:sz w:val="18"/>
                <w:szCs w:val="18"/>
                <w:lang w:val="en-US"/>
              </w:rPr>
              <w:t>2,95</w:t>
            </w:r>
          </w:p>
        </w:tc>
        <w:tc>
          <w:tcPr>
            <w:tcW w:w="1371" w:type="dxa"/>
            <w:tcBorders>
              <w:top w:val="nil"/>
              <w:left w:val="nil"/>
              <w:bottom w:val="single" w:sz="8" w:space="0" w:color="auto"/>
              <w:right w:val="single" w:sz="8" w:space="0" w:color="auto"/>
            </w:tcBorders>
            <w:shd w:val="clear" w:color="auto" w:fill="auto"/>
            <w:vAlign w:val="center"/>
            <w:hideMark/>
          </w:tcPr>
          <w:p w14:paraId="1E044BC9" w14:textId="77777777" w:rsidR="006A11B0" w:rsidRPr="0026705F" w:rsidRDefault="006A11B0">
            <w:pPr>
              <w:jc w:val="right"/>
              <w:rPr>
                <w:color w:val="000000"/>
                <w:sz w:val="18"/>
                <w:szCs w:val="18"/>
                <w:lang w:val="en-US"/>
              </w:rPr>
            </w:pPr>
            <w:r w:rsidRPr="0026705F">
              <w:rPr>
                <w:color w:val="000000"/>
                <w:sz w:val="18"/>
                <w:szCs w:val="18"/>
                <w:lang w:val="en-US"/>
              </w:rPr>
              <w:t>2,86</w:t>
            </w:r>
          </w:p>
        </w:tc>
      </w:tr>
      <w:tr w:rsidR="00324E86" w:rsidRPr="0026705F" w14:paraId="566EDB26" w14:textId="77777777" w:rsidTr="00324E86">
        <w:trPr>
          <w:trHeight w:val="319"/>
        </w:trPr>
        <w:tc>
          <w:tcPr>
            <w:tcW w:w="969" w:type="dxa"/>
            <w:tcBorders>
              <w:top w:val="nil"/>
              <w:left w:val="single" w:sz="8" w:space="0" w:color="auto"/>
              <w:bottom w:val="single" w:sz="8" w:space="0" w:color="auto"/>
              <w:right w:val="single" w:sz="8" w:space="0" w:color="auto"/>
            </w:tcBorders>
            <w:shd w:val="clear" w:color="auto" w:fill="auto"/>
            <w:vAlign w:val="center"/>
            <w:hideMark/>
          </w:tcPr>
          <w:p w14:paraId="0ADC55AB" w14:textId="77777777" w:rsidR="006A11B0" w:rsidRPr="0026705F" w:rsidRDefault="006A11B0">
            <w:pPr>
              <w:rPr>
                <w:b/>
                <w:bCs/>
                <w:i/>
                <w:iCs/>
                <w:color w:val="000000"/>
                <w:sz w:val="18"/>
                <w:szCs w:val="18"/>
                <w:lang w:val="en-US"/>
              </w:rPr>
            </w:pPr>
            <w:r w:rsidRPr="0026705F">
              <w:rPr>
                <w:b/>
                <w:bCs/>
                <w:i/>
                <w:iCs/>
                <w:color w:val="000000"/>
                <w:sz w:val="18"/>
                <w:szCs w:val="18"/>
                <w:lang w:val="en-US"/>
              </w:rPr>
              <w:t>MMP1</w:t>
            </w:r>
          </w:p>
        </w:tc>
        <w:tc>
          <w:tcPr>
            <w:tcW w:w="1152" w:type="dxa"/>
            <w:tcBorders>
              <w:top w:val="nil"/>
              <w:left w:val="nil"/>
              <w:bottom w:val="single" w:sz="8" w:space="0" w:color="auto"/>
              <w:right w:val="single" w:sz="8" w:space="0" w:color="auto"/>
            </w:tcBorders>
            <w:shd w:val="clear" w:color="auto" w:fill="auto"/>
            <w:vAlign w:val="center"/>
            <w:hideMark/>
          </w:tcPr>
          <w:p w14:paraId="41CF3B0A" w14:textId="77777777" w:rsidR="006A11B0" w:rsidRPr="0026705F" w:rsidRDefault="006A11B0">
            <w:pPr>
              <w:rPr>
                <w:color w:val="000000"/>
                <w:sz w:val="18"/>
                <w:szCs w:val="18"/>
                <w:lang w:val="en-US"/>
              </w:rPr>
            </w:pPr>
            <w:r w:rsidRPr="0026705F">
              <w:rPr>
                <w:color w:val="000000"/>
                <w:sz w:val="18"/>
                <w:szCs w:val="18"/>
                <w:lang w:val="en-US"/>
              </w:rPr>
              <w:t>0,60±0,00</w:t>
            </w:r>
          </w:p>
        </w:tc>
        <w:tc>
          <w:tcPr>
            <w:tcW w:w="1152" w:type="dxa"/>
            <w:tcBorders>
              <w:top w:val="nil"/>
              <w:left w:val="nil"/>
              <w:bottom w:val="single" w:sz="8" w:space="0" w:color="auto"/>
              <w:right w:val="single" w:sz="8" w:space="0" w:color="auto"/>
            </w:tcBorders>
            <w:shd w:val="clear" w:color="auto" w:fill="auto"/>
            <w:vAlign w:val="center"/>
            <w:hideMark/>
          </w:tcPr>
          <w:p w14:paraId="4618D822" w14:textId="77777777" w:rsidR="006A11B0" w:rsidRPr="0026705F" w:rsidRDefault="006A11B0">
            <w:pPr>
              <w:rPr>
                <w:color w:val="000000"/>
                <w:sz w:val="18"/>
                <w:szCs w:val="18"/>
                <w:lang w:val="en-US"/>
              </w:rPr>
            </w:pPr>
            <w:r w:rsidRPr="0026705F">
              <w:rPr>
                <w:color w:val="000000"/>
                <w:sz w:val="18"/>
                <w:szCs w:val="18"/>
                <w:lang w:val="en-US"/>
              </w:rPr>
              <w:t>0,04±0,00</w:t>
            </w:r>
          </w:p>
        </w:tc>
        <w:tc>
          <w:tcPr>
            <w:tcW w:w="1152" w:type="dxa"/>
            <w:tcBorders>
              <w:top w:val="nil"/>
              <w:left w:val="nil"/>
              <w:bottom w:val="single" w:sz="8" w:space="0" w:color="auto"/>
              <w:right w:val="single" w:sz="8" w:space="0" w:color="auto"/>
            </w:tcBorders>
            <w:shd w:val="clear" w:color="auto" w:fill="auto"/>
            <w:vAlign w:val="center"/>
            <w:hideMark/>
          </w:tcPr>
          <w:p w14:paraId="4228609A" w14:textId="77777777" w:rsidR="006A11B0" w:rsidRPr="0026705F" w:rsidRDefault="006A11B0">
            <w:pPr>
              <w:rPr>
                <w:color w:val="000000"/>
                <w:sz w:val="18"/>
                <w:szCs w:val="18"/>
                <w:lang w:val="en-US"/>
              </w:rPr>
            </w:pPr>
            <w:r w:rsidRPr="0026705F">
              <w:rPr>
                <w:color w:val="000000"/>
                <w:sz w:val="18"/>
                <w:szCs w:val="18"/>
                <w:lang w:val="en-US"/>
              </w:rPr>
              <w:t>0,78±0,01</w:t>
            </w:r>
          </w:p>
        </w:tc>
        <w:tc>
          <w:tcPr>
            <w:tcW w:w="1152" w:type="dxa"/>
            <w:tcBorders>
              <w:top w:val="nil"/>
              <w:left w:val="nil"/>
              <w:bottom w:val="single" w:sz="8" w:space="0" w:color="auto"/>
              <w:right w:val="single" w:sz="8" w:space="0" w:color="auto"/>
            </w:tcBorders>
            <w:shd w:val="clear" w:color="auto" w:fill="auto"/>
            <w:vAlign w:val="center"/>
            <w:hideMark/>
          </w:tcPr>
          <w:p w14:paraId="220EBC07" w14:textId="77777777" w:rsidR="006A11B0" w:rsidRPr="0026705F" w:rsidRDefault="006A11B0">
            <w:pPr>
              <w:rPr>
                <w:color w:val="000000"/>
                <w:sz w:val="18"/>
                <w:szCs w:val="18"/>
                <w:lang w:val="en-US"/>
              </w:rPr>
            </w:pPr>
            <w:r w:rsidRPr="0026705F">
              <w:rPr>
                <w:color w:val="000000"/>
                <w:sz w:val="18"/>
                <w:szCs w:val="18"/>
                <w:lang w:val="en-US"/>
              </w:rPr>
              <w:t>0,05±0,00</w:t>
            </w:r>
          </w:p>
        </w:tc>
        <w:tc>
          <w:tcPr>
            <w:tcW w:w="1134" w:type="dxa"/>
            <w:tcBorders>
              <w:top w:val="nil"/>
              <w:left w:val="nil"/>
              <w:bottom w:val="single" w:sz="8" w:space="0" w:color="auto"/>
              <w:right w:val="single" w:sz="8" w:space="0" w:color="auto"/>
            </w:tcBorders>
            <w:shd w:val="clear" w:color="auto" w:fill="auto"/>
            <w:vAlign w:val="center"/>
            <w:hideMark/>
          </w:tcPr>
          <w:p w14:paraId="2A502858" w14:textId="77777777" w:rsidR="006A11B0" w:rsidRPr="0026705F" w:rsidRDefault="006A11B0">
            <w:pPr>
              <w:jc w:val="right"/>
              <w:rPr>
                <w:b/>
                <w:bCs/>
                <w:color w:val="000000"/>
                <w:sz w:val="18"/>
                <w:szCs w:val="18"/>
                <w:lang w:val="en-US"/>
              </w:rPr>
            </w:pPr>
            <w:r w:rsidRPr="0026705F">
              <w:rPr>
                <w:b/>
                <w:bCs/>
                <w:color w:val="000000"/>
                <w:sz w:val="18"/>
                <w:szCs w:val="18"/>
                <w:lang w:val="en-US"/>
              </w:rPr>
              <w:t>0,36</w:t>
            </w:r>
          </w:p>
        </w:tc>
        <w:tc>
          <w:tcPr>
            <w:tcW w:w="1152" w:type="dxa"/>
            <w:tcBorders>
              <w:top w:val="nil"/>
              <w:left w:val="nil"/>
              <w:bottom w:val="single" w:sz="8" w:space="0" w:color="auto"/>
              <w:right w:val="single" w:sz="8" w:space="0" w:color="auto"/>
            </w:tcBorders>
            <w:shd w:val="clear" w:color="auto" w:fill="auto"/>
            <w:vAlign w:val="center"/>
            <w:hideMark/>
          </w:tcPr>
          <w:p w14:paraId="60287C9A" w14:textId="77777777" w:rsidR="006A11B0" w:rsidRPr="0026705F" w:rsidRDefault="006A11B0">
            <w:pPr>
              <w:rPr>
                <w:color w:val="000000"/>
                <w:sz w:val="18"/>
                <w:szCs w:val="18"/>
                <w:lang w:val="en-US"/>
              </w:rPr>
            </w:pPr>
            <w:r w:rsidRPr="0026705F">
              <w:rPr>
                <w:color w:val="000000"/>
                <w:sz w:val="18"/>
                <w:szCs w:val="18"/>
                <w:lang w:val="en-US"/>
              </w:rPr>
              <w:t>13,56±0,14</w:t>
            </w:r>
          </w:p>
        </w:tc>
        <w:tc>
          <w:tcPr>
            <w:tcW w:w="1152" w:type="dxa"/>
            <w:tcBorders>
              <w:top w:val="nil"/>
              <w:left w:val="nil"/>
              <w:bottom w:val="single" w:sz="8" w:space="0" w:color="auto"/>
              <w:right w:val="single" w:sz="8" w:space="0" w:color="auto"/>
            </w:tcBorders>
            <w:shd w:val="clear" w:color="auto" w:fill="auto"/>
            <w:vAlign w:val="center"/>
            <w:hideMark/>
          </w:tcPr>
          <w:p w14:paraId="0C410879" w14:textId="77777777" w:rsidR="006A11B0" w:rsidRPr="0026705F" w:rsidRDefault="006A11B0">
            <w:pPr>
              <w:rPr>
                <w:color w:val="000000"/>
                <w:sz w:val="18"/>
                <w:szCs w:val="18"/>
                <w:lang w:val="en-US"/>
              </w:rPr>
            </w:pPr>
            <w:r w:rsidRPr="0026705F">
              <w:rPr>
                <w:color w:val="000000"/>
                <w:sz w:val="18"/>
                <w:szCs w:val="18"/>
                <w:lang w:val="en-US"/>
              </w:rPr>
              <w:t>22,58±0,31</w:t>
            </w:r>
          </w:p>
        </w:tc>
        <w:tc>
          <w:tcPr>
            <w:tcW w:w="1152" w:type="dxa"/>
            <w:tcBorders>
              <w:top w:val="nil"/>
              <w:left w:val="nil"/>
              <w:bottom w:val="single" w:sz="8" w:space="0" w:color="auto"/>
              <w:right w:val="single" w:sz="8" w:space="0" w:color="auto"/>
            </w:tcBorders>
            <w:shd w:val="clear" w:color="auto" w:fill="auto"/>
            <w:vAlign w:val="center"/>
            <w:hideMark/>
          </w:tcPr>
          <w:p w14:paraId="35EECC58" w14:textId="77777777" w:rsidR="006A11B0" w:rsidRPr="0026705F" w:rsidRDefault="006A11B0">
            <w:pPr>
              <w:jc w:val="right"/>
              <w:rPr>
                <w:b/>
                <w:bCs/>
                <w:color w:val="000000"/>
                <w:sz w:val="18"/>
                <w:szCs w:val="18"/>
                <w:lang w:val="en-US"/>
              </w:rPr>
            </w:pPr>
            <w:r w:rsidRPr="0026705F">
              <w:rPr>
                <w:b/>
                <w:bCs/>
                <w:color w:val="000000"/>
                <w:sz w:val="18"/>
                <w:szCs w:val="18"/>
                <w:lang w:val="en-US"/>
              </w:rPr>
              <w:t>18,07</w:t>
            </w:r>
          </w:p>
        </w:tc>
        <w:tc>
          <w:tcPr>
            <w:tcW w:w="1207" w:type="dxa"/>
            <w:tcBorders>
              <w:top w:val="nil"/>
              <w:left w:val="nil"/>
              <w:bottom w:val="single" w:sz="8" w:space="0" w:color="auto"/>
              <w:right w:val="single" w:sz="8" w:space="0" w:color="auto"/>
            </w:tcBorders>
            <w:shd w:val="clear" w:color="auto" w:fill="auto"/>
            <w:vAlign w:val="center"/>
            <w:hideMark/>
          </w:tcPr>
          <w:p w14:paraId="25222343" w14:textId="77777777" w:rsidR="006A11B0" w:rsidRPr="0026705F" w:rsidRDefault="006A11B0">
            <w:pPr>
              <w:jc w:val="right"/>
              <w:rPr>
                <w:b/>
                <w:bCs/>
                <w:color w:val="000000"/>
                <w:sz w:val="18"/>
                <w:szCs w:val="18"/>
                <w:lang w:val="en-US"/>
              </w:rPr>
            </w:pPr>
            <w:r w:rsidRPr="0026705F">
              <w:rPr>
                <w:b/>
                <w:bCs/>
                <w:color w:val="000000"/>
                <w:sz w:val="18"/>
                <w:szCs w:val="18"/>
                <w:lang w:val="en-US"/>
              </w:rPr>
              <w:t>49,53</w:t>
            </w:r>
          </w:p>
        </w:tc>
        <w:tc>
          <w:tcPr>
            <w:tcW w:w="1500" w:type="dxa"/>
            <w:tcBorders>
              <w:top w:val="nil"/>
              <w:left w:val="nil"/>
              <w:bottom w:val="single" w:sz="8" w:space="0" w:color="auto"/>
              <w:right w:val="single" w:sz="8" w:space="0" w:color="auto"/>
            </w:tcBorders>
            <w:shd w:val="clear" w:color="auto" w:fill="auto"/>
            <w:vAlign w:val="center"/>
            <w:hideMark/>
          </w:tcPr>
          <w:p w14:paraId="29AF8C45" w14:textId="77777777" w:rsidR="006A11B0" w:rsidRPr="0026705F" w:rsidRDefault="006A11B0">
            <w:pPr>
              <w:jc w:val="right"/>
              <w:rPr>
                <w:b/>
                <w:bCs/>
                <w:color w:val="000000"/>
                <w:sz w:val="18"/>
                <w:szCs w:val="18"/>
                <w:lang w:val="en-US"/>
              </w:rPr>
            </w:pPr>
            <w:r w:rsidRPr="0026705F">
              <w:rPr>
                <w:b/>
                <w:bCs/>
                <w:color w:val="000000"/>
                <w:sz w:val="18"/>
                <w:szCs w:val="18"/>
                <w:lang w:val="en-US"/>
              </w:rPr>
              <w:t>5,63</w:t>
            </w:r>
          </w:p>
        </w:tc>
        <w:tc>
          <w:tcPr>
            <w:tcW w:w="1390" w:type="dxa"/>
            <w:tcBorders>
              <w:top w:val="nil"/>
              <w:left w:val="nil"/>
              <w:bottom w:val="single" w:sz="8" w:space="0" w:color="auto"/>
              <w:right w:val="single" w:sz="8" w:space="0" w:color="auto"/>
            </w:tcBorders>
            <w:shd w:val="clear" w:color="auto" w:fill="auto"/>
            <w:vAlign w:val="center"/>
            <w:hideMark/>
          </w:tcPr>
          <w:p w14:paraId="4EA4FF1E" w14:textId="77777777" w:rsidR="006A11B0" w:rsidRPr="0026705F" w:rsidRDefault="006A11B0">
            <w:pPr>
              <w:jc w:val="right"/>
              <w:rPr>
                <w:color w:val="000000"/>
                <w:sz w:val="18"/>
                <w:szCs w:val="18"/>
                <w:lang w:val="en-US"/>
              </w:rPr>
            </w:pPr>
            <w:r w:rsidRPr="0026705F">
              <w:rPr>
                <w:color w:val="000000"/>
                <w:sz w:val="18"/>
                <w:szCs w:val="18"/>
                <w:lang w:val="en-US"/>
              </w:rPr>
              <w:t>4,49</w:t>
            </w:r>
          </w:p>
        </w:tc>
        <w:tc>
          <w:tcPr>
            <w:tcW w:w="1371" w:type="dxa"/>
            <w:tcBorders>
              <w:top w:val="nil"/>
              <w:left w:val="nil"/>
              <w:bottom w:val="single" w:sz="8" w:space="0" w:color="auto"/>
              <w:right w:val="single" w:sz="8" w:space="0" w:color="auto"/>
            </w:tcBorders>
            <w:shd w:val="clear" w:color="auto" w:fill="auto"/>
            <w:vAlign w:val="center"/>
            <w:hideMark/>
          </w:tcPr>
          <w:p w14:paraId="2ADC09C0" w14:textId="77777777" w:rsidR="006A11B0" w:rsidRPr="0026705F" w:rsidRDefault="006A11B0">
            <w:pPr>
              <w:jc w:val="right"/>
              <w:rPr>
                <w:color w:val="000000"/>
                <w:sz w:val="18"/>
                <w:szCs w:val="18"/>
                <w:lang w:val="en-US"/>
              </w:rPr>
            </w:pPr>
            <w:r w:rsidRPr="0026705F">
              <w:rPr>
                <w:color w:val="000000"/>
                <w:sz w:val="18"/>
                <w:szCs w:val="18"/>
                <w:lang w:val="en-US"/>
              </w:rPr>
              <w:t>4,51</w:t>
            </w:r>
          </w:p>
        </w:tc>
      </w:tr>
      <w:tr w:rsidR="00324E86" w:rsidRPr="0026705F" w14:paraId="0EC3D60B" w14:textId="77777777" w:rsidTr="00324E86">
        <w:trPr>
          <w:trHeight w:val="319"/>
        </w:trPr>
        <w:tc>
          <w:tcPr>
            <w:tcW w:w="969" w:type="dxa"/>
            <w:tcBorders>
              <w:top w:val="nil"/>
              <w:left w:val="single" w:sz="8" w:space="0" w:color="auto"/>
              <w:bottom w:val="single" w:sz="8" w:space="0" w:color="auto"/>
              <w:right w:val="single" w:sz="8" w:space="0" w:color="auto"/>
            </w:tcBorders>
            <w:shd w:val="clear" w:color="auto" w:fill="auto"/>
            <w:vAlign w:val="center"/>
            <w:hideMark/>
          </w:tcPr>
          <w:p w14:paraId="75DA16D2" w14:textId="77777777" w:rsidR="006A11B0" w:rsidRPr="0026705F" w:rsidRDefault="006A11B0">
            <w:pPr>
              <w:rPr>
                <w:b/>
                <w:bCs/>
                <w:i/>
                <w:iCs/>
                <w:color w:val="000000"/>
                <w:sz w:val="18"/>
                <w:szCs w:val="18"/>
                <w:lang w:val="en-US"/>
              </w:rPr>
            </w:pPr>
            <w:r w:rsidRPr="0026705F">
              <w:rPr>
                <w:b/>
                <w:bCs/>
                <w:i/>
                <w:iCs/>
                <w:color w:val="000000"/>
                <w:sz w:val="18"/>
                <w:szCs w:val="18"/>
                <w:lang w:val="en-US"/>
              </w:rPr>
              <w:t>MMP3</w:t>
            </w:r>
          </w:p>
        </w:tc>
        <w:tc>
          <w:tcPr>
            <w:tcW w:w="1152" w:type="dxa"/>
            <w:tcBorders>
              <w:top w:val="nil"/>
              <w:left w:val="nil"/>
              <w:bottom w:val="single" w:sz="8" w:space="0" w:color="auto"/>
              <w:right w:val="single" w:sz="8" w:space="0" w:color="auto"/>
            </w:tcBorders>
            <w:shd w:val="clear" w:color="auto" w:fill="auto"/>
            <w:vAlign w:val="center"/>
            <w:hideMark/>
          </w:tcPr>
          <w:p w14:paraId="4AAA6435" w14:textId="77777777" w:rsidR="006A11B0" w:rsidRPr="0026705F" w:rsidRDefault="006A11B0">
            <w:pPr>
              <w:rPr>
                <w:color w:val="000000"/>
                <w:sz w:val="18"/>
                <w:szCs w:val="18"/>
                <w:lang w:val="en-US"/>
              </w:rPr>
            </w:pPr>
            <w:r w:rsidRPr="0026705F">
              <w:rPr>
                <w:color w:val="000000"/>
                <w:sz w:val="18"/>
                <w:szCs w:val="18"/>
                <w:lang w:val="en-US"/>
              </w:rPr>
              <w:t>2,25±0,02</w:t>
            </w:r>
          </w:p>
        </w:tc>
        <w:tc>
          <w:tcPr>
            <w:tcW w:w="1152" w:type="dxa"/>
            <w:tcBorders>
              <w:top w:val="nil"/>
              <w:left w:val="nil"/>
              <w:bottom w:val="single" w:sz="8" w:space="0" w:color="auto"/>
              <w:right w:val="single" w:sz="8" w:space="0" w:color="auto"/>
            </w:tcBorders>
            <w:shd w:val="clear" w:color="auto" w:fill="auto"/>
            <w:vAlign w:val="center"/>
            <w:hideMark/>
          </w:tcPr>
          <w:p w14:paraId="05D33114" w14:textId="77777777" w:rsidR="006A11B0" w:rsidRPr="0026705F" w:rsidRDefault="006A11B0">
            <w:pPr>
              <w:rPr>
                <w:color w:val="000000"/>
                <w:sz w:val="18"/>
                <w:szCs w:val="18"/>
                <w:lang w:val="en-US"/>
              </w:rPr>
            </w:pPr>
            <w:r w:rsidRPr="0026705F">
              <w:rPr>
                <w:color w:val="000000"/>
                <w:sz w:val="18"/>
                <w:szCs w:val="18"/>
                <w:lang w:val="en-US"/>
              </w:rPr>
              <w:t>0,26± 0,00</w:t>
            </w:r>
          </w:p>
        </w:tc>
        <w:tc>
          <w:tcPr>
            <w:tcW w:w="1152" w:type="dxa"/>
            <w:tcBorders>
              <w:top w:val="nil"/>
              <w:left w:val="nil"/>
              <w:bottom w:val="single" w:sz="8" w:space="0" w:color="auto"/>
              <w:right w:val="single" w:sz="8" w:space="0" w:color="auto"/>
            </w:tcBorders>
            <w:shd w:val="clear" w:color="auto" w:fill="auto"/>
            <w:vAlign w:val="center"/>
            <w:hideMark/>
          </w:tcPr>
          <w:p w14:paraId="120E8E5B" w14:textId="77777777" w:rsidR="006A11B0" w:rsidRPr="0026705F" w:rsidRDefault="006A11B0">
            <w:pPr>
              <w:rPr>
                <w:color w:val="000000"/>
                <w:sz w:val="18"/>
                <w:szCs w:val="18"/>
                <w:lang w:val="en-US"/>
              </w:rPr>
            </w:pPr>
            <w:r w:rsidRPr="0026705F">
              <w:rPr>
                <w:color w:val="000000"/>
                <w:sz w:val="18"/>
                <w:szCs w:val="18"/>
                <w:lang w:val="en-US"/>
              </w:rPr>
              <w:t>0,02±0,00</w:t>
            </w:r>
          </w:p>
        </w:tc>
        <w:tc>
          <w:tcPr>
            <w:tcW w:w="1152" w:type="dxa"/>
            <w:tcBorders>
              <w:top w:val="nil"/>
              <w:left w:val="nil"/>
              <w:bottom w:val="single" w:sz="8" w:space="0" w:color="auto"/>
              <w:right w:val="single" w:sz="8" w:space="0" w:color="auto"/>
            </w:tcBorders>
            <w:shd w:val="clear" w:color="auto" w:fill="auto"/>
            <w:vAlign w:val="center"/>
            <w:hideMark/>
          </w:tcPr>
          <w:p w14:paraId="5377F47A" w14:textId="77777777" w:rsidR="006A11B0" w:rsidRPr="0026705F" w:rsidRDefault="006A11B0">
            <w:pPr>
              <w:rPr>
                <w:color w:val="000000"/>
                <w:sz w:val="18"/>
                <w:szCs w:val="18"/>
                <w:lang w:val="en-US"/>
              </w:rPr>
            </w:pPr>
            <w:r w:rsidRPr="0026705F">
              <w:rPr>
                <w:color w:val="000000"/>
                <w:sz w:val="18"/>
                <w:szCs w:val="18"/>
                <w:lang w:val="en-US"/>
              </w:rPr>
              <w:t>0,30±0,01</w:t>
            </w:r>
          </w:p>
        </w:tc>
        <w:tc>
          <w:tcPr>
            <w:tcW w:w="1134" w:type="dxa"/>
            <w:tcBorders>
              <w:top w:val="nil"/>
              <w:left w:val="nil"/>
              <w:bottom w:val="single" w:sz="8" w:space="0" w:color="auto"/>
              <w:right w:val="single" w:sz="8" w:space="0" w:color="auto"/>
            </w:tcBorders>
            <w:shd w:val="clear" w:color="auto" w:fill="auto"/>
            <w:vAlign w:val="center"/>
            <w:hideMark/>
          </w:tcPr>
          <w:p w14:paraId="3BEAC7BC" w14:textId="77777777" w:rsidR="006A11B0" w:rsidRPr="0026705F" w:rsidRDefault="006A11B0">
            <w:pPr>
              <w:jc w:val="right"/>
              <w:rPr>
                <w:b/>
                <w:bCs/>
                <w:color w:val="000000"/>
                <w:sz w:val="18"/>
                <w:szCs w:val="18"/>
                <w:lang w:val="en-US"/>
              </w:rPr>
            </w:pPr>
            <w:r w:rsidRPr="0026705F">
              <w:rPr>
                <w:b/>
                <w:bCs/>
                <w:color w:val="000000"/>
                <w:sz w:val="18"/>
                <w:szCs w:val="18"/>
                <w:lang w:val="en-US"/>
              </w:rPr>
              <w:t>0,71</w:t>
            </w:r>
          </w:p>
        </w:tc>
        <w:tc>
          <w:tcPr>
            <w:tcW w:w="1152" w:type="dxa"/>
            <w:tcBorders>
              <w:top w:val="nil"/>
              <w:left w:val="nil"/>
              <w:bottom w:val="single" w:sz="8" w:space="0" w:color="auto"/>
              <w:right w:val="single" w:sz="8" w:space="0" w:color="auto"/>
            </w:tcBorders>
            <w:shd w:val="clear" w:color="auto" w:fill="auto"/>
            <w:vAlign w:val="center"/>
            <w:hideMark/>
          </w:tcPr>
          <w:p w14:paraId="38FD41DA" w14:textId="77777777" w:rsidR="006A11B0" w:rsidRPr="0026705F" w:rsidRDefault="006A11B0">
            <w:pPr>
              <w:rPr>
                <w:color w:val="000000"/>
                <w:sz w:val="18"/>
                <w:szCs w:val="18"/>
                <w:lang w:val="en-US"/>
              </w:rPr>
            </w:pPr>
            <w:r w:rsidRPr="0026705F">
              <w:rPr>
                <w:color w:val="000000"/>
                <w:sz w:val="18"/>
                <w:szCs w:val="18"/>
                <w:lang w:val="en-US"/>
              </w:rPr>
              <w:t>18,47±0,13</w:t>
            </w:r>
          </w:p>
        </w:tc>
        <w:tc>
          <w:tcPr>
            <w:tcW w:w="1152" w:type="dxa"/>
            <w:tcBorders>
              <w:top w:val="nil"/>
              <w:left w:val="nil"/>
              <w:bottom w:val="single" w:sz="8" w:space="0" w:color="auto"/>
              <w:right w:val="single" w:sz="8" w:space="0" w:color="auto"/>
            </w:tcBorders>
            <w:shd w:val="clear" w:color="auto" w:fill="auto"/>
            <w:vAlign w:val="center"/>
            <w:hideMark/>
          </w:tcPr>
          <w:p w14:paraId="66D417C4" w14:textId="77777777" w:rsidR="006A11B0" w:rsidRPr="0026705F" w:rsidRDefault="006A11B0">
            <w:pPr>
              <w:rPr>
                <w:color w:val="000000"/>
                <w:sz w:val="18"/>
                <w:szCs w:val="18"/>
                <w:lang w:val="en-US"/>
              </w:rPr>
            </w:pPr>
            <w:r w:rsidRPr="0026705F">
              <w:rPr>
                <w:color w:val="000000"/>
                <w:sz w:val="18"/>
                <w:szCs w:val="18"/>
                <w:lang w:val="en-US"/>
              </w:rPr>
              <w:t>48,60±0,17</w:t>
            </w:r>
          </w:p>
        </w:tc>
        <w:tc>
          <w:tcPr>
            <w:tcW w:w="1152" w:type="dxa"/>
            <w:tcBorders>
              <w:top w:val="nil"/>
              <w:left w:val="nil"/>
              <w:bottom w:val="single" w:sz="8" w:space="0" w:color="auto"/>
              <w:right w:val="single" w:sz="8" w:space="0" w:color="auto"/>
            </w:tcBorders>
            <w:shd w:val="clear" w:color="auto" w:fill="auto"/>
            <w:vAlign w:val="center"/>
            <w:hideMark/>
          </w:tcPr>
          <w:p w14:paraId="71A0B6A8" w14:textId="77777777" w:rsidR="006A11B0" w:rsidRPr="0026705F" w:rsidRDefault="006A11B0">
            <w:pPr>
              <w:jc w:val="right"/>
              <w:rPr>
                <w:b/>
                <w:bCs/>
                <w:color w:val="000000"/>
                <w:sz w:val="18"/>
                <w:szCs w:val="18"/>
                <w:lang w:val="en-US"/>
              </w:rPr>
            </w:pPr>
            <w:r w:rsidRPr="0026705F">
              <w:rPr>
                <w:b/>
                <w:bCs/>
                <w:color w:val="000000"/>
                <w:sz w:val="18"/>
                <w:szCs w:val="18"/>
                <w:lang w:val="en-US"/>
              </w:rPr>
              <w:t>33,53</w:t>
            </w:r>
          </w:p>
        </w:tc>
        <w:tc>
          <w:tcPr>
            <w:tcW w:w="1207" w:type="dxa"/>
            <w:tcBorders>
              <w:top w:val="nil"/>
              <w:left w:val="nil"/>
              <w:bottom w:val="single" w:sz="8" w:space="0" w:color="auto"/>
              <w:right w:val="single" w:sz="8" w:space="0" w:color="auto"/>
            </w:tcBorders>
            <w:shd w:val="clear" w:color="auto" w:fill="auto"/>
            <w:vAlign w:val="center"/>
            <w:hideMark/>
          </w:tcPr>
          <w:p w14:paraId="3D8C3FEB" w14:textId="77777777" w:rsidR="006A11B0" w:rsidRPr="0026705F" w:rsidRDefault="006A11B0">
            <w:pPr>
              <w:jc w:val="right"/>
              <w:rPr>
                <w:b/>
                <w:bCs/>
                <w:color w:val="000000"/>
                <w:sz w:val="18"/>
                <w:szCs w:val="18"/>
                <w:lang w:val="en-US"/>
              </w:rPr>
            </w:pPr>
            <w:r w:rsidRPr="0026705F">
              <w:rPr>
                <w:b/>
                <w:bCs/>
                <w:color w:val="000000"/>
                <w:sz w:val="18"/>
                <w:szCs w:val="18"/>
                <w:lang w:val="en-US"/>
              </w:rPr>
              <w:t>47,37</w:t>
            </w:r>
          </w:p>
        </w:tc>
        <w:tc>
          <w:tcPr>
            <w:tcW w:w="1500" w:type="dxa"/>
            <w:tcBorders>
              <w:top w:val="nil"/>
              <w:left w:val="nil"/>
              <w:bottom w:val="single" w:sz="8" w:space="0" w:color="auto"/>
              <w:right w:val="single" w:sz="8" w:space="0" w:color="auto"/>
            </w:tcBorders>
            <w:shd w:val="clear" w:color="auto" w:fill="auto"/>
            <w:vAlign w:val="center"/>
            <w:hideMark/>
          </w:tcPr>
          <w:p w14:paraId="487D01FF" w14:textId="77777777" w:rsidR="006A11B0" w:rsidRPr="0026705F" w:rsidRDefault="006A11B0">
            <w:pPr>
              <w:jc w:val="right"/>
              <w:rPr>
                <w:b/>
                <w:bCs/>
                <w:color w:val="000000"/>
                <w:sz w:val="18"/>
                <w:szCs w:val="18"/>
                <w:lang w:val="en-US"/>
              </w:rPr>
            </w:pPr>
            <w:r w:rsidRPr="0026705F">
              <w:rPr>
                <w:b/>
                <w:bCs/>
                <w:color w:val="000000"/>
                <w:sz w:val="18"/>
                <w:szCs w:val="18"/>
                <w:lang w:val="en-US"/>
              </w:rPr>
              <w:t>5,57</w:t>
            </w:r>
          </w:p>
        </w:tc>
        <w:tc>
          <w:tcPr>
            <w:tcW w:w="1390" w:type="dxa"/>
            <w:tcBorders>
              <w:top w:val="nil"/>
              <w:left w:val="nil"/>
              <w:bottom w:val="single" w:sz="8" w:space="0" w:color="auto"/>
              <w:right w:val="single" w:sz="8" w:space="0" w:color="auto"/>
            </w:tcBorders>
            <w:shd w:val="clear" w:color="auto" w:fill="auto"/>
            <w:vAlign w:val="center"/>
            <w:hideMark/>
          </w:tcPr>
          <w:p w14:paraId="7EC2757D" w14:textId="77777777" w:rsidR="006A11B0" w:rsidRPr="0026705F" w:rsidRDefault="006A11B0">
            <w:pPr>
              <w:jc w:val="right"/>
              <w:rPr>
                <w:color w:val="000000"/>
                <w:sz w:val="18"/>
                <w:szCs w:val="18"/>
                <w:lang w:val="en-US"/>
              </w:rPr>
            </w:pPr>
            <w:r w:rsidRPr="0026705F">
              <w:rPr>
                <w:color w:val="000000"/>
                <w:sz w:val="18"/>
                <w:szCs w:val="18"/>
                <w:lang w:val="en-US"/>
              </w:rPr>
              <w:t>3,87</w:t>
            </w:r>
          </w:p>
        </w:tc>
        <w:tc>
          <w:tcPr>
            <w:tcW w:w="1371" w:type="dxa"/>
            <w:tcBorders>
              <w:top w:val="nil"/>
              <w:left w:val="nil"/>
              <w:bottom w:val="single" w:sz="8" w:space="0" w:color="auto"/>
              <w:right w:val="single" w:sz="8" w:space="0" w:color="auto"/>
            </w:tcBorders>
            <w:shd w:val="clear" w:color="auto" w:fill="auto"/>
            <w:vAlign w:val="center"/>
            <w:hideMark/>
          </w:tcPr>
          <w:p w14:paraId="05224529" w14:textId="77777777" w:rsidR="006A11B0" w:rsidRPr="0026705F" w:rsidRDefault="006A11B0">
            <w:pPr>
              <w:jc w:val="right"/>
              <w:rPr>
                <w:color w:val="000000"/>
                <w:sz w:val="18"/>
                <w:szCs w:val="18"/>
                <w:lang w:val="en-US"/>
              </w:rPr>
            </w:pPr>
            <w:r w:rsidRPr="0026705F">
              <w:rPr>
                <w:color w:val="000000"/>
                <w:sz w:val="18"/>
                <w:szCs w:val="18"/>
                <w:lang w:val="en-US"/>
              </w:rPr>
              <w:t>3,95</w:t>
            </w:r>
          </w:p>
        </w:tc>
      </w:tr>
      <w:tr w:rsidR="00324E86" w:rsidRPr="0026705F" w14:paraId="73E50316" w14:textId="77777777" w:rsidTr="00324E86">
        <w:trPr>
          <w:trHeight w:val="319"/>
        </w:trPr>
        <w:tc>
          <w:tcPr>
            <w:tcW w:w="969" w:type="dxa"/>
            <w:tcBorders>
              <w:top w:val="nil"/>
              <w:left w:val="single" w:sz="8" w:space="0" w:color="auto"/>
              <w:bottom w:val="single" w:sz="8" w:space="0" w:color="auto"/>
              <w:right w:val="single" w:sz="8" w:space="0" w:color="auto"/>
            </w:tcBorders>
            <w:shd w:val="clear" w:color="auto" w:fill="auto"/>
            <w:vAlign w:val="center"/>
            <w:hideMark/>
          </w:tcPr>
          <w:p w14:paraId="09F7148E" w14:textId="77777777" w:rsidR="006A11B0" w:rsidRPr="0026705F" w:rsidRDefault="006A11B0">
            <w:pPr>
              <w:rPr>
                <w:b/>
                <w:bCs/>
                <w:i/>
                <w:iCs/>
                <w:color w:val="000000"/>
                <w:sz w:val="18"/>
                <w:szCs w:val="18"/>
                <w:lang w:val="en-US"/>
              </w:rPr>
            </w:pPr>
            <w:r w:rsidRPr="0026705F">
              <w:rPr>
                <w:b/>
                <w:bCs/>
                <w:i/>
                <w:iCs/>
                <w:color w:val="000000"/>
                <w:sz w:val="18"/>
                <w:szCs w:val="18"/>
                <w:lang w:val="en-US"/>
              </w:rPr>
              <w:t>COMP</w:t>
            </w:r>
          </w:p>
        </w:tc>
        <w:tc>
          <w:tcPr>
            <w:tcW w:w="1152" w:type="dxa"/>
            <w:tcBorders>
              <w:top w:val="nil"/>
              <w:left w:val="nil"/>
              <w:bottom w:val="single" w:sz="8" w:space="0" w:color="auto"/>
              <w:right w:val="single" w:sz="8" w:space="0" w:color="auto"/>
            </w:tcBorders>
            <w:shd w:val="clear" w:color="auto" w:fill="auto"/>
            <w:vAlign w:val="center"/>
            <w:hideMark/>
          </w:tcPr>
          <w:p w14:paraId="66DC33AC" w14:textId="77777777" w:rsidR="006A11B0" w:rsidRPr="0026705F" w:rsidRDefault="006A11B0">
            <w:pPr>
              <w:rPr>
                <w:color w:val="000000"/>
                <w:sz w:val="18"/>
                <w:szCs w:val="18"/>
                <w:lang w:val="en-US"/>
              </w:rPr>
            </w:pPr>
            <w:r w:rsidRPr="0026705F">
              <w:rPr>
                <w:color w:val="000000"/>
                <w:sz w:val="18"/>
                <w:szCs w:val="18"/>
                <w:lang w:val="en-US"/>
              </w:rPr>
              <w:t>14,20±0,12</w:t>
            </w:r>
          </w:p>
        </w:tc>
        <w:tc>
          <w:tcPr>
            <w:tcW w:w="1152" w:type="dxa"/>
            <w:tcBorders>
              <w:top w:val="nil"/>
              <w:left w:val="nil"/>
              <w:bottom w:val="single" w:sz="8" w:space="0" w:color="auto"/>
              <w:right w:val="single" w:sz="8" w:space="0" w:color="auto"/>
            </w:tcBorders>
            <w:shd w:val="clear" w:color="auto" w:fill="auto"/>
            <w:vAlign w:val="center"/>
            <w:hideMark/>
          </w:tcPr>
          <w:p w14:paraId="28B72E25" w14:textId="77777777" w:rsidR="006A11B0" w:rsidRPr="0026705F" w:rsidRDefault="006A11B0">
            <w:pPr>
              <w:rPr>
                <w:color w:val="000000"/>
                <w:sz w:val="18"/>
                <w:szCs w:val="18"/>
                <w:lang w:val="en-US"/>
              </w:rPr>
            </w:pPr>
            <w:r w:rsidRPr="0026705F">
              <w:rPr>
                <w:color w:val="000000"/>
                <w:sz w:val="18"/>
                <w:szCs w:val="18"/>
                <w:lang w:val="en-US"/>
              </w:rPr>
              <w:t>27,49±1,05</w:t>
            </w:r>
          </w:p>
        </w:tc>
        <w:tc>
          <w:tcPr>
            <w:tcW w:w="1152" w:type="dxa"/>
            <w:tcBorders>
              <w:top w:val="nil"/>
              <w:left w:val="nil"/>
              <w:bottom w:val="single" w:sz="8" w:space="0" w:color="auto"/>
              <w:right w:val="single" w:sz="8" w:space="0" w:color="auto"/>
            </w:tcBorders>
            <w:shd w:val="clear" w:color="auto" w:fill="auto"/>
            <w:vAlign w:val="center"/>
            <w:hideMark/>
          </w:tcPr>
          <w:p w14:paraId="1672010F" w14:textId="77777777" w:rsidR="006A11B0" w:rsidRPr="0026705F" w:rsidRDefault="006A11B0">
            <w:pPr>
              <w:rPr>
                <w:color w:val="000000"/>
                <w:sz w:val="18"/>
                <w:szCs w:val="18"/>
                <w:lang w:val="en-US"/>
              </w:rPr>
            </w:pPr>
            <w:r w:rsidRPr="0026705F">
              <w:rPr>
                <w:color w:val="000000"/>
                <w:sz w:val="18"/>
                <w:szCs w:val="18"/>
                <w:lang w:val="en-US"/>
              </w:rPr>
              <w:t>7,28±0,03</w:t>
            </w:r>
          </w:p>
        </w:tc>
        <w:tc>
          <w:tcPr>
            <w:tcW w:w="1152" w:type="dxa"/>
            <w:tcBorders>
              <w:top w:val="nil"/>
              <w:left w:val="nil"/>
              <w:bottom w:val="single" w:sz="8" w:space="0" w:color="auto"/>
              <w:right w:val="single" w:sz="8" w:space="0" w:color="auto"/>
            </w:tcBorders>
            <w:shd w:val="clear" w:color="auto" w:fill="auto"/>
            <w:vAlign w:val="center"/>
            <w:hideMark/>
          </w:tcPr>
          <w:p w14:paraId="2E9F5818" w14:textId="77777777" w:rsidR="006A11B0" w:rsidRPr="0026705F" w:rsidRDefault="006A11B0">
            <w:pPr>
              <w:rPr>
                <w:color w:val="000000"/>
                <w:sz w:val="18"/>
                <w:szCs w:val="18"/>
                <w:lang w:val="en-US"/>
              </w:rPr>
            </w:pPr>
            <w:r w:rsidRPr="0026705F">
              <w:rPr>
                <w:color w:val="000000"/>
                <w:sz w:val="18"/>
                <w:szCs w:val="18"/>
                <w:lang w:val="en-US"/>
              </w:rPr>
              <w:t>25,43±0,26</w:t>
            </w:r>
          </w:p>
        </w:tc>
        <w:tc>
          <w:tcPr>
            <w:tcW w:w="1134" w:type="dxa"/>
            <w:tcBorders>
              <w:top w:val="nil"/>
              <w:left w:val="nil"/>
              <w:bottom w:val="single" w:sz="8" w:space="0" w:color="auto"/>
              <w:right w:val="single" w:sz="8" w:space="0" w:color="auto"/>
            </w:tcBorders>
            <w:shd w:val="clear" w:color="auto" w:fill="auto"/>
            <w:vAlign w:val="center"/>
            <w:hideMark/>
          </w:tcPr>
          <w:p w14:paraId="32035AAD" w14:textId="77777777" w:rsidR="006A11B0" w:rsidRPr="0026705F" w:rsidRDefault="006A11B0">
            <w:pPr>
              <w:jc w:val="right"/>
              <w:rPr>
                <w:b/>
                <w:bCs/>
                <w:color w:val="000000"/>
                <w:sz w:val="18"/>
                <w:szCs w:val="18"/>
                <w:lang w:val="en-US"/>
              </w:rPr>
            </w:pPr>
            <w:r w:rsidRPr="0026705F">
              <w:rPr>
                <w:b/>
                <w:bCs/>
                <w:color w:val="000000"/>
                <w:sz w:val="18"/>
                <w:szCs w:val="18"/>
                <w:lang w:val="en-US"/>
              </w:rPr>
              <w:t>18,60</w:t>
            </w:r>
          </w:p>
        </w:tc>
        <w:tc>
          <w:tcPr>
            <w:tcW w:w="1152" w:type="dxa"/>
            <w:tcBorders>
              <w:top w:val="nil"/>
              <w:left w:val="nil"/>
              <w:bottom w:val="single" w:sz="8" w:space="0" w:color="auto"/>
              <w:right w:val="single" w:sz="8" w:space="0" w:color="auto"/>
            </w:tcBorders>
            <w:shd w:val="clear" w:color="auto" w:fill="auto"/>
            <w:vAlign w:val="center"/>
            <w:hideMark/>
          </w:tcPr>
          <w:p w14:paraId="45BA5D0A" w14:textId="77777777" w:rsidR="006A11B0" w:rsidRPr="0026705F" w:rsidRDefault="006A11B0">
            <w:pPr>
              <w:rPr>
                <w:color w:val="000000"/>
                <w:sz w:val="18"/>
                <w:szCs w:val="18"/>
                <w:lang w:val="en-US"/>
              </w:rPr>
            </w:pPr>
            <w:r w:rsidRPr="0026705F">
              <w:rPr>
                <w:color w:val="000000"/>
                <w:sz w:val="18"/>
                <w:szCs w:val="18"/>
                <w:lang w:val="en-US"/>
              </w:rPr>
              <w:t>0,03±0,00</w:t>
            </w:r>
          </w:p>
        </w:tc>
        <w:tc>
          <w:tcPr>
            <w:tcW w:w="1152" w:type="dxa"/>
            <w:tcBorders>
              <w:top w:val="nil"/>
              <w:left w:val="nil"/>
              <w:bottom w:val="single" w:sz="8" w:space="0" w:color="auto"/>
              <w:right w:val="single" w:sz="8" w:space="0" w:color="auto"/>
            </w:tcBorders>
            <w:shd w:val="clear" w:color="auto" w:fill="auto"/>
            <w:vAlign w:val="center"/>
            <w:hideMark/>
          </w:tcPr>
          <w:p w14:paraId="19901955" w14:textId="77777777" w:rsidR="006A11B0" w:rsidRPr="0026705F" w:rsidRDefault="006A11B0">
            <w:pPr>
              <w:rPr>
                <w:color w:val="000000"/>
                <w:sz w:val="18"/>
                <w:szCs w:val="18"/>
                <w:lang w:val="en-US"/>
              </w:rPr>
            </w:pPr>
            <w:r w:rsidRPr="0026705F">
              <w:rPr>
                <w:color w:val="000000"/>
                <w:sz w:val="18"/>
                <w:szCs w:val="18"/>
                <w:lang w:val="en-US"/>
              </w:rPr>
              <w:t>0,29±0,01</w:t>
            </w:r>
          </w:p>
        </w:tc>
        <w:tc>
          <w:tcPr>
            <w:tcW w:w="1152" w:type="dxa"/>
            <w:tcBorders>
              <w:top w:val="nil"/>
              <w:left w:val="nil"/>
              <w:bottom w:val="single" w:sz="8" w:space="0" w:color="auto"/>
              <w:right w:val="single" w:sz="8" w:space="0" w:color="auto"/>
            </w:tcBorders>
            <w:shd w:val="clear" w:color="auto" w:fill="auto"/>
            <w:vAlign w:val="center"/>
            <w:hideMark/>
          </w:tcPr>
          <w:p w14:paraId="48289D68" w14:textId="77777777" w:rsidR="006A11B0" w:rsidRPr="0026705F" w:rsidRDefault="006A11B0">
            <w:pPr>
              <w:jc w:val="right"/>
              <w:rPr>
                <w:b/>
                <w:bCs/>
                <w:color w:val="000000"/>
                <w:sz w:val="18"/>
                <w:szCs w:val="18"/>
                <w:lang w:val="en-US"/>
              </w:rPr>
            </w:pPr>
            <w:r w:rsidRPr="0026705F">
              <w:rPr>
                <w:b/>
                <w:bCs/>
                <w:color w:val="000000"/>
                <w:sz w:val="18"/>
                <w:szCs w:val="18"/>
                <w:lang w:val="en-US"/>
              </w:rPr>
              <w:t>0,16</w:t>
            </w:r>
          </w:p>
        </w:tc>
        <w:tc>
          <w:tcPr>
            <w:tcW w:w="1207" w:type="dxa"/>
            <w:tcBorders>
              <w:top w:val="nil"/>
              <w:left w:val="nil"/>
              <w:bottom w:val="single" w:sz="8" w:space="0" w:color="auto"/>
              <w:right w:val="single" w:sz="8" w:space="0" w:color="auto"/>
            </w:tcBorders>
            <w:shd w:val="clear" w:color="auto" w:fill="auto"/>
            <w:vAlign w:val="center"/>
            <w:hideMark/>
          </w:tcPr>
          <w:p w14:paraId="592B7C37" w14:textId="77777777" w:rsidR="006A11B0" w:rsidRPr="0026705F" w:rsidRDefault="006A11B0">
            <w:pPr>
              <w:jc w:val="right"/>
              <w:rPr>
                <w:b/>
                <w:bCs/>
                <w:color w:val="000000"/>
                <w:sz w:val="18"/>
                <w:szCs w:val="18"/>
                <w:lang w:val="en-US"/>
              </w:rPr>
            </w:pPr>
            <w:r w:rsidRPr="0026705F">
              <w:rPr>
                <w:b/>
                <w:bCs/>
                <w:color w:val="000000"/>
                <w:sz w:val="18"/>
                <w:szCs w:val="18"/>
                <w:lang w:val="en-US"/>
              </w:rPr>
              <w:t>0,01</w:t>
            </w:r>
          </w:p>
        </w:tc>
        <w:tc>
          <w:tcPr>
            <w:tcW w:w="1500" w:type="dxa"/>
            <w:tcBorders>
              <w:top w:val="nil"/>
              <w:left w:val="nil"/>
              <w:bottom w:val="single" w:sz="8" w:space="0" w:color="auto"/>
              <w:right w:val="single" w:sz="8" w:space="0" w:color="auto"/>
            </w:tcBorders>
            <w:shd w:val="clear" w:color="auto" w:fill="auto"/>
            <w:vAlign w:val="center"/>
            <w:hideMark/>
          </w:tcPr>
          <w:p w14:paraId="74493739" w14:textId="77777777" w:rsidR="006A11B0" w:rsidRPr="0026705F" w:rsidRDefault="006A11B0">
            <w:pPr>
              <w:jc w:val="right"/>
              <w:rPr>
                <w:b/>
                <w:bCs/>
                <w:color w:val="000000"/>
                <w:sz w:val="18"/>
                <w:szCs w:val="18"/>
                <w:lang w:val="en-US"/>
              </w:rPr>
            </w:pPr>
            <w:r w:rsidRPr="0026705F">
              <w:rPr>
                <w:b/>
                <w:bCs/>
                <w:color w:val="000000"/>
                <w:sz w:val="18"/>
                <w:szCs w:val="18"/>
                <w:lang w:val="en-US"/>
              </w:rPr>
              <w:t>-6,87</w:t>
            </w:r>
          </w:p>
        </w:tc>
        <w:tc>
          <w:tcPr>
            <w:tcW w:w="1390" w:type="dxa"/>
            <w:tcBorders>
              <w:top w:val="nil"/>
              <w:left w:val="nil"/>
              <w:bottom w:val="single" w:sz="8" w:space="0" w:color="auto"/>
              <w:right w:val="single" w:sz="8" w:space="0" w:color="auto"/>
            </w:tcBorders>
            <w:shd w:val="clear" w:color="auto" w:fill="auto"/>
            <w:vAlign w:val="center"/>
            <w:hideMark/>
          </w:tcPr>
          <w:p w14:paraId="37D87F77" w14:textId="77777777" w:rsidR="006A11B0" w:rsidRPr="0026705F" w:rsidRDefault="006A11B0">
            <w:pPr>
              <w:jc w:val="right"/>
              <w:rPr>
                <w:color w:val="000000"/>
                <w:sz w:val="18"/>
                <w:szCs w:val="18"/>
                <w:lang w:val="en-US"/>
              </w:rPr>
            </w:pPr>
            <w:r w:rsidRPr="0026705F">
              <w:rPr>
                <w:color w:val="000000"/>
                <w:sz w:val="18"/>
                <w:szCs w:val="18"/>
                <w:lang w:val="en-US"/>
              </w:rPr>
              <w:t>-3,73</w:t>
            </w:r>
          </w:p>
        </w:tc>
        <w:tc>
          <w:tcPr>
            <w:tcW w:w="1371" w:type="dxa"/>
            <w:tcBorders>
              <w:top w:val="nil"/>
              <w:left w:val="nil"/>
              <w:bottom w:val="single" w:sz="8" w:space="0" w:color="auto"/>
              <w:right w:val="single" w:sz="8" w:space="0" w:color="auto"/>
            </w:tcBorders>
            <w:shd w:val="clear" w:color="auto" w:fill="auto"/>
            <w:vAlign w:val="center"/>
            <w:hideMark/>
          </w:tcPr>
          <w:p w14:paraId="079ED884" w14:textId="77777777" w:rsidR="006A11B0" w:rsidRPr="0026705F" w:rsidRDefault="006A11B0">
            <w:pPr>
              <w:jc w:val="right"/>
              <w:rPr>
                <w:color w:val="000000"/>
                <w:sz w:val="18"/>
                <w:szCs w:val="18"/>
                <w:lang w:val="en-US"/>
              </w:rPr>
            </w:pPr>
            <w:r w:rsidRPr="0026705F">
              <w:rPr>
                <w:color w:val="000000"/>
                <w:sz w:val="18"/>
                <w:szCs w:val="18"/>
                <w:lang w:val="en-US"/>
              </w:rPr>
              <w:t>-2,91</w:t>
            </w:r>
          </w:p>
        </w:tc>
      </w:tr>
      <w:tr w:rsidR="00324E86" w:rsidRPr="0026705F" w14:paraId="3D0D447F" w14:textId="77777777" w:rsidTr="00324E86">
        <w:trPr>
          <w:trHeight w:val="319"/>
        </w:trPr>
        <w:tc>
          <w:tcPr>
            <w:tcW w:w="969" w:type="dxa"/>
            <w:tcBorders>
              <w:top w:val="nil"/>
              <w:left w:val="single" w:sz="8" w:space="0" w:color="auto"/>
              <w:bottom w:val="single" w:sz="8" w:space="0" w:color="auto"/>
              <w:right w:val="single" w:sz="8" w:space="0" w:color="auto"/>
            </w:tcBorders>
            <w:shd w:val="clear" w:color="auto" w:fill="auto"/>
            <w:vAlign w:val="center"/>
            <w:hideMark/>
          </w:tcPr>
          <w:p w14:paraId="33B4599B" w14:textId="77777777" w:rsidR="006A11B0" w:rsidRPr="0026705F" w:rsidRDefault="006A11B0">
            <w:pPr>
              <w:rPr>
                <w:b/>
                <w:bCs/>
                <w:i/>
                <w:iCs/>
                <w:color w:val="000000"/>
                <w:sz w:val="18"/>
                <w:szCs w:val="18"/>
                <w:lang w:val="en-US"/>
              </w:rPr>
            </w:pPr>
            <w:r w:rsidRPr="0026705F">
              <w:rPr>
                <w:b/>
                <w:bCs/>
                <w:i/>
                <w:iCs/>
                <w:color w:val="000000"/>
                <w:sz w:val="18"/>
                <w:szCs w:val="18"/>
                <w:lang w:val="en-US"/>
              </w:rPr>
              <w:t>IGFBP5</w:t>
            </w:r>
          </w:p>
        </w:tc>
        <w:tc>
          <w:tcPr>
            <w:tcW w:w="1152" w:type="dxa"/>
            <w:tcBorders>
              <w:top w:val="nil"/>
              <w:left w:val="nil"/>
              <w:bottom w:val="single" w:sz="8" w:space="0" w:color="auto"/>
              <w:right w:val="single" w:sz="8" w:space="0" w:color="auto"/>
            </w:tcBorders>
            <w:shd w:val="clear" w:color="auto" w:fill="auto"/>
            <w:vAlign w:val="center"/>
            <w:hideMark/>
          </w:tcPr>
          <w:p w14:paraId="28DE5777" w14:textId="77777777" w:rsidR="006A11B0" w:rsidRPr="0026705F" w:rsidRDefault="006A11B0">
            <w:pPr>
              <w:rPr>
                <w:color w:val="000000"/>
                <w:sz w:val="18"/>
                <w:szCs w:val="18"/>
                <w:lang w:val="en-US"/>
              </w:rPr>
            </w:pPr>
            <w:r w:rsidRPr="0026705F">
              <w:rPr>
                <w:color w:val="000000"/>
                <w:sz w:val="18"/>
                <w:szCs w:val="18"/>
                <w:lang w:val="en-US"/>
              </w:rPr>
              <w:t>0,35±0,01</w:t>
            </w:r>
          </w:p>
        </w:tc>
        <w:tc>
          <w:tcPr>
            <w:tcW w:w="1152" w:type="dxa"/>
            <w:tcBorders>
              <w:top w:val="nil"/>
              <w:left w:val="nil"/>
              <w:bottom w:val="single" w:sz="8" w:space="0" w:color="auto"/>
              <w:right w:val="single" w:sz="8" w:space="0" w:color="auto"/>
            </w:tcBorders>
            <w:shd w:val="clear" w:color="auto" w:fill="auto"/>
            <w:vAlign w:val="center"/>
            <w:hideMark/>
          </w:tcPr>
          <w:p w14:paraId="74CE46FF" w14:textId="77777777" w:rsidR="006A11B0" w:rsidRPr="0026705F" w:rsidRDefault="006A11B0">
            <w:pPr>
              <w:rPr>
                <w:color w:val="000000"/>
                <w:sz w:val="18"/>
                <w:szCs w:val="18"/>
                <w:lang w:val="en-US"/>
              </w:rPr>
            </w:pPr>
            <w:r w:rsidRPr="0026705F">
              <w:rPr>
                <w:color w:val="000000"/>
                <w:sz w:val="18"/>
                <w:szCs w:val="18"/>
                <w:lang w:val="en-US"/>
              </w:rPr>
              <w:t>0,71±0,01</w:t>
            </w:r>
          </w:p>
        </w:tc>
        <w:tc>
          <w:tcPr>
            <w:tcW w:w="1152" w:type="dxa"/>
            <w:tcBorders>
              <w:top w:val="nil"/>
              <w:left w:val="nil"/>
              <w:bottom w:val="single" w:sz="8" w:space="0" w:color="auto"/>
              <w:right w:val="single" w:sz="8" w:space="0" w:color="auto"/>
            </w:tcBorders>
            <w:shd w:val="clear" w:color="auto" w:fill="auto"/>
            <w:vAlign w:val="center"/>
            <w:hideMark/>
          </w:tcPr>
          <w:p w14:paraId="28868B84" w14:textId="77777777" w:rsidR="006A11B0" w:rsidRPr="0026705F" w:rsidRDefault="006A11B0">
            <w:pPr>
              <w:rPr>
                <w:color w:val="000000"/>
                <w:sz w:val="18"/>
                <w:szCs w:val="18"/>
                <w:lang w:val="en-US"/>
              </w:rPr>
            </w:pPr>
            <w:r w:rsidRPr="0026705F">
              <w:rPr>
                <w:color w:val="000000"/>
                <w:sz w:val="18"/>
                <w:szCs w:val="18"/>
                <w:lang w:val="en-US"/>
              </w:rPr>
              <w:t>0,60±0,02</w:t>
            </w:r>
          </w:p>
        </w:tc>
        <w:tc>
          <w:tcPr>
            <w:tcW w:w="1152" w:type="dxa"/>
            <w:tcBorders>
              <w:top w:val="nil"/>
              <w:left w:val="nil"/>
              <w:bottom w:val="single" w:sz="8" w:space="0" w:color="auto"/>
              <w:right w:val="single" w:sz="8" w:space="0" w:color="auto"/>
            </w:tcBorders>
            <w:shd w:val="clear" w:color="auto" w:fill="auto"/>
            <w:vAlign w:val="center"/>
            <w:hideMark/>
          </w:tcPr>
          <w:p w14:paraId="4CA30990" w14:textId="77777777" w:rsidR="006A11B0" w:rsidRPr="0026705F" w:rsidRDefault="006A11B0">
            <w:pPr>
              <w:rPr>
                <w:color w:val="000000"/>
                <w:sz w:val="18"/>
                <w:szCs w:val="18"/>
                <w:lang w:val="en-US"/>
              </w:rPr>
            </w:pPr>
            <w:r w:rsidRPr="0026705F">
              <w:rPr>
                <w:color w:val="000000"/>
                <w:sz w:val="18"/>
                <w:szCs w:val="18"/>
                <w:lang w:val="en-US"/>
              </w:rPr>
              <w:t>0,53±0,00</w:t>
            </w:r>
          </w:p>
        </w:tc>
        <w:tc>
          <w:tcPr>
            <w:tcW w:w="1134" w:type="dxa"/>
            <w:tcBorders>
              <w:top w:val="nil"/>
              <w:left w:val="nil"/>
              <w:bottom w:val="single" w:sz="8" w:space="0" w:color="auto"/>
              <w:right w:val="single" w:sz="8" w:space="0" w:color="auto"/>
            </w:tcBorders>
            <w:shd w:val="clear" w:color="auto" w:fill="auto"/>
            <w:vAlign w:val="center"/>
            <w:hideMark/>
          </w:tcPr>
          <w:p w14:paraId="25B2C583" w14:textId="77777777" w:rsidR="006A11B0" w:rsidRPr="0026705F" w:rsidRDefault="006A11B0">
            <w:pPr>
              <w:jc w:val="right"/>
              <w:rPr>
                <w:b/>
                <w:bCs/>
                <w:color w:val="000000"/>
                <w:sz w:val="18"/>
                <w:szCs w:val="18"/>
                <w:lang w:val="en-US"/>
              </w:rPr>
            </w:pPr>
            <w:r w:rsidRPr="0026705F">
              <w:rPr>
                <w:b/>
                <w:bCs/>
                <w:color w:val="000000"/>
                <w:sz w:val="18"/>
                <w:szCs w:val="18"/>
                <w:lang w:val="en-US"/>
              </w:rPr>
              <w:t>0,55</w:t>
            </w:r>
          </w:p>
        </w:tc>
        <w:tc>
          <w:tcPr>
            <w:tcW w:w="1152" w:type="dxa"/>
            <w:tcBorders>
              <w:top w:val="nil"/>
              <w:left w:val="nil"/>
              <w:bottom w:val="single" w:sz="8" w:space="0" w:color="auto"/>
              <w:right w:val="single" w:sz="8" w:space="0" w:color="auto"/>
            </w:tcBorders>
            <w:shd w:val="clear" w:color="auto" w:fill="auto"/>
            <w:vAlign w:val="center"/>
            <w:hideMark/>
          </w:tcPr>
          <w:p w14:paraId="564FF127" w14:textId="77777777" w:rsidR="006A11B0" w:rsidRPr="0026705F" w:rsidRDefault="006A11B0">
            <w:pPr>
              <w:rPr>
                <w:color w:val="000000"/>
                <w:sz w:val="18"/>
                <w:szCs w:val="18"/>
                <w:lang w:val="en-US"/>
              </w:rPr>
            </w:pPr>
            <w:r w:rsidRPr="0026705F">
              <w:rPr>
                <w:color w:val="000000"/>
                <w:sz w:val="18"/>
                <w:szCs w:val="18"/>
                <w:lang w:val="en-US"/>
              </w:rPr>
              <w:t>0,01±0,00</w:t>
            </w:r>
          </w:p>
        </w:tc>
        <w:tc>
          <w:tcPr>
            <w:tcW w:w="1152" w:type="dxa"/>
            <w:tcBorders>
              <w:top w:val="nil"/>
              <w:left w:val="nil"/>
              <w:bottom w:val="single" w:sz="8" w:space="0" w:color="auto"/>
              <w:right w:val="single" w:sz="8" w:space="0" w:color="auto"/>
            </w:tcBorders>
            <w:shd w:val="clear" w:color="auto" w:fill="auto"/>
            <w:vAlign w:val="center"/>
            <w:hideMark/>
          </w:tcPr>
          <w:p w14:paraId="53E358B5" w14:textId="77777777" w:rsidR="006A11B0" w:rsidRPr="0026705F" w:rsidRDefault="006A11B0">
            <w:pPr>
              <w:rPr>
                <w:color w:val="000000"/>
                <w:sz w:val="18"/>
                <w:szCs w:val="18"/>
                <w:lang w:val="en-US"/>
              </w:rPr>
            </w:pPr>
            <w:r w:rsidRPr="0026705F">
              <w:rPr>
                <w:color w:val="000000"/>
                <w:sz w:val="18"/>
                <w:szCs w:val="18"/>
                <w:lang w:val="en-US"/>
              </w:rPr>
              <w:t>0,08±0,01</w:t>
            </w:r>
          </w:p>
        </w:tc>
        <w:tc>
          <w:tcPr>
            <w:tcW w:w="1152" w:type="dxa"/>
            <w:tcBorders>
              <w:top w:val="nil"/>
              <w:left w:val="nil"/>
              <w:bottom w:val="single" w:sz="8" w:space="0" w:color="auto"/>
              <w:right w:val="single" w:sz="8" w:space="0" w:color="auto"/>
            </w:tcBorders>
            <w:shd w:val="clear" w:color="auto" w:fill="auto"/>
            <w:vAlign w:val="center"/>
            <w:hideMark/>
          </w:tcPr>
          <w:p w14:paraId="53CEF50A" w14:textId="77777777" w:rsidR="006A11B0" w:rsidRPr="0026705F" w:rsidRDefault="006A11B0">
            <w:pPr>
              <w:jc w:val="right"/>
              <w:rPr>
                <w:b/>
                <w:bCs/>
                <w:color w:val="000000"/>
                <w:sz w:val="18"/>
                <w:szCs w:val="18"/>
                <w:lang w:val="en-US"/>
              </w:rPr>
            </w:pPr>
            <w:r w:rsidRPr="0026705F">
              <w:rPr>
                <w:b/>
                <w:bCs/>
                <w:color w:val="000000"/>
                <w:sz w:val="18"/>
                <w:szCs w:val="18"/>
                <w:lang w:val="en-US"/>
              </w:rPr>
              <w:t>0,05</w:t>
            </w:r>
          </w:p>
        </w:tc>
        <w:tc>
          <w:tcPr>
            <w:tcW w:w="1207" w:type="dxa"/>
            <w:tcBorders>
              <w:top w:val="nil"/>
              <w:left w:val="nil"/>
              <w:bottom w:val="single" w:sz="8" w:space="0" w:color="auto"/>
              <w:right w:val="single" w:sz="8" w:space="0" w:color="auto"/>
            </w:tcBorders>
            <w:shd w:val="clear" w:color="auto" w:fill="auto"/>
            <w:vAlign w:val="center"/>
            <w:hideMark/>
          </w:tcPr>
          <w:p w14:paraId="459B5FF1" w14:textId="77777777" w:rsidR="006A11B0" w:rsidRPr="0026705F" w:rsidRDefault="006A11B0">
            <w:pPr>
              <w:jc w:val="right"/>
              <w:rPr>
                <w:b/>
                <w:bCs/>
                <w:color w:val="000000"/>
                <w:sz w:val="18"/>
                <w:szCs w:val="18"/>
                <w:lang w:val="en-US"/>
              </w:rPr>
            </w:pPr>
            <w:r w:rsidRPr="0026705F">
              <w:rPr>
                <w:b/>
                <w:bCs/>
                <w:color w:val="000000"/>
                <w:sz w:val="18"/>
                <w:szCs w:val="18"/>
                <w:lang w:val="en-US"/>
              </w:rPr>
              <w:t>0,09</w:t>
            </w:r>
          </w:p>
        </w:tc>
        <w:tc>
          <w:tcPr>
            <w:tcW w:w="1500" w:type="dxa"/>
            <w:tcBorders>
              <w:top w:val="nil"/>
              <w:left w:val="nil"/>
              <w:bottom w:val="single" w:sz="8" w:space="0" w:color="auto"/>
              <w:right w:val="single" w:sz="8" w:space="0" w:color="auto"/>
            </w:tcBorders>
            <w:shd w:val="clear" w:color="auto" w:fill="auto"/>
            <w:vAlign w:val="center"/>
            <w:hideMark/>
          </w:tcPr>
          <w:p w14:paraId="74BC7C2F" w14:textId="77777777" w:rsidR="006A11B0" w:rsidRPr="0026705F" w:rsidRDefault="006A11B0">
            <w:pPr>
              <w:jc w:val="right"/>
              <w:rPr>
                <w:b/>
                <w:bCs/>
                <w:color w:val="000000"/>
                <w:sz w:val="18"/>
                <w:szCs w:val="18"/>
                <w:lang w:val="en-US"/>
              </w:rPr>
            </w:pPr>
            <w:r w:rsidRPr="0026705F">
              <w:rPr>
                <w:b/>
                <w:bCs/>
                <w:color w:val="000000"/>
                <w:sz w:val="18"/>
                <w:szCs w:val="18"/>
                <w:lang w:val="en-US"/>
              </w:rPr>
              <w:t>-3,49</w:t>
            </w:r>
          </w:p>
        </w:tc>
        <w:tc>
          <w:tcPr>
            <w:tcW w:w="1390" w:type="dxa"/>
            <w:tcBorders>
              <w:top w:val="nil"/>
              <w:left w:val="nil"/>
              <w:bottom w:val="single" w:sz="8" w:space="0" w:color="auto"/>
              <w:right w:val="single" w:sz="8" w:space="0" w:color="auto"/>
            </w:tcBorders>
            <w:shd w:val="clear" w:color="auto" w:fill="auto"/>
            <w:vAlign w:val="center"/>
            <w:hideMark/>
          </w:tcPr>
          <w:p w14:paraId="7DF51CE5" w14:textId="77777777" w:rsidR="006A11B0" w:rsidRPr="0026705F" w:rsidRDefault="006A11B0">
            <w:pPr>
              <w:jc w:val="right"/>
              <w:rPr>
                <w:color w:val="000000"/>
                <w:sz w:val="18"/>
                <w:szCs w:val="18"/>
                <w:lang w:val="en-US"/>
              </w:rPr>
            </w:pPr>
            <w:r w:rsidRPr="0026705F">
              <w:rPr>
                <w:color w:val="000000"/>
                <w:sz w:val="18"/>
                <w:szCs w:val="18"/>
                <w:lang w:val="en-US"/>
              </w:rPr>
              <w:t>-2,31</w:t>
            </w:r>
          </w:p>
        </w:tc>
        <w:tc>
          <w:tcPr>
            <w:tcW w:w="1371" w:type="dxa"/>
            <w:tcBorders>
              <w:top w:val="nil"/>
              <w:left w:val="nil"/>
              <w:bottom w:val="single" w:sz="8" w:space="0" w:color="auto"/>
              <w:right w:val="single" w:sz="8" w:space="0" w:color="auto"/>
            </w:tcBorders>
            <w:shd w:val="clear" w:color="auto" w:fill="auto"/>
            <w:vAlign w:val="center"/>
            <w:hideMark/>
          </w:tcPr>
          <w:p w14:paraId="3F6266C4" w14:textId="77777777" w:rsidR="006A11B0" w:rsidRPr="0026705F" w:rsidRDefault="006A11B0">
            <w:pPr>
              <w:jc w:val="right"/>
              <w:rPr>
                <w:color w:val="000000"/>
                <w:sz w:val="18"/>
                <w:szCs w:val="18"/>
                <w:lang w:val="en-US"/>
              </w:rPr>
            </w:pPr>
            <w:r w:rsidRPr="0026705F">
              <w:rPr>
                <w:color w:val="000000"/>
                <w:sz w:val="18"/>
                <w:szCs w:val="18"/>
                <w:lang w:val="en-US"/>
              </w:rPr>
              <w:t>-2,59</w:t>
            </w:r>
          </w:p>
        </w:tc>
      </w:tr>
      <w:tr w:rsidR="00324E86" w:rsidRPr="0026705F" w14:paraId="63075B39" w14:textId="77777777" w:rsidTr="00324E86">
        <w:trPr>
          <w:trHeight w:val="319"/>
        </w:trPr>
        <w:tc>
          <w:tcPr>
            <w:tcW w:w="969" w:type="dxa"/>
            <w:tcBorders>
              <w:top w:val="nil"/>
              <w:left w:val="single" w:sz="8" w:space="0" w:color="auto"/>
              <w:bottom w:val="single" w:sz="8" w:space="0" w:color="auto"/>
              <w:right w:val="single" w:sz="8" w:space="0" w:color="auto"/>
            </w:tcBorders>
            <w:shd w:val="clear" w:color="auto" w:fill="auto"/>
            <w:vAlign w:val="center"/>
            <w:hideMark/>
          </w:tcPr>
          <w:p w14:paraId="41098711" w14:textId="77777777" w:rsidR="006A11B0" w:rsidRPr="0026705F" w:rsidRDefault="006A11B0">
            <w:pPr>
              <w:rPr>
                <w:b/>
                <w:bCs/>
                <w:i/>
                <w:iCs/>
                <w:color w:val="000000"/>
                <w:sz w:val="18"/>
                <w:szCs w:val="18"/>
                <w:lang w:val="en-US"/>
              </w:rPr>
            </w:pPr>
            <w:r w:rsidRPr="0026705F">
              <w:rPr>
                <w:b/>
                <w:bCs/>
                <w:i/>
                <w:iCs/>
                <w:color w:val="000000"/>
                <w:sz w:val="18"/>
                <w:szCs w:val="18"/>
                <w:lang w:val="en-US"/>
              </w:rPr>
              <w:t>PI16</w:t>
            </w:r>
          </w:p>
        </w:tc>
        <w:tc>
          <w:tcPr>
            <w:tcW w:w="1152" w:type="dxa"/>
            <w:tcBorders>
              <w:top w:val="nil"/>
              <w:left w:val="nil"/>
              <w:bottom w:val="single" w:sz="8" w:space="0" w:color="auto"/>
              <w:right w:val="single" w:sz="8" w:space="0" w:color="auto"/>
            </w:tcBorders>
            <w:shd w:val="clear" w:color="auto" w:fill="auto"/>
            <w:vAlign w:val="center"/>
            <w:hideMark/>
          </w:tcPr>
          <w:p w14:paraId="258F633B" w14:textId="77777777" w:rsidR="006A11B0" w:rsidRPr="0026705F" w:rsidRDefault="006A11B0">
            <w:pPr>
              <w:rPr>
                <w:color w:val="000000"/>
                <w:sz w:val="18"/>
                <w:szCs w:val="18"/>
                <w:lang w:val="en-US"/>
              </w:rPr>
            </w:pPr>
            <w:r w:rsidRPr="0026705F">
              <w:rPr>
                <w:color w:val="000000"/>
                <w:sz w:val="18"/>
                <w:szCs w:val="18"/>
                <w:lang w:val="en-US"/>
              </w:rPr>
              <w:t>2,63±0,01</w:t>
            </w:r>
          </w:p>
        </w:tc>
        <w:tc>
          <w:tcPr>
            <w:tcW w:w="1152" w:type="dxa"/>
            <w:tcBorders>
              <w:top w:val="nil"/>
              <w:left w:val="nil"/>
              <w:bottom w:val="single" w:sz="8" w:space="0" w:color="auto"/>
              <w:right w:val="single" w:sz="8" w:space="0" w:color="auto"/>
            </w:tcBorders>
            <w:shd w:val="clear" w:color="auto" w:fill="auto"/>
            <w:vAlign w:val="center"/>
            <w:hideMark/>
          </w:tcPr>
          <w:p w14:paraId="08DE8FED" w14:textId="77777777" w:rsidR="006A11B0" w:rsidRPr="0026705F" w:rsidRDefault="006A11B0">
            <w:pPr>
              <w:rPr>
                <w:color w:val="000000"/>
                <w:sz w:val="18"/>
                <w:szCs w:val="18"/>
                <w:lang w:val="en-US"/>
              </w:rPr>
            </w:pPr>
            <w:r w:rsidRPr="0026705F">
              <w:rPr>
                <w:color w:val="000000"/>
                <w:sz w:val="18"/>
                <w:szCs w:val="18"/>
                <w:lang w:val="en-US"/>
              </w:rPr>
              <w:t>0,11±0,00</w:t>
            </w:r>
          </w:p>
        </w:tc>
        <w:tc>
          <w:tcPr>
            <w:tcW w:w="1152" w:type="dxa"/>
            <w:tcBorders>
              <w:top w:val="nil"/>
              <w:left w:val="nil"/>
              <w:bottom w:val="single" w:sz="8" w:space="0" w:color="auto"/>
              <w:right w:val="single" w:sz="8" w:space="0" w:color="auto"/>
            </w:tcBorders>
            <w:shd w:val="clear" w:color="auto" w:fill="auto"/>
            <w:vAlign w:val="center"/>
            <w:hideMark/>
          </w:tcPr>
          <w:p w14:paraId="5D442122" w14:textId="77777777" w:rsidR="006A11B0" w:rsidRPr="0026705F" w:rsidRDefault="006A11B0">
            <w:pPr>
              <w:rPr>
                <w:color w:val="000000"/>
                <w:sz w:val="18"/>
                <w:szCs w:val="18"/>
                <w:lang w:val="en-US"/>
              </w:rPr>
            </w:pPr>
            <w:r w:rsidRPr="0026705F">
              <w:rPr>
                <w:color w:val="000000"/>
                <w:sz w:val="18"/>
                <w:szCs w:val="18"/>
                <w:lang w:val="en-US"/>
              </w:rPr>
              <w:t>0,49±0,01</w:t>
            </w:r>
          </w:p>
        </w:tc>
        <w:tc>
          <w:tcPr>
            <w:tcW w:w="1152" w:type="dxa"/>
            <w:tcBorders>
              <w:top w:val="nil"/>
              <w:left w:val="nil"/>
              <w:bottom w:val="single" w:sz="8" w:space="0" w:color="auto"/>
              <w:right w:val="single" w:sz="8" w:space="0" w:color="auto"/>
            </w:tcBorders>
            <w:shd w:val="clear" w:color="auto" w:fill="auto"/>
            <w:vAlign w:val="center"/>
            <w:hideMark/>
          </w:tcPr>
          <w:p w14:paraId="19B7EB5F" w14:textId="77777777" w:rsidR="006A11B0" w:rsidRPr="0026705F" w:rsidRDefault="006A11B0">
            <w:pPr>
              <w:rPr>
                <w:color w:val="000000"/>
                <w:sz w:val="18"/>
                <w:szCs w:val="18"/>
                <w:lang w:val="en-US"/>
              </w:rPr>
            </w:pPr>
            <w:r w:rsidRPr="0026705F">
              <w:rPr>
                <w:color w:val="000000"/>
                <w:sz w:val="18"/>
                <w:szCs w:val="18"/>
                <w:lang w:val="en-US"/>
              </w:rPr>
              <w:t>0,15±0,01</w:t>
            </w:r>
          </w:p>
        </w:tc>
        <w:tc>
          <w:tcPr>
            <w:tcW w:w="1134" w:type="dxa"/>
            <w:tcBorders>
              <w:top w:val="nil"/>
              <w:left w:val="nil"/>
              <w:bottom w:val="single" w:sz="8" w:space="0" w:color="auto"/>
              <w:right w:val="single" w:sz="8" w:space="0" w:color="auto"/>
            </w:tcBorders>
            <w:shd w:val="clear" w:color="auto" w:fill="auto"/>
            <w:vAlign w:val="center"/>
            <w:hideMark/>
          </w:tcPr>
          <w:p w14:paraId="3FCD6312" w14:textId="77777777" w:rsidR="006A11B0" w:rsidRPr="0026705F" w:rsidRDefault="006A11B0">
            <w:pPr>
              <w:jc w:val="right"/>
              <w:rPr>
                <w:b/>
                <w:bCs/>
                <w:color w:val="000000"/>
                <w:sz w:val="18"/>
                <w:szCs w:val="18"/>
                <w:lang w:val="en-US"/>
              </w:rPr>
            </w:pPr>
            <w:r w:rsidRPr="0026705F">
              <w:rPr>
                <w:b/>
                <w:bCs/>
                <w:color w:val="000000"/>
                <w:sz w:val="18"/>
                <w:szCs w:val="18"/>
                <w:lang w:val="en-US"/>
              </w:rPr>
              <w:t>0,84</w:t>
            </w:r>
          </w:p>
        </w:tc>
        <w:tc>
          <w:tcPr>
            <w:tcW w:w="1152" w:type="dxa"/>
            <w:tcBorders>
              <w:top w:val="nil"/>
              <w:left w:val="nil"/>
              <w:bottom w:val="single" w:sz="8" w:space="0" w:color="auto"/>
              <w:right w:val="single" w:sz="8" w:space="0" w:color="auto"/>
            </w:tcBorders>
            <w:shd w:val="clear" w:color="auto" w:fill="auto"/>
            <w:vAlign w:val="center"/>
            <w:hideMark/>
          </w:tcPr>
          <w:p w14:paraId="455E6EEC" w14:textId="77777777" w:rsidR="006A11B0" w:rsidRPr="0026705F" w:rsidRDefault="006A11B0">
            <w:pPr>
              <w:rPr>
                <w:color w:val="000000"/>
                <w:sz w:val="18"/>
                <w:szCs w:val="18"/>
                <w:lang w:val="en-US"/>
              </w:rPr>
            </w:pPr>
            <w:r w:rsidRPr="0026705F">
              <w:rPr>
                <w:color w:val="000000"/>
                <w:sz w:val="18"/>
                <w:szCs w:val="18"/>
                <w:lang w:val="en-US"/>
              </w:rPr>
              <w:t>0,00±0,00</w:t>
            </w:r>
          </w:p>
        </w:tc>
        <w:tc>
          <w:tcPr>
            <w:tcW w:w="1152" w:type="dxa"/>
            <w:tcBorders>
              <w:top w:val="nil"/>
              <w:left w:val="nil"/>
              <w:bottom w:val="single" w:sz="8" w:space="0" w:color="auto"/>
              <w:right w:val="single" w:sz="8" w:space="0" w:color="auto"/>
            </w:tcBorders>
            <w:shd w:val="clear" w:color="auto" w:fill="auto"/>
            <w:vAlign w:val="center"/>
            <w:hideMark/>
          </w:tcPr>
          <w:p w14:paraId="52D23537" w14:textId="77777777" w:rsidR="006A11B0" w:rsidRPr="0026705F" w:rsidRDefault="006A11B0">
            <w:pPr>
              <w:rPr>
                <w:color w:val="000000"/>
                <w:sz w:val="18"/>
                <w:szCs w:val="18"/>
                <w:lang w:val="en-US"/>
              </w:rPr>
            </w:pPr>
            <w:r w:rsidRPr="0026705F">
              <w:rPr>
                <w:color w:val="000000"/>
                <w:sz w:val="18"/>
                <w:szCs w:val="18"/>
                <w:lang w:val="en-US"/>
              </w:rPr>
              <w:t>0,00±0,00</w:t>
            </w:r>
          </w:p>
        </w:tc>
        <w:tc>
          <w:tcPr>
            <w:tcW w:w="1152" w:type="dxa"/>
            <w:tcBorders>
              <w:top w:val="nil"/>
              <w:left w:val="nil"/>
              <w:bottom w:val="single" w:sz="8" w:space="0" w:color="auto"/>
              <w:right w:val="single" w:sz="8" w:space="0" w:color="auto"/>
            </w:tcBorders>
            <w:shd w:val="clear" w:color="auto" w:fill="auto"/>
            <w:vAlign w:val="center"/>
            <w:hideMark/>
          </w:tcPr>
          <w:p w14:paraId="655064E2" w14:textId="77777777" w:rsidR="006A11B0" w:rsidRPr="0026705F" w:rsidRDefault="006A11B0">
            <w:pPr>
              <w:jc w:val="right"/>
              <w:rPr>
                <w:b/>
                <w:bCs/>
                <w:color w:val="000000"/>
                <w:sz w:val="18"/>
                <w:szCs w:val="18"/>
                <w:lang w:val="en-US"/>
              </w:rPr>
            </w:pPr>
            <w:r w:rsidRPr="0026705F">
              <w:rPr>
                <w:b/>
                <w:bCs/>
                <w:color w:val="000000"/>
                <w:sz w:val="18"/>
                <w:szCs w:val="18"/>
                <w:lang w:val="en-US"/>
              </w:rPr>
              <w:t>0,00</w:t>
            </w:r>
          </w:p>
        </w:tc>
        <w:tc>
          <w:tcPr>
            <w:tcW w:w="1207" w:type="dxa"/>
            <w:tcBorders>
              <w:top w:val="nil"/>
              <w:left w:val="nil"/>
              <w:bottom w:val="single" w:sz="8" w:space="0" w:color="auto"/>
              <w:right w:val="single" w:sz="8" w:space="0" w:color="auto"/>
            </w:tcBorders>
            <w:shd w:val="clear" w:color="auto" w:fill="auto"/>
            <w:vAlign w:val="center"/>
            <w:hideMark/>
          </w:tcPr>
          <w:p w14:paraId="583B0D23" w14:textId="77777777" w:rsidR="006A11B0" w:rsidRPr="0026705F" w:rsidRDefault="006A11B0">
            <w:pPr>
              <w:jc w:val="right"/>
              <w:rPr>
                <w:b/>
                <w:bCs/>
                <w:color w:val="000000"/>
                <w:sz w:val="18"/>
                <w:szCs w:val="18"/>
                <w:lang w:val="en-US"/>
              </w:rPr>
            </w:pPr>
            <w:r w:rsidRPr="0026705F">
              <w:rPr>
                <w:b/>
                <w:bCs/>
                <w:color w:val="000000"/>
                <w:sz w:val="18"/>
                <w:szCs w:val="18"/>
                <w:lang w:val="en-US"/>
              </w:rPr>
              <w:t>0,00</w:t>
            </w:r>
          </w:p>
        </w:tc>
        <w:tc>
          <w:tcPr>
            <w:tcW w:w="1500" w:type="dxa"/>
            <w:tcBorders>
              <w:top w:val="nil"/>
              <w:left w:val="nil"/>
              <w:bottom w:val="single" w:sz="8" w:space="0" w:color="auto"/>
              <w:right w:val="single" w:sz="8" w:space="0" w:color="auto"/>
            </w:tcBorders>
            <w:shd w:val="clear" w:color="auto" w:fill="auto"/>
            <w:vAlign w:val="center"/>
            <w:hideMark/>
          </w:tcPr>
          <w:p w14:paraId="6C73EC27" w14:textId="77777777" w:rsidR="006A11B0" w:rsidRPr="0026705F" w:rsidRDefault="006A11B0">
            <w:pPr>
              <w:jc w:val="right"/>
              <w:rPr>
                <w:b/>
                <w:bCs/>
                <w:color w:val="000000"/>
                <w:sz w:val="18"/>
                <w:szCs w:val="18"/>
                <w:lang w:val="en-US"/>
              </w:rPr>
            </w:pPr>
            <w:r w:rsidRPr="0026705F">
              <w:rPr>
                <w:b/>
                <w:bCs/>
                <w:color w:val="000000"/>
                <w:sz w:val="18"/>
                <w:szCs w:val="18"/>
                <w:lang w:val="en-US"/>
              </w:rPr>
              <w:t>-9,88</w:t>
            </w:r>
          </w:p>
        </w:tc>
        <w:tc>
          <w:tcPr>
            <w:tcW w:w="1390" w:type="dxa"/>
            <w:tcBorders>
              <w:top w:val="nil"/>
              <w:left w:val="nil"/>
              <w:bottom w:val="single" w:sz="8" w:space="0" w:color="auto"/>
              <w:right w:val="single" w:sz="8" w:space="0" w:color="auto"/>
            </w:tcBorders>
            <w:shd w:val="clear" w:color="auto" w:fill="auto"/>
            <w:vAlign w:val="center"/>
            <w:hideMark/>
          </w:tcPr>
          <w:p w14:paraId="36377859" w14:textId="77777777" w:rsidR="006A11B0" w:rsidRPr="0026705F" w:rsidRDefault="006A11B0">
            <w:pPr>
              <w:jc w:val="right"/>
              <w:rPr>
                <w:color w:val="000000"/>
                <w:sz w:val="18"/>
                <w:szCs w:val="18"/>
                <w:lang w:val="en-US"/>
              </w:rPr>
            </w:pPr>
            <w:r w:rsidRPr="0026705F">
              <w:rPr>
                <w:color w:val="000000"/>
                <w:sz w:val="18"/>
                <w:szCs w:val="18"/>
                <w:lang w:val="en-US"/>
              </w:rPr>
              <w:t>-2,97</w:t>
            </w:r>
          </w:p>
        </w:tc>
        <w:tc>
          <w:tcPr>
            <w:tcW w:w="1371" w:type="dxa"/>
            <w:tcBorders>
              <w:top w:val="nil"/>
              <w:left w:val="nil"/>
              <w:bottom w:val="single" w:sz="8" w:space="0" w:color="auto"/>
              <w:right w:val="single" w:sz="8" w:space="0" w:color="auto"/>
            </w:tcBorders>
            <w:shd w:val="clear" w:color="auto" w:fill="auto"/>
            <w:vAlign w:val="center"/>
            <w:hideMark/>
          </w:tcPr>
          <w:p w14:paraId="0910C2A1" w14:textId="77777777" w:rsidR="006A11B0" w:rsidRPr="0026705F" w:rsidRDefault="006A11B0">
            <w:pPr>
              <w:jc w:val="right"/>
              <w:rPr>
                <w:color w:val="000000"/>
                <w:sz w:val="18"/>
                <w:szCs w:val="18"/>
                <w:lang w:val="en-US"/>
              </w:rPr>
            </w:pPr>
            <w:r w:rsidRPr="0026705F">
              <w:rPr>
                <w:color w:val="000000"/>
                <w:sz w:val="18"/>
                <w:szCs w:val="18"/>
                <w:lang w:val="en-US"/>
              </w:rPr>
              <w:t>-1,80</w:t>
            </w:r>
          </w:p>
        </w:tc>
      </w:tr>
    </w:tbl>
    <w:p w14:paraId="3128DE88" w14:textId="77777777" w:rsidR="00324E86" w:rsidRPr="0026705F" w:rsidRDefault="00324E86" w:rsidP="00324E86">
      <w:pPr>
        <w:spacing w:line="480" w:lineRule="auto"/>
        <w:rPr>
          <w:i/>
          <w:iCs/>
          <w:sz w:val="10"/>
          <w:szCs w:val="10"/>
          <w:lang w:val="en-US"/>
        </w:rPr>
      </w:pPr>
    </w:p>
    <w:p w14:paraId="3EFF2849" w14:textId="3AA54889" w:rsidR="006A11B0" w:rsidRPr="0026705F" w:rsidRDefault="00324E86" w:rsidP="0026705F">
      <w:pPr>
        <w:spacing w:line="360" w:lineRule="auto"/>
        <w:jc w:val="both"/>
        <w:rPr>
          <w:sz w:val="20"/>
          <w:szCs w:val="20"/>
          <w:lang w:val="en-US"/>
        </w:rPr>
      </w:pPr>
      <w:r w:rsidRPr="0026705F">
        <w:rPr>
          <w:b/>
          <w:bCs/>
          <w:sz w:val="20"/>
          <w:szCs w:val="20"/>
          <w:lang w:val="en-US"/>
        </w:rPr>
        <w:t>Gene:</w:t>
      </w:r>
      <w:r w:rsidRPr="0026705F">
        <w:rPr>
          <w:i/>
          <w:iCs/>
          <w:sz w:val="20"/>
          <w:szCs w:val="20"/>
          <w:lang w:val="en-US"/>
        </w:rPr>
        <w:t xml:space="preserve"> </w:t>
      </w:r>
      <w:r w:rsidRPr="0026705F">
        <w:rPr>
          <w:sz w:val="20"/>
          <w:szCs w:val="20"/>
          <w:lang w:val="en-US"/>
        </w:rPr>
        <w:t xml:space="preserve">genes with contrasting expression differences between AD-MSCs and fibroblasts, selected for confirmatory qPCR from the set shown in Supplementary Table S12. The relative expression levels of these seven genes are sufficient to distinguish between AD-MSCs and fibroblasts. </w:t>
      </w:r>
      <w:r w:rsidRPr="0026705F">
        <w:rPr>
          <w:b/>
          <w:bCs/>
          <w:sz w:val="20"/>
          <w:szCs w:val="20"/>
          <w:lang w:val="en-US"/>
        </w:rPr>
        <w:t>SACS_1_4, VASC_2_5, FIBRO_3_6 Mean ±SD</w:t>
      </w:r>
      <w:r w:rsidRPr="0026705F">
        <w:rPr>
          <w:sz w:val="20"/>
          <w:szCs w:val="20"/>
          <w:lang w:val="en-US"/>
        </w:rPr>
        <w:t>:</w:t>
      </w:r>
      <w:r w:rsidRPr="0026705F">
        <w:rPr>
          <w:i/>
          <w:iCs/>
          <w:sz w:val="20"/>
          <w:szCs w:val="20"/>
          <w:lang w:val="en-US"/>
        </w:rPr>
        <w:t xml:space="preserve"> </w:t>
      </w:r>
      <w:r w:rsidR="004F155D" w:rsidRPr="0026705F">
        <w:rPr>
          <w:sz w:val="20"/>
          <w:szCs w:val="20"/>
          <w:lang w:val="en-US"/>
        </w:rPr>
        <w:t>expression</w:t>
      </w:r>
      <w:r w:rsidRPr="0026705F">
        <w:rPr>
          <w:sz w:val="20"/>
          <w:szCs w:val="20"/>
          <w:lang w:val="en-US"/>
        </w:rPr>
        <w:t xml:space="preserve"> mean and standard deviation between technical replicate qPCR experiments; </w:t>
      </w:r>
      <w:r w:rsidRPr="0026705F">
        <w:rPr>
          <w:b/>
          <w:bCs/>
          <w:sz w:val="20"/>
          <w:szCs w:val="20"/>
          <w:lang w:val="en-US"/>
        </w:rPr>
        <w:t>SV(ASC) Mean:</w:t>
      </w:r>
      <w:r w:rsidRPr="0026705F">
        <w:rPr>
          <w:i/>
          <w:iCs/>
          <w:sz w:val="20"/>
          <w:szCs w:val="20"/>
          <w:lang w:val="en-US"/>
        </w:rPr>
        <w:t xml:space="preserve"> </w:t>
      </w:r>
      <w:r w:rsidRPr="0026705F">
        <w:rPr>
          <w:sz w:val="20"/>
          <w:szCs w:val="20"/>
          <w:lang w:val="en-US"/>
        </w:rPr>
        <w:t xml:space="preserve">stromal and vascular adipose derived mesenchymal stromal cells expression mean between biological replicates; </w:t>
      </w:r>
      <w:r w:rsidRPr="0026705F">
        <w:rPr>
          <w:b/>
          <w:bCs/>
          <w:sz w:val="20"/>
          <w:szCs w:val="20"/>
          <w:lang w:val="en-US"/>
        </w:rPr>
        <w:t>FIBRO Mean:</w:t>
      </w:r>
      <w:r w:rsidRPr="0026705F">
        <w:rPr>
          <w:i/>
          <w:iCs/>
          <w:sz w:val="20"/>
          <w:szCs w:val="20"/>
          <w:lang w:val="en-US"/>
        </w:rPr>
        <w:t xml:space="preserve"> </w:t>
      </w:r>
      <w:r w:rsidRPr="0026705F">
        <w:rPr>
          <w:sz w:val="20"/>
          <w:szCs w:val="20"/>
          <w:lang w:val="en-US"/>
        </w:rPr>
        <w:t xml:space="preserve">fibroblasts expression mean between biological replicates; </w:t>
      </w:r>
      <w:r w:rsidRPr="0026705F">
        <w:rPr>
          <w:b/>
          <w:bCs/>
          <w:sz w:val="20"/>
          <w:szCs w:val="20"/>
          <w:lang w:val="en-US"/>
        </w:rPr>
        <w:t>FIBRO Mean/(SV)ASC Mean</w:t>
      </w:r>
      <w:r w:rsidRPr="0026705F">
        <w:rPr>
          <w:i/>
          <w:iCs/>
          <w:sz w:val="20"/>
          <w:szCs w:val="20"/>
          <w:lang w:val="en-US"/>
        </w:rPr>
        <w:t xml:space="preserve">: </w:t>
      </w:r>
      <w:r w:rsidRPr="0026705F">
        <w:rPr>
          <w:sz w:val="20"/>
          <w:szCs w:val="20"/>
          <w:lang w:val="en-US"/>
        </w:rPr>
        <w:t xml:space="preserve">ratio of mean expression between </w:t>
      </w:r>
      <w:proofErr w:type="spellStart"/>
      <w:r w:rsidRPr="0026705F">
        <w:rPr>
          <w:sz w:val="20"/>
          <w:szCs w:val="20"/>
          <w:lang w:val="en-US"/>
        </w:rPr>
        <w:t>fibroblats</w:t>
      </w:r>
      <w:proofErr w:type="spellEnd"/>
      <w:r w:rsidRPr="0026705F">
        <w:rPr>
          <w:sz w:val="20"/>
          <w:szCs w:val="20"/>
          <w:lang w:val="en-US"/>
        </w:rPr>
        <w:t xml:space="preserve"> and AD-MSCs; </w:t>
      </w:r>
      <w:r w:rsidRPr="0026705F">
        <w:rPr>
          <w:b/>
          <w:bCs/>
          <w:sz w:val="20"/>
          <w:szCs w:val="20"/>
          <w:lang w:val="en-US"/>
        </w:rPr>
        <w:t>qPCR Log2 Fold Change:</w:t>
      </w:r>
      <w:r w:rsidRPr="0026705F">
        <w:rPr>
          <w:i/>
          <w:iCs/>
          <w:sz w:val="20"/>
          <w:szCs w:val="20"/>
          <w:lang w:val="en-US"/>
        </w:rPr>
        <w:t xml:space="preserve"> </w:t>
      </w:r>
      <w:r w:rsidRPr="0026705F">
        <w:rPr>
          <w:sz w:val="20"/>
          <w:szCs w:val="20"/>
          <w:lang w:val="en-US"/>
        </w:rPr>
        <w:t>Log</w:t>
      </w:r>
      <w:r w:rsidRPr="0026705F">
        <w:rPr>
          <w:sz w:val="20"/>
          <w:szCs w:val="20"/>
          <w:vertAlign w:val="subscript"/>
          <w:lang w:val="en-US"/>
        </w:rPr>
        <w:t>2</w:t>
      </w:r>
      <w:r w:rsidRPr="0026705F">
        <w:rPr>
          <w:sz w:val="20"/>
          <w:szCs w:val="20"/>
          <w:lang w:val="en-US"/>
        </w:rPr>
        <w:t xml:space="preserve">-transformed fold change in gene expression between fibroblasts and AD-MSCs; </w:t>
      </w:r>
      <w:proofErr w:type="spellStart"/>
      <w:r w:rsidRPr="0026705F">
        <w:rPr>
          <w:b/>
          <w:bCs/>
          <w:sz w:val="20"/>
          <w:szCs w:val="20"/>
          <w:lang w:val="en-US"/>
        </w:rPr>
        <w:t>scRNA</w:t>
      </w:r>
      <w:proofErr w:type="spellEnd"/>
      <w:r w:rsidRPr="0026705F">
        <w:rPr>
          <w:b/>
          <w:bCs/>
          <w:sz w:val="20"/>
          <w:szCs w:val="20"/>
          <w:lang w:val="en-US"/>
        </w:rPr>
        <w:t>-seq Mean Log2</w:t>
      </w:r>
      <w:r w:rsidRPr="0026705F">
        <w:rPr>
          <w:i/>
          <w:iCs/>
          <w:sz w:val="20"/>
          <w:szCs w:val="20"/>
          <w:lang w:val="en-US"/>
        </w:rPr>
        <w:t xml:space="preserve"> </w:t>
      </w:r>
      <w:r w:rsidRPr="0026705F">
        <w:rPr>
          <w:b/>
          <w:bCs/>
          <w:sz w:val="20"/>
          <w:szCs w:val="20"/>
          <w:lang w:val="en-US"/>
        </w:rPr>
        <w:t>Fold Change SASC</w:t>
      </w:r>
      <w:r w:rsidRPr="0026705F">
        <w:rPr>
          <w:i/>
          <w:iCs/>
          <w:sz w:val="20"/>
          <w:szCs w:val="20"/>
          <w:lang w:val="en-US"/>
        </w:rPr>
        <w:t xml:space="preserve"> </w:t>
      </w:r>
      <w:r w:rsidRPr="0026705F">
        <w:rPr>
          <w:sz w:val="20"/>
          <w:szCs w:val="20"/>
          <w:lang w:val="en-US"/>
        </w:rPr>
        <w:t xml:space="preserve">and </w:t>
      </w:r>
      <w:proofErr w:type="spellStart"/>
      <w:r w:rsidRPr="0026705F">
        <w:rPr>
          <w:b/>
          <w:bCs/>
          <w:sz w:val="20"/>
          <w:szCs w:val="20"/>
          <w:lang w:val="en-US"/>
        </w:rPr>
        <w:t>scRNA</w:t>
      </w:r>
      <w:proofErr w:type="spellEnd"/>
      <w:r w:rsidRPr="0026705F">
        <w:rPr>
          <w:b/>
          <w:bCs/>
          <w:sz w:val="20"/>
          <w:szCs w:val="20"/>
          <w:lang w:val="en-US"/>
        </w:rPr>
        <w:t>-seq Mean Log2 Fold Change VASC:</w:t>
      </w:r>
      <w:r w:rsidRPr="0026705F">
        <w:rPr>
          <w:sz w:val="20"/>
          <w:szCs w:val="20"/>
          <w:lang w:val="en-US"/>
        </w:rPr>
        <w:t xml:space="preserve"> Log</w:t>
      </w:r>
      <w:r w:rsidRPr="0026705F">
        <w:rPr>
          <w:sz w:val="20"/>
          <w:szCs w:val="20"/>
          <w:vertAlign w:val="subscript"/>
          <w:lang w:val="en-US"/>
        </w:rPr>
        <w:t>2</w:t>
      </w:r>
      <w:r w:rsidRPr="0026705F">
        <w:rPr>
          <w:sz w:val="20"/>
          <w:szCs w:val="20"/>
          <w:lang w:val="en-US"/>
        </w:rPr>
        <w:t xml:space="preserve">-transformed mean fold changes in gene expression from single-cell RNA sequencing </w:t>
      </w:r>
      <w:r w:rsidR="004F155D" w:rsidRPr="0026705F">
        <w:rPr>
          <w:sz w:val="20"/>
          <w:szCs w:val="20"/>
          <w:lang w:val="en-US"/>
        </w:rPr>
        <w:t>between</w:t>
      </w:r>
      <w:r w:rsidRPr="0026705F">
        <w:rPr>
          <w:sz w:val="20"/>
          <w:szCs w:val="20"/>
          <w:lang w:val="en-US"/>
        </w:rPr>
        <w:t xml:space="preserve"> fibroblasts and SASC or VASC, respectively (Supplementary Table S12). SASC_1, VASC_2, FIBRO_3 were derived from donor #1. SASC_4, VASC_5, FIBRO_6 were derived from donor #2. The corresponding technical description of qPCR assay is provided in Materials and Method under "Quantitative PCR analysis of selected AD-MSCs and fibroblasts markers" subsection; qPCR primer sequences are provided in Supplementary Table S</w:t>
      </w:r>
      <w:r w:rsidR="00824599">
        <w:rPr>
          <w:sz w:val="20"/>
          <w:szCs w:val="20"/>
          <w:lang w:val="en-US"/>
        </w:rPr>
        <w:t>1</w:t>
      </w:r>
      <w:r w:rsidR="004F155D" w:rsidRPr="0026705F">
        <w:rPr>
          <w:sz w:val="20"/>
          <w:szCs w:val="20"/>
          <w:lang w:val="en-US"/>
        </w:rPr>
        <w:t>.</w:t>
      </w:r>
    </w:p>
    <w:p w14:paraId="5A42CE2E" w14:textId="77777777" w:rsidR="00324E86" w:rsidRPr="0026705F" w:rsidRDefault="00324E86" w:rsidP="00324E86">
      <w:pPr>
        <w:spacing w:line="480" w:lineRule="auto"/>
        <w:rPr>
          <w:sz w:val="22"/>
          <w:szCs w:val="22"/>
          <w:lang w:val="en-US"/>
        </w:rPr>
      </w:pPr>
    </w:p>
    <w:p w14:paraId="5E3EBBFB" w14:textId="77777777" w:rsidR="00324E86" w:rsidRPr="0026705F" w:rsidRDefault="00324E86" w:rsidP="006A11B0">
      <w:pPr>
        <w:spacing w:line="480" w:lineRule="auto"/>
        <w:rPr>
          <w:sz w:val="22"/>
          <w:szCs w:val="22"/>
          <w:lang w:val="en-US"/>
        </w:rPr>
        <w:sectPr w:rsidR="00324E86" w:rsidRPr="0026705F" w:rsidSect="0026705F">
          <w:pgSz w:w="16838" w:h="11906" w:orient="landscape"/>
          <w:pgMar w:top="1417" w:right="1417" w:bottom="1417" w:left="1417" w:header="708" w:footer="708" w:gutter="0"/>
          <w:cols w:space="708"/>
          <w:docGrid w:linePitch="326"/>
        </w:sectPr>
      </w:pPr>
    </w:p>
    <w:p w14:paraId="000001DA" w14:textId="1DB85B3B" w:rsidR="007F3335" w:rsidRPr="0026705F" w:rsidRDefault="00174072">
      <w:pPr>
        <w:jc w:val="center"/>
        <w:rPr>
          <w:b/>
          <w:sz w:val="22"/>
          <w:szCs w:val="22"/>
          <w:lang w:val="en-US"/>
        </w:rPr>
      </w:pPr>
      <w:r w:rsidRPr="0026705F">
        <w:rPr>
          <w:b/>
          <w:bCs/>
          <w:noProof/>
          <w:color w:val="000000"/>
          <w:sz w:val="22"/>
          <w:szCs w:val="22"/>
          <w:bdr w:val="none" w:sz="0" w:space="0" w:color="auto" w:frame="1"/>
          <w:lang w:val="en-US"/>
        </w:rPr>
        <w:lastRenderedPageBreak/>
        <w:drawing>
          <wp:inline distT="0" distB="0" distL="0" distR="0" wp14:anchorId="2BFFCBD5" wp14:editId="359E8667">
            <wp:extent cx="6132340" cy="7495082"/>
            <wp:effectExtent l="0" t="0" r="1905" b="0"/>
            <wp:docPr id="2" name="Obraz 2" descr="https://lh7-us.googleusercontent.com/1pO87gyORro4jGVctDZtnkC5xv85xXP_nLrGEAEQG6U8yyS7c3tQFaJYWQOJMR1Oy9iYcv--rooNeE7cMImddhyKOdonDNRWLByiYxBzAuANDqBPoPlj8zVx0TEGQCso22E07ixxY6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1pO87gyORro4jGVctDZtnkC5xv85xXP_nLrGEAEQG6U8yyS7c3tQFaJYWQOJMR1Oy9iYcv--rooNeE7cMImddhyKOdonDNRWLByiYxBzAuANDqBPoPlj8zVx0TEGQCso22E07ixxY6M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3746" cy="7509023"/>
                    </a:xfrm>
                    <a:prstGeom prst="rect">
                      <a:avLst/>
                    </a:prstGeom>
                    <a:noFill/>
                    <a:ln>
                      <a:noFill/>
                    </a:ln>
                  </pic:spPr>
                </pic:pic>
              </a:graphicData>
            </a:graphic>
          </wp:inline>
        </w:drawing>
      </w:r>
    </w:p>
    <w:p w14:paraId="000001DB" w14:textId="77777777" w:rsidR="007F3335" w:rsidRPr="0026705F" w:rsidRDefault="007F3335" w:rsidP="006D6CBC">
      <w:pPr>
        <w:spacing w:line="480" w:lineRule="auto"/>
        <w:jc w:val="center"/>
        <w:rPr>
          <w:b/>
          <w:sz w:val="22"/>
          <w:szCs w:val="22"/>
          <w:lang w:val="en-US"/>
        </w:rPr>
      </w:pPr>
    </w:p>
    <w:p w14:paraId="000001DC" w14:textId="06F58D5C" w:rsidR="007F3335" w:rsidRPr="0026705F" w:rsidRDefault="007F3335" w:rsidP="006D6CBC">
      <w:pPr>
        <w:spacing w:line="480" w:lineRule="auto"/>
        <w:jc w:val="center"/>
        <w:rPr>
          <w:b/>
          <w:sz w:val="22"/>
          <w:szCs w:val="22"/>
          <w:lang w:val="en-US"/>
        </w:rPr>
      </w:pPr>
    </w:p>
    <w:p w14:paraId="000001DF" w14:textId="77777777" w:rsidR="007F3335" w:rsidRPr="0026705F" w:rsidRDefault="007F3335" w:rsidP="006D6CBC">
      <w:pPr>
        <w:rPr>
          <w:b/>
          <w:sz w:val="22"/>
          <w:szCs w:val="22"/>
          <w:lang w:val="en-US"/>
        </w:rPr>
      </w:pPr>
    </w:p>
    <w:p w14:paraId="000001E0" w14:textId="3D29D74B" w:rsidR="007F3335" w:rsidRPr="0026705F" w:rsidRDefault="00174072">
      <w:pPr>
        <w:jc w:val="center"/>
        <w:rPr>
          <w:b/>
          <w:sz w:val="22"/>
          <w:szCs w:val="22"/>
          <w:lang w:val="en-US"/>
        </w:rPr>
      </w:pPr>
      <w:r w:rsidRPr="0026705F">
        <w:rPr>
          <w:b/>
          <w:bCs/>
          <w:noProof/>
          <w:color w:val="000000"/>
          <w:sz w:val="22"/>
          <w:szCs w:val="22"/>
          <w:bdr w:val="none" w:sz="0" w:space="0" w:color="auto" w:frame="1"/>
          <w:lang w:val="en-US"/>
        </w:rPr>
        <w:lastRenderedPageBreak/>
        <w:drawing>
          <wp:inline distT="0" distB="0" distL="0" distR="0" wp14:anchorId="71A44798" wp14:editId="0A180DA4">
            <wp:extent cx="5760720" cy="7467600"/>
            <wp:effectExtent l="0" t="0" r="0" b="0"/>
            <wp:docPr id="3" name="Obraz 3" descr="https://lh7-us.googleusercontent.com/3JNdYgETSTvcthhGYEICPlYKRp-X94WFhUFloyLfeqkfFp_r-VisTbi8bFRL4lj14pg0hbCCzPfeCpJpsmlA1XvlmtUojedj3JqyQ-IO6sgE4qrox6n1BG65iq50SnMnzVFeLy3TmC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us.googleusercontent.com/3JNdYgETSTvcthhGYEICPlYKRp-X94WFhUFloyLfeqkfFp_r-VisTbi8bFRL4lj14pg0hbCCzPfeCpJpsmlA1XvlmtUojedj3JqyQ-IO6sgE4qrox6n1BG65iq50SnMnzVFeLy3TmCd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7467600"/>
                    </a:xfrm>
                    <a:prstGeom prst="rect">
                      <a:avLst/>
                    </a:prstGeom>
                    <a:noFill/>
                    <a:ln>
                      <a:noFill/>
                    </a:ln>
                  </pic:spPr>
                </pic:pic>
              </a:graphicData>
            </a:graphic>
          </wp:inline>
        </w:drawing>
      </w:r>
      <w:r w:rsidRPr="0026705F">
        <w:rPr>
          <w:b/>
          <w:bCs/>
          <w:noProof/>
          <w:color w:val="000000"/>
          <w:sz w:val="22"/>
          <w:szCs w:val="22"/>
          <w:bdr w:val="none" w:sz="0" w:space="0" w:color="auto" w:frame="1"/>
          <w:lang w:val="en-US"/>
        </w:rPr>
        <w:lastRenderedPageBreak/>
        <w:drawing>
          <wp:inline distT="0" distB="0" distL="0" distR="0" wp14:anchorId="6E5DC1CA" wp14:editId="6287FAAA">
            <wp:extent cx="5690266" cy="7112833"/>
            <wp:effectExtent l="0" t="0" r="0" b="0"/>
            <wp:docPr id="4" name="Obraz 4" descr="https://lh7-us.googleusercontent.com/5_5xy9RfhpCZ4QBQ5Dek0fjVgp4acbqDdhVMSIltBFD1zbz_4qLU6U3rPP8UnKrnLixraLpJDrnrjsmqFO-w2bHm_lHkxRE798BYRzysIB2o0WgB92PbkcUec8nSqslG95xoen_9O4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7-us.googleusercontent.com/5_5xy9RfhpCZ4QBQ5Dek0fjVgp4acbqDdhVMSIltBFD1zbz_4qLU6U3rPP8UnKrnLixraLpJDrnrjsmqFO-w2bHm_lHkxRE798BYRzysIB2o0WgB92PbkcUec8nSqslG95xoen_9O4f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7734" cy="7134669"/>
                    </a:xfrm>
                    <a:prstGeom prst="rect">
                      <a:avLst/>
                    </a:prstGeom>
                    <a:noFill/>
                    <a:ln>
                      <a:noFill/>
                    </a:ln>
                  </pic:spPr>
                </pic:pic>
              </a:graphicData>
            </a:graphic>
          </wp:inline>
        </w:drawing>
      </w:r>
      <w:r w:rsidRPr="0026705F">
        <w:rPr>
          <w:b/>
          <w:bCs/>
          <w:noProof/>
          <w:color w:val="000000"/>
          <w:sz w:val="22"/>
          <w:szCs w:val="22"/>
          <w:bdr w:val="none" w:sz="0" w:space="0" w:color="auto" w:frame="1"/>
          <w:lang w:val="en-US"/>
        </w:rPr>
        <w:lastRenderedPageBreak/>
        <w:drawing>
          <wp:inline distT="0" distB="0" distL="0" distR="0" wp14:anchorId="7D1141BD" wp14:editId="591726A8">
            <wp:extent cx="5717075" cy="7592518"/>
            <wp:effectExtent l="0" t="0" r="0" b="2540"/>
            <wp:docPr id="5" name="Obraz 5" descr="https://lh7-us.googleusercontent.com/781O04Hp2MKivEeM1qVchVO2dOQ95Noi88R8oGIMdmEV-lWSunyVCJaO3IUDDw-mFcx-h9A3m_o7mFNHku07FrZbs78-2XteweEuMT7djzHViMMg_T-OKlEhft3izRhOMuttokaWfm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7-us.googleusercontent.com/781O04Hp2MKivEeM1qVchVO2dOQ95Noi88R8oGIMdmEV-lWSunyVCJaO3IUDDw-mFcx-h9A3m_o7mFNHku07FrZbs78-2XteweEuMT7djzHViMMg_T-OKlEhft3izRhOMuttokaWfmr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5350" cy="7630068"/>
                    </a:xfrm>
                    <a:prstGeom prst="rect">
                      <a:avLst/>
                    </a:prstGeom>
                    <a:noFill/>
                    <a:ln>
                      <a:noFill/>
                    </a:ln>
                  </pic:spPr>
                </pic:pic>
              </a:graphicData>
            </a:graphic>
          </wp:inline>
        </w:drawing>
      </w:r>
    </w:p>
    <w:p w14:paraId="000001E7" w14:textId="77777777" w:rsidR="007F3335" w:rsidRPr="0026705F" w:rsidRDefault="007F3335" w:rsidP="006D6CBC">
      <w:pPr>
        <w:rPr>
          <w:b/>
          <w:sz w:val="22"/>
          <w:szCs w:val="22"/>
          <w:lang w:val="en-US"/>
        </w:rPr>
      </w:pPr>
    </w:p>
    <w:p w14:paraId="6F6B03A5" w14:textId="77777777" w:rsidR="002B099E" w:rsidRPr="0026705F" w:rsidRDefault="002B099E" w:rsidP="006D6CBC">
      <w:pPr>
        <w:spacing w:line="480" w:lineRule="auto"/>
        <w:jc w:val="both"/>
        <w:rPr>
          <w:b/>
          <w:sz w:val="22"/>
          <w:szCs w:val="22"/>
          <w:lang w:val="en-US"/>
        </w:rPr>
      </w:pPr>
    </w:p>
    <w:p w14:paraId="006152AC" w14:textId="77777777" w:rsidR="002B099E" w:rsidRPr="0026705F" w:rsidRDefault="002B099E" w:rsidP="006D6CBC">
      <w:pPr>
        <w:spacing w:line="480" w:lineRule="auto"/>
        <w:jc w:val="both"/>
        <w:rPr>
          <w:b/>
          <w:sz w:val="22"/>
          <w:szCs w:val="22"/>
          <w:lang w:val="en-US"/>
        </w:rPr>
      </w:pPr>
    </w:p>
    <w:p w14:paraId="5C3AD708" w14:textId="77777777" w:rsidR="002B099E" w:rsidRPr="0026705F" w:rsidRDefault="002B099E" w:rsidP="006D6CBC">
      <w:pPr>
        <w:spacing w:line="480" w:lineRule="auto"/>
        <w:jc w:val="both"/>
        <w:rPr>
          <w:b/>
          <w:sz w:val="22"/>
          <w:szCs w:val="22"/>
          <w:lang w:val="en-US"/>
        </w:rPr>
      </w:pPr>
    </w:p>
    <w:p w14:paraId="000001E9" w14:textId="55926FC1" w:rsidR="007F3335" w:rsidRPr="0026705F" w:rsidRDefault="00BA3DF1" w:rsidP="002B099E">
      <w:pPr>
        <w:spacing w:line="480" w:lineRule="auto"/>
        <w:jc w:val="both"/>
        <w:rPr>
          <w:sz w:val="22"/>
          <w:szCs w:val="22"/>
          <w:lang w:val="en-US"/>
        </w:rPr>
      </w:pPr>
      <w:r w:rsidRPr="0026705F">
        <w:rPr>
          <w:b/>
          <w:sz w:val="22"/>
          <w:szCs w:val="22"/>
          <w:lang w:val="en-US"/>
        </w:rPr>
        <w:lastRenderedPageBreak/>
        <w:t xml:space="preserve">Supp. Figure S1. </w:t>
      </w:r>
      <w:r w:rsidRPr="0026705F">
        <w:rPr>
          <w:sz w:val="22"/>
          <w:szCs w:val="22"/>
          <w:lang w:val="en-US"/>
        </w:rPr>
        <w:t>Flow cytometry analysis of subcutaneous (SASC) and visceral</w:t>
      </w:r>
      <w:r w:rsidR="002B099E" w:rsidRPr="0026705F">
        <w:rPr>
          <w:sz w:val="22"/>
          <w:szCs w:val="22"/>
          <w:lang w:val="en-US"/>
        </w:rPr>
        <w:t xml:space="preserve"> (VASC) </w:t>
      </w:r>
      <w:r w:rsidRPr="0026705F">
        <w:rPr>
          <w:sz w:val="22"/>
          <w:szCs w:val="22"/>
          <w:lang w:val="en-US"/>
        </w:rPr>
        <w:t>adipose</w:t>
      </w:r>
      <w:r w:rsidR="00174072" w:rsidRPr="0026705F">
        <w:rPr>
          <w:sz w:val="22"/>
          <w:szCs w:val="22"/>
          <w:lang w:val="en-US"/>
        </w:rPr>
        <w:t xml:space="preserve"> </w:t>
      </w:r>
      <w:r w:rsidRPr="0026705F">
        <w:rPr>
          <w:sz w:val="22"/>
          <w:szCs w:val="22"/>
          <w:lang w:val="en-US"/>
        </w:rPr>
        <w:t xml:space="preserve">derived </w:t>
      </w:r>
      <w:r w:rsidR="00174072" w:rsidRPr="0026705F">
        <w:rPr>
          <w:sz w:val="22"/>
          <w:szCs w:val="22"/>
          <w:lang w:val="en-US"/>
        </w:rPr>
        <w:t xml:space="preserve">mesenchymal </w:t>
      </w:r>
      <w:r w:rsidRPr="0026705F">
        <w:rPr>
          <w:sz w:val="22"/>
          <w:szCs w:val="22"/>
          <w:lang w:val="en-US"/>
        </w:rPr>
        <w:t>stromal cells</w:t>
      </w:r>
      <w:r w:rsidR="002B099E" w:rsidRPr="0026705F">
        <w:rPr>
          <w:sz w:val="22"/>
          <w:szCs w:val="22"/>
          <w:lang w:val="en-US"/>
        </w:rPr>
        <w:t>.</w:t>
      </w:r>
    </w:p>
    <w:p w14:paraId="000001EC" w14:textId="4930DC9D" w:rsidR="007F3335" w:rsidRPr="0026705F" w:rsidRDefault="00BA3DF1" w:rsidP="002B099E">
      <w:pPr>
        <w:spacing w:line="480" w:lineRule="auto"/>
        <w:jc w:val="both"/>
        <w:rPr>
          <w:b/>
          <w:sz w:val="22"/>
          <w:szCs w:val="22"/>
          <w:lang w:val="en-US"/>
        </w:rPr>
      </w:pPr>
      <w:r w:rsidRPr="0026705F">
        <w:rPr>
          <w:sz w:val="22"/>
          <w:szCs w:val="22"/>
          <w:lang w:val="en-US"/>
        </w:rPr>
        <w:t>At passage 3, SASC and VASC were evaluated for the expression of positive stem/stromal cell surface markers (CD73, CD90, CD105) and negative markers (CD14, CD19, CD45). Additional positive (CD13) and negative (CD31) markers were also assessed. Cell viability was determined using DAPI staining. The descriptions of the panels correspond to SASC and VASC samples obtained from four unrelated individuals, where SASC#1 and VASC#1 represent samples collected from individual #1</w:t>
      </w:r>
      <w:r w:rsidR="00174072" w:rsidRPr="0026705F">
        <w:rPr>
          <w:sz w:val="22"/>
          <w:szCs w:val="22"/>
          <w:lang w:val="en-US"/>
        </w:rPr>
        <w:t xml:space="preserve">. </w:t>
      </w:r>
    </w:p>
    <w:p w14:paraId="298987B3" w14:textId="77777777" w:rsidR="00EA2B28" w:rsidRPr="0026705F" w:rsidRDefault="00BA3DF1" w:rsidP="00EA2B28">
      <w:pPr>
        <w:spacing w:line="480" w:lineRule="auto"/>
        <w:jc w:val="both"/>
        <w:rPr>
          <w:sz w:val="22"/>
          <w:szCs w:val="22"/>
          <w:lang w:val="en-US"/>
        </w:rPr>
      </w:pPr>
      <w:r w:rsidRPr="0026705F">
        <w:rPr>
          <w:b/>
          <w:noProof/>
          <w:sz w:val="22"/>
          <w:szCs w:val="22"/>
          <w:lang w:val="en-US"/>
        </w:rPr>
        <w:lastRenderedPageBreak/>
        <w:drawing>
          <wp:inline distT="0" distB="0" distL="0" distR="0" wp14:anchorId="46E91314" wp14:editId="29F2A423">
            <wp:extent cx="5598826" cy="7764905"/>
            <wp:effectExtent l="0" t="0" r="1905" b="0"/>
            <wp:docPr id="156547105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5606477" cy="7775516"/>
                    </a:xfrm>
                    <a:prstGeom prst="rect">
                      <a:avLst/>
                    </a:prstGeom>
                    <a:ln/>
                  </pic:spPr>
                </pic:pic>
              </a:graphicData>
            </a:graphic>
          </wp:inline>
        </w:drawing>
      </w:r>
      <w:r w:rsidRPr="0026705F">
        <w:rPr>
          <w:b/>
          <w:sz w:val="22"/>
          <w:szCs w:val="22"/>
          <w:lang w:val="en-US"/>
        </w:rPr>
        <w:t xml:space="preserve"> Supp. Figure S2.</w:t>
      </w:r>
      <w:r w:rsidRPr="0026705F">
        <w:rPr>
          <w:sz w:val="22"/>
          <w:szCs w:val="22"/>
          <w:lang w:val="en-US"/>
        </w:rPr>
        <w:t xml:space="preserve"> </w:t>
      </w:r>
      <w:r w:rsidR="00D5074F" w:rsidRPr="0026705F">
        <w:rPr>
          <w:sz w:val="22"/>
          <w:szCs w:val="22"/>
          <w:lang w:val="en-US"/>
        </w:rPr>
        <w:t>Differentiation capacity of SASC and VASC subcutaneous collected from four unrelated individuals</w:t>
      </w:r>
      <w:r w:rsidR="00EA2B28" w:rsidRPr="0026705F">
        <w:rPr>
          <w:sz w:val="22"/>
          <w:szCs w:val="22"/>
          <w:lang w:val="en-US"/>
        </w:rPr>
        <w:t>.</w:t>
      </w:r>
    </w:p>
    <w:p w14:paraId="000001F0" w14:textId="247B4EC4" w:rsidR="007F3335" w:rsidRPr="0026705F" w:rsidRDefault="0057206B" w:rsidP="00EA2B28">
      <w:pPr>
        <w:spacing w:line="480" w:lineRule="auto"/>
        <w:jc w:val="both"/>
        <w:rPr>
          <w:sz w:val="22"/>
          <w:szCs w:val="22"/>
          <w:lang w:val="en-US"/>
        </w:rPr>
      </w:pPr>
      <w:r w:rsidRPr="0026705F">
        <w:rPr>
          <w:sz w:val="22"/>
          <w:szCs w:val="22"/>
          <w:lang w:val="en-US"/>
        </w:rPr>
        <w:t>The VASC#</w:t>
      </w:r>
      <w:r w:rsidR="00F16C81" w:rsidRPr="0026705F">
        <w:rPr>
          <w:sz w:val="22"/>
          <w:szCs w:val="22"/>
          <w:lang w:val="en-US"/>
        </w:rPr>
        <w:t>3</w:t>
      </w:r>
      <w:r w:rsidRPr="0026705F">
        <w:rPr>
          <w:sz w:val="22"/>
          <w:szCs w:val="22"/>
          <w:lang w:val="en-US"/>
        </w:rPr>
        <w:t xml:space="preserve"> sample was not differentiated due to insufficient source material.</w:t>
      </w:r>
    </w:p>
    <w:p w14:paraId="4C7A802E" w14:textId="77777777" w:rsidR="00174072" w:rsidRPr="0026705F" w:rsidRDefault="00BA3DF1">
      <w:pPr>
        <w:spacing w:line="360" w:lineRule="auto"/>
        <w:jc w:val="both"/>
        <w:rPr>
          <w:b/>
          <w:sz w:val="22"/>
          <w:szCs w:val="22"/>
          <w:lang w:val="en-US"/>
        </w:rPr>
      </w:pPr>
      <w:r w:rsidRPr="0026705F">
        <w:rPr>
          <w:noProof/>
          <w:lang w:val="en-US"/>
        </w:rPr>
        <w:lastRenderedPageBreak/>
        <w:drawing>
          <wp:inline distT="0" distB="0" distL="0" distR="0" wp14:anchorId="37B0963D" wp14:editId="0C807B1A">
            <wp:extent cx="5330953" cy="3995929"/>
            <wp:effectExtent l="0" t="0" r="0" b="0"/>
            <wp:docPr id="1565471064" name="image6.png" descr="Obraz zawierający diagram, szkic, design&#10;&#10;Opis wygenerowany automatycznie"/>
            <wp:cNvGraphicFramePr/>
            <a:graphic xmlns:a="http://schemas.openxmlformats.org/drawingml/2006/main">
              <a:graphicData uri="http://schemas.openxmlformats.org/drawingml/2006/picture">
                <pic:pic xmlns:pic="http://schemas.openxmlformats.org/drawingml/2006/picture">
                  <pic:nvPicPr>
                    <pic:cNvPr id="0" name="image6.png" descr="Obraz zawierający diagram, szkic, design&#10;&#10;Opis wygenerowany automatycznie"/>
                    <pic:cNvPicPr preferRelativeResize="0"/>
                  </pic:nvPicPr>
                  <pic:blipFill>
                    <a:blip r:embed="rId17"/>
                    <a:srcRect/>
                    <a:stretch>
                      <a:fillRect/>
                    </a:stretch>
                  </pic:blipFill>
                  <pic:spPr>
                    <a:xfrm>
                      <a:off x="0" y="0"/>
                      <a:ext cx="5330953" cy="3995929"/>
                    </a:xfrm>
                    <a:prstGeom prst="rect">
                      <a:avLst/>
                    </a:prstGeom>
                    <a:ln/>
                  </pic:spPr>
                </pic:pic>
              </a:graphicData>
            </a:graphic>
          </wp:inline>
        </w:drawing>
      </w:r>
    </w:p>
    <w:p w14:paraId="12CD84E7" w14:textId="77777777" w:rsidR="00174072" w:rsidRPr="0026705F" w:rsidRDefault="00174072">
      <w:pPr>
        <w:spacing w:line="360" w:lineRule="auto"/>
        <w:jc w:val="both"/>
        <w:rPr>
          <w:noProof/>
          <w:lang w:val="en-US"/>
        </w:rPr>
      </w:pPr>
    </w:p>
    <w:p w14:paraId="000001F1" w14:textId="053D114E" w:rsidR="007F3335" w:rsidRPr="0026705F" w:rsidRDefault="00BA3DF1">
      <w:pPr>
        <w:spacing w:line="360" w:lineRule="auto"/>
        <w:jc w:val="both"/>
        <w:rPr>
          <w:b/>
          <w:sz w:val="22"/>
          <w:szCs w:val="22"/>
          <w:lang w:val="en-US"/>
        </w:rPr>
      </w:pPr>
      <w:r w:rsidRPr="0026705F">
        <w:rPr>
          <w:noProof/>
          <w:lang w:val="en-US"/>
        </w:rPr>
        <w:drawing>
          <wp:inline distT="0" distB="0" distL="0" distR="0" wp14:anchorId="37FF5F39" wp14:editId="5AF4F22F">
            <wp:extent cx="5330953" cy="3995928"/>
            <wp:effectExtent l="0" t="0" r="0" b="0"/>
            <wp:docPr id="1565471058" name="image2.png" descr="Obraz zawierający szkic, rysowanie&#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png" descr="Obraz zawierający szkic, rysowanie&#10;&#10;Opis wygenerowany automatycznie"/>
                    <pic:cNvPicPr preferRelativeResize="0"/>
                  </pic:nvPicPr>
                  <pic:blipFill>
                    <a:blip r:embed="rId18"/>
                    <a:srcRect/>
                    <a:stretch>
                      <a:fillRect/>
                    </a:stretch>
                  </pic:blipFill>
                  <pic:spPr>
                    <a:xfrm>
                      <a:off x="0" y="0"/>
                      <a:ext cx="5330953" cy="3995928"/>
                    </a:xfrm>
                    <a:prstGeom prst="rect">
                      <a:avLst/>
                    </a:prstGeom>
                    <a:ln/>
                  </pic:spPr>
                </pic:pic>
              </a:graphicData>
            </a:graphic>
          </wp:inline>
        </w:drawing>
      </w:r>
    </w:p>
    <w:p w14:paraId="000001F2" w14:textId="77777777" w:rsidR="007F3335" w:rsidRPr="0026705F" w:rsidRDefault="007F3335">
      <w:pPr>
        <w:spacing w:line="360" w:lineRule="auto"/>
        <w:jc w:val="both"/>
        <w:rPr>
          <w:b/>
          <w:sz w:val="22"/>
          <w:szCs w:val="22"/>
          <w:lang w:val="en-US"/>
        </w:rPr>
      </w:pPr>
    </w:p>
    <w:p w14:paraId="000001F3" w14:textId="77777777" w:rsidR="007F3335" w:rsidRPr="0026705F" w:rsidRDefault="007F3335">
      <w:pPr>
        <w:spacing w:line="360" w:lineRule="auto"/>
        <w:jc w:val="both"/>
        <w:rPr>
          <w:b/>
          <w:sz w:val="22"/>
          <w:szCs w:val="22"/>
          <w:lang w:val="en-US"/>
        </w:rPr>
      </w:pPr>
    </w:p>
    <w:p w14:paraId="000001F4" w14:textId="77777777" w:rsidR="007F3335" w:rsidRPr="0026705F" w:rsidRDefault="00BA3DF1">
      <w:pPr>
        <w:spacing w:line="360" w:lineRule="auto"/>
        <w:jc w:val="both"/>
        <w:rPr>
          <w:b/>
          <w:sz w:val="22"/>
          <w:szCs w:val="22"/>
          <w:lang w:val="en-US"/>
        </w:rPr>
      </w:pPr>
      <w:r w:rsidRPr="0026705F">
        <w:rPr>
          <w:noProof/>
          <w:lang w:val="en-US"/>
        </w:rPr>
        <w:lastRenderedPageBreak/>
        <w:drawing>
          <wp:inline distT="0" distB="0" distL="0" distR="0" wp14:anchorId="01FBE52C" wp14:editId="37937245">
            <wp:extent cx="5330952" cy="3995928"/>
            <wp:effectExtent l="0" t="0" r="0" b="0"/>
            <wp:docPr id="1565471060" name="image9.png" descr="Obraz zawierający diagram, szkic&#10;&#10;Opis wygenerowany automatycznie"/>
            <wp:cNvGraphicFramePr/>
            <a:graphic xmlns:a="http://schemas.openxmlformats.org/drawingml/2006/main">
              <a:graphicData uri="http://schemas.openxmlformats.org/drawingml/2006/picture">
                <pic:pic xmlns:pic="http://schemas.openxmlformats.org/drawingml/2006/picture">
                  <pic:nvPicPr>
                    <pic:cNvPr id="0" name="image9.png" descr="Obraz zawierający diagram, szkic&#10;&#10;Opis wygenerowany automatycznie"/>
                    <pic:cNvPicPr preferRelativeResize="0"/>
                  </pic:nvPicPr>
                  <pic:blipFill>
                    <a:blip r:embed="rId19"/>
                    <a:srcRect/>
                    <a:stretch>
                      <a:fillRect/>
                    </a:stretch>
                  </pic:blipFill>
                  <pic:spPr>
                    <a:xfrm>
                      <a:off x="0" y="0"/>
                      <a:ext cx="5330952" cy="3995928"/>
                    </a:xfrm>
                    <a:prstGeom prst="rect">
                      <a:avLst/>
                    </a:prstGeom>
                    <a:ln/>
                  </pic:spPr>
                </pic:pic>
              </a:graphicData>
            </a:graphic>
          </wp:inline>
        </w:drawing>
      </w:r>
    </w:p>
    <w:p w14:paraId="000001F6" w14:textId="77777777" w:rsidR="007F3335" w:rsidRPr="0026705F" w:rsidRDefault="007F3335" w:rsidP="00636939">
      <w:pPr>
        <w:spacing w:line="480" w:lineRule="auto"/>
        <w:rPr>
          <w:b/>
          <w:sz w:val="22"/>
          <w:szCs w:val="22"/>
          <w:lang w:val="en-US"/>
        </w:rPr>
      </w:pPr>
    </w:p>
    <w:p w14:paraId="000001F8" w14:textId="323AFE93" w:rsidR="007F3335" w:rsidRPr="0026705F" w:rsidRDefault="00BA3DF1" w:rsidP="00636939">
      <w:pPr>
        <w:spacing w:line="480" w:lineRule="auto"/>
        <w:rPr>
          <w:sz w:val="22"/>
          <w:szCs w:val="22"/>
          <w:lang w:val="en-US"/>
        </w:rPr>
      </w:pPr>
      <w:r w:rsidRPr="0026705F">
        <w:rPr>
          <w:b/>
          <w:sz w:val="22"/>
          <w:szCs w:val="22"/>
          <w:lang w:val="en-US"/>
        </w:rPr>
        <w:t xml:space="preserve">Supp. Figure S3. </w:t>
      </w:r>
      <w:r w:rsidRPr="0026705F">
        <w:rPr>
          <w:sz w:val="22"/>
          <w:szCs w:val="22"/>
          <w:lang w:val="en-US"/>
        </w:rPr>
        <w:t xml:space="preserve">Flow cytometry analysis of dermal fibroblasts. </w:t>
      </w:r>
    </w:p>
    <w:p w14:paraId="000001FB" w14:textId="14156D31" w:rsidR="007F3335" w:rsidRPr="0026705F" w:rsidRDefault="00BA3DF1" w:rsidP="00636939">
      <w:pPr>
        <w:spacing w:line="480" w:lineRule="auto"/>
        <w:jc w:val="both"/>
        <w:rPr>
          <w:sz w:val="22"/>
          <w:szCs w:val="22"/>
          <w:lang w:val="en-US"/>
        </w:rPr>
      </w:pPr>
      <w:r w:rsidRPr="0026705F">
        <w:rPr>
          <w:sz w:val="22"/>
          <w:szCs w:val="22"/>
          <w:lang w:val="en-US"/>
        </w:rPr>
        <w:t>At passage 3, dermal fibroblasts (FIBRO) were evaluated for the expression of positive stem/stromal cell surface markers (CD73, CD90, CD105, CD13, CD14, CD19, CD45, CD31). The description of the panels correspond to FIBRO samples collected from four unrelated individuals (FIBRO#1, FIBRO#2, FIBRO#3).</w:t>
      </w:r>
    </w:p>
    <w:p w14:paraId="000001FD" w14:textId="0EDEB365" w:rsidR="007F3335" w:rsidRPr="0026705F" w:rsidRDefault="00E30304" w:rsidP="00BE54AC">
      <w:pPr>
        <w:rPr>
          <w:sz w:val="22"/>
          <w:szCs w:val="22"/>
          <w:lang w:val="en-US"/>
        </w:rPr>
      </w:pPr>
      <w:r w:rsidRPr="0026705F">
        <w:rPr>
          <w:noProof/>
          <w:sz w:val="22"/>
          <w:szCs w:val="22"/>
          <w:lang w:val="en-US"/>
        </w:rPr>
        <w:lastRenderedPageBreak/>
        <w:drawing>
          <wp:inline distT="0" distB="0" distL="0" distR="0" wp14:anchorId="4A2A6879" wp14:editId="30EF91FE">
            <wp:extent cx="5760720" cy="576072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77D1D0E5" w14:textId="77777777" w:rsidR="00BE54AC" w:rsidRPr="0026705F" w:rsidRDefault="00BE54AC" w:rsidP="00BE54AC">
      <w:pPr>
        <w:rPr>
          <w:sz w:val="22"/>
          <w:szCs w:val="22"/>
          <w:lang w:val="en-US"/>
        </w:rPr>
      </w:pPr>
    </w:p>
    <w:p w14:paraId="000001FF" w14:textId="5CF0F96C" w:rsidR="007F3335" w:rsidRPr="0026705F" w:rsidRDefault="00BA3DF1" w:rsidP="00BE54AC">
      <w:pPr>
        <w:spacing w:line="480" w:lineRule="auto"/>
        <w:jc w:val="both"/>
        <w:rPr>
          <w:sz w:val="22"/>
          <w:szCs w:val="22"/>
          <w:lang w:val="en-US"/>
        </w:rPr>
      </w:pPr>
      <w:r w:rsidRPr="0026705F">
        <w:rPr>
          <w:b/>
          <w:sz w:val="22"/>
          <w:szCs w:val="22"/>
          <w:lang w:val="en-US"/>
        </w:rPr>
        <w:t xml:space="preserve">Supp. Figure S4. </w:t>
      </w:r>
      <w:r w:rsidRPr="0026705F">
        <w:rPr>
          <w:sz w:val="22"/>
          <w:szCs w:val="22"/>
          <w:lang w:val="en-US"/>
        </w:rPr>
        <w:t>Quality control of single-cell RNA sequencing data of subcutaneous A</w:t>
      </w:r>
      <w:r w:rsidR="00E30304" w:rsidRPr="0026705F">
        <w:rPr>
          <w:sz w:val="22"/>
          <w:szCs w:val="22"/>
          <w:lang w:val="en-US"/>
        </w:rPr>
        <w:t>D-M</w:t>
      </w:r>
      <w:r w:rsidRPr="0026705F">
        <w:rPr>
          <w:sz w:val="22"/>
          <w:szCs w:val="22"/>
          <w:lang w:val="en-US"/>
        </w:rPr>
        <w:t>SCs collected from four individuals (</w:t>
      </w:r>
      <w:sdt>
        <w:sdtPr>
          <w:rPr>
            <w:lang w:val="en-US"/>
          </w:rPr>
          <w:tag w:val="goog_rdk_7"/>
          <w:id w:val="-1628849707"/>
        </w:sdtPr>
        <w:sdtContent/>
      </w:sdt>
      <w:r w:rsidRPr="0026705F">
        <w:rPr>
          <w:sz w:val="22"/>
          <w:szCs w:val="22"/>
          <w:lang w:val="en-US"/>
        </w:rPr>
        <w:t>SASC#1-SASC#4).</w:t>
      </w:r>
    </w:p>
    <w:p w14:paraId="00000200" w14:textId="77777777" w:rsidR="007F3335" w:rsidRPr="0026705F" w:rsidRDefault="00BA3DF1" w:rsidP="00BE54AC">
      <w:pPr>
        <w:spacing w:line="480" w:lineRule="auto"/>
        <w:jc w:val="both"/>
        <w:rPr>
          <w:sz w:val="22"/>
          <w:szCs w:val="22"/>
          <w:lang w:val="en-US"/>
        </w:rPr>
      </w:pPr>
      <w:r w:rsidRPr="0026705F">
        <w:rPr>
          <w:sz w:val="22"/>
          <w:szCs w:val="22"/>
          <w:lang w:val="en-US"/>
        </w:rPr>
        <w:t>The plots display the number of detected genes and the percentage of identified mitochondrial transcripts in SASC data (A). Violin plots represent the counts per cell, identified genes, and mitochondrial reads in SASC data (B).</w:t>
      </w:r>
    </w:p>
    <w:p w14:paraId="00000202" w14:textId="3149E5A0" w:rsidR="007F3335" w:rsidRPr="0026705F" w:rsidRDefault="00E30304" w:rsidP="00BE54AC">
      <w:pPr>
        <w:spacing w:line="360" w:lineRule="auto"/>
        <w:jc w:val="both"/>
        <w:rPr>
          <w:sz w:val="22"/>
          <w:szCs w:val="22"/>
          <w:lang w:val="en-US"/>
        </w:rPr>
      </w:pPr>
      <w:r w:rsidRPr="0026705F">
        <w:rPr>
          <w:noProof/>
          <w:sz w:val="22"/>
          <w:szCs w:val="22"/>
          <w:lang w:val="en-US"/>
        </w:rPr>
        <w:lastRenderedPageBreak/>
        <w:drawing>
          <wp:inline distT="0" distB="0" distL="0" distR="0" wp14:anchorId="42E41D21" wp14:editId="4627BE3E">
            <wp:extent cx="5760720" cy="576072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00000204" w14:textId="19EF5C2F" w:rsidR="007F3335" w:rsidRPr="0026705F" w:rsidRDefault="00BA3DF1" w:rsidP="00BE54AC">
      <w:pPr>
        <w:spacing w:line="480" w:lineRule="auto"/>
        <w:jc w:val="both"/>
        <w:rPr>
          <w:sz w:val="22"/>
          <w:szCs w:val="22"/>
          <w:lang w:val="en-US"/>
        </w:rPr>
      </w:pPr>
      <w:r w:rsidRPr="0026705F">
        <w:rPr>
          <w:b/>
          <w:sz w:val="22"/>
          <w:szCs w:val="22"/>
          <w:lang w:val="en-US"/>
        </w:rPr>
        <w:t xml:space="preserve">Supp. Figure S5. </w:t>
      </w:r>
      <w:r w:rsidRPr="0026705F">
        <w:rPr>
          <w:sz w:val="22"/>
          <w:szCs w:val="22"/>
          <w:lang w:val="en-US"/>
        </w:rPr>
        <w:t>Quality control of single-cell RNA sequencing data of visceral A</w:t>
      </w:r>
      <w:r w:rsidR="00E30304" w:rsidRPr="0026705F">
        <w:rPr>
          <w:sz w:val="22"/>
          <w:szCs w:val="22"/>
          <w:lang w:val="en-US"/>
        </w:rPr>
        <w:t>D-MSCs co</w:t>
      </w:r>
      <w:r w:rsidRPr="0026705F">
        <w:rPr>
          <w:sz w:val="22"/>
          <w:szCs w:val="22"/>
          <w:lang w:val="en-US"/>
        </w:rPr>
        <w:t>llected from four individuals (</w:t>
      </w:r>
      <w:sdt>
        <w:sdtPr>
          <w:rPr>
            <w:lang w:val="en-US"/>
          </w:rPr>
          <w:tag w:val="goog_rdk_8"/>
          <w:id w:val="-1624293352"/>
        </w:sdtPr>
        <w:sdtContent/>
      </w:sdt>
      <w:r w:rsidRPr="0026705F">
        <w:rPr>
          <w:sz w:val="22"/>
          <w:szCs w:val="22"/>
          <w:lang w:val="en-US"/>
        </w:rPr>
        <w:t>VASC#1-VASC#4).</w:t>
      </w:r>
    </w:p>
    <w:p w14:paraId="00000207" w14:textId="1DD5F6FA" w:rsidR="007F3335" w:rsidRPr="0026705F" w:rsidRDefault="00BA3DF1" w:rsidP="00BE54AC">
      <w:pPr>
        <w:spacing w:line="480" w:lineRule="auto"/>
        <w:jc w:val="both"/>
        <w:rPr>
          <w:sz w:val="22"/>
          <w:szCs w:val="22"/>
          <w:lang w:val="en-US"/>
        </w:rPr>
      </w:pPr>
      <w:r w:rsidRPr="0026705F">
        <w:rPr>
          <w:sz w:val="22"/>
          <w:szCs w:val="22"/>
          <w:lang w:val="en-US"/>
        </w:rPr>
        <w:t>The plots display the number of detected genes and the percentage of identified mitochondrial transcripts in VASC data (A). Violin plots represent the counts per cell, identified genes, and mitochondrial reads in VASC data (B).</w:t>
      </w:r>
    </w:p>
    <w:p w14:paraId="00000208" w14:textId="16098176" w:rsidR="007F3335" w:rsidRPr="0026705F" w:rsidRDefault="00A51066">
      <w:pPr>
        <w:spacing w:line="360" w:lineRule="auto"/>
        <w:jc w:val="both"/>
        <w:rPr>
          <w:sz w:val="22"/>
          <w:szCs w:val="22"/>
          <w:lang w:val="en-US"/>
        </w:rPr>
      </w:pPr>
      <w:r w:rsidRPr="0026705F">
        <w:rPr>
          <w:noProof/>
          <w:sz w:val="22"/>
          <w:szCs w:val="22"/>
          <w:lang w:val="en-US"/>
        </w:rPr>
        <w:lastRenderedPageBreak/>
        <w:drawing>
          <wp:inline distT="0" distB="0" distL="0" distR="0" wp14:anchorId="66D71965" wp14:editId="023DC05E">
            <wp:extent cx="5760720" cy="576072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0000020A" w14:textId="6CBF33B7" w:rsidR="007F3335" w:rsidRPr="0026705F" w:rsidRDefault="00BA3DF1" w:rsidP="00BE54AC">
      <w:pPr>
        <w:spacing w:line="480" w:lineRule="auto"/>
        <w:jc w:val="both"/>
        <w:rPr>
          <w:sz w:val="22"/>
          <w:szCs w:val="22"/>
          <w:lang w:val="en-US"/>
        </w:rPr>
      </w:pPr>
      <w:r w:rsidRPr="0026705F">
        <w:rPr>
          <w:b/>
          <w:sz w:val="22"/>
          <w:szCs w:val="22"/>
          <w:lang w:val="en-US"/>
        </w:rPr>
        <w:t xml:space="preserve">Supp. Figure S6. </w:t>
      </w:r>
      <w:r w:rsidRPr="0026705F">
        <w:rPr>
          <w:sz w:val="22"/>
          <w:szCs w:val="22"/>
          <w:lang w:val="en-US"/>
        </w:rPr>
        <w:t xml:space="preserve">Quality control of single-cell RNA sequencing data of dermal fibroblasts collected from </w:t>
      </w:r>
      <w:r w:rsidR="00BE54AC" w:rsidRPr="0026705F">
        <w:rPr>
          <w:sz w:val="22"/>
          <w:szCs w:val="22"/>
          <w:lang w:val="en-US"/>
        </w:rPr>
        <w:t>three</w:t>
      </w:r>
      <w:r w:rsidRPr="0026705F">
        <w:rPr>
          <w:sz w:val="22"/>
          <w:szCs w:val="22"/>
          <w:lang w:val="en-US"/>
        </w:rPr>
        <w:t xml:space="preserve"> individuals (</w:t>
      </w:r>
      <w:sdt>
        <w:sdtPr>
          <w:rPr>
            <w:lang w:val="en-US"/>
          </w:rPr>
          <w:tag w:val="goog_rdk_9"/>
          <w:id w:val="-314654877"/>
        </w:sdtPr>
        <w:sdtContent/>
      </w:sdt>
      <w:r w:rsidRPr="0026705F">
        <w:rPr>
          <w:sz w:val="22"/>
          <w:szCs w:val="22"/>
          <w:lang w:val="en-US"/>
        </w:rPr>
        <w:t>FIBRO#1-FIBRO#3).</w:t>
      </w:r>
    </w:p>
    <w:p w14:paraId="0000020E" w14:textId="34727DB2" w:rsidR="007F3335" w:rsidRPr="0026705F" w:rsidRDefault="00BA3DF1" w:rsidP="00BE54AC">
      <w:pPr>
        <w:spacing w:line="480" w:lineRule="auto"/>
        <w:jc w:val="both"/>
        <w:rPr>
          <w:sz w:val="22"/>
          <w:szCs w:val="22"/>
          <w:lang w:val="en-US"/>
        </w:rPr>
      </w:pPr>
      <w:r w:rsidRPr="0026705F">
        <w:rPr>
          <w:sz w:val="22"/>
          <w:szCs w:val="22"/>
          <w:lang w:val="en-US"/>
        </w:rPr>
        <w:t>The plots display the number of detected genes and the percentage of identified mitochondrial transcripts in FIBRO data (A). Violin plots represent the counts per cell, identified genes, and mitochondrial reads in FIBRO data (B).</w:t>
      </w:r>
    </w:p>
    <w:p w14:paraId="0000020F" w14:textId="2FB66F69" w:rsidR="007F3335" w:rsidRPr="0026705F" w:rsidRDefault="00DB7EE6">
      <w:pPr>
        <w:spacing w:line="360" w:lineRule="auto"/>
        <w:jc w:val="both"/>
        <w:rPr>
          <w:sz w:val="22"/>
          <w:szCs w:val="22"/>
          <w:lang w:val="en-US"/>
        </w:rPr>
      </w:pPr>
      <w:r w:rsidRPr="0026705F">
        <w:rPr>
          <w:noProof/>
          <w:sz w:val="22"/>
          <w:szCs w:val="22"/>
          <w:lang w:val="en-US"/>
        </w:rPr>
        <w:lastRenderedPageBreak/>
        <mc:AlternateContent>
          <mc:Choice Requires="wps">
            <w:drawing>
              <wp:anchor distT="45720" distB="45720" distL="114300" distR="114300" simplePos="0" relativeHeight="251666432" behindDoc="0" locked="0" layoutInCell="1" allowOverlap="1" wp14:anchorId="04DCC971" wp14:editId="7F92ECD1">
                <wp:simplePos x="0" y="0"/>
                <wp:positionH relativeFrom="column">
                  <wp:posOffset>4297045</wp:posOffset>
                </wp:positionH>
                <wp:positionV relativeFrom="paragraph">
                  <wp:posOffset>0</wp:posOffset>
                </wp:positionV>
                <wp:extent cx="754380" cy="1404620"/>
                <wp:effectExtent l="0" t="0" r="26670" b="1841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1404620"/>
                        </a:xfrm>
                        <a:prstGeom prst="rect">
                          <a:avLst/>
                        </a:prstGeom>
                        <a:solidFill>
                          <a:srgbClr val="FFFFFF"/>
                        </a:solidFill>
                        <a:ln w="9525">
                          <a:solidFill>
                            <a:srgbClr val="000000"/>
                          </a:solidFill>
                          <a:miter lim="800000"/>
                          <a:headEnd/>
                          <a:tailEnd/>
                        </a:ln>
                      </wps:spPr>
                      <wps:txbx>
                        <w:txbxContent>
                          <w:p w14:paraId="621361E5" w14:textId="2598535C" w:rsidR="00DB7EE6" w:rsidRPr="0089042D" w:rsidRDefault="00DB7EE6" w:rsidP="00DB7EE6">
                            <w:r>
                              <w:t>FIBRO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04DCC971" id="_x0000_t202" coordsize="21600,21600" o:spt="202" path="m,l,21600r21600,l21600,xe">
                <v:stroke joinstyle="miter"/>
                <v:path gradientshapeok="t" o:connecttype="rect"/>
              </v:shapetype>
              <v:shape id="Pole tekstowe 2" o:spid="_x0000_s1026" type="#_x0000_t202" style="position:absolute;left:0;text-align:left;margin-left:338.35pt;margin-top:0;width:59.4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">
                <v:textbox style="mso-fit-shape-to-text:t">
                  <w:txbxContent>
                    <w:p w14:paraId="621361E5" w14:textId="2598535C" w:rsidR="00DB7EE6" w:rsidRPr="0089042D" w:rsidRDefault="00DB7EE6" w:rsidP="00DB7EE6">
                      <w:r>
                        <w:t>FIBRO</w:t>
                      </w:r>
                    </w:p>
                  </w:txbxContent>
                </v:textbox>
                <w10:wrap type="square"/>
              </v:shape>
            </w:pict>
          </mc:Fallback>
        </mc:AlternateContent>
      </w:r>
      <w:r w:rsidRPr="0026705F">
        <w:rPr>
          <w:noProof/>
          <w:sz w:val="22"/>
          <w:szCs w:val="22"/>
          <w:lang w:val="en-US"/>
        </w:rPr>
        <mc:AlternateContent>
          <mc:Choice Requires="wps">
            <w:drawing>
              <wp:anchor distT="45720" distB="45720" distL="114300" distR="114300" simplePos="0" relativeHeight="251664384" behindDoc="0" locked="0" layoutInCell="1" allowOverlap="1" wp14:anchorId="0068BCD7" wp14:editId="75608C90">
                <wp:simplePos x="0" y="0"/>
                <wp:positionH relativeFrom="column">
                  <wp:posOffset>2552065</wp:posOffset>
                </wp:positionH>
                <wp:positionV relativeFrom="paragraph">
                  <wp:posOffset>0</wp:posOffset>
                </wp:positionV>
                <wp:extent cx="754380" cy="1404620"/>
                <wp:effectExtent l="0" t="0" r="26670" b="18415"/>
                <wp:wrapSquare wrapText="bothSides"/>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1404620"/>
                        </a:xfrm>
                        <a:prstGeom prst="rect">
                          <a:avLst/>
                        </a:prstGeom>
                        <a:solidFill>
                          <a:srgbClr val="FFFFFF"/>
                        </a:solidFill>
                        <a:ln w="9525">
                          <a:solidFill>
                            <a:srgbClr val="000000"/>
                          </a:solidFill>
                          <a:miter lim="800000"/>
                          <a:headEnd/>
                          <a:tailEnd/>
                        </a:ln>
                      </wps:spPr>
                      <wps:txbx>
                        <w:txbxContent>
                          <w:p w14:paraId="00900A9C" w14:textId="55052027" w:rsidR="00DB7EE6" w:rsidRDefault="00DB7EE6" w:rsidP="00DB7EE6">
                            <w:r>
                              <w:t>VASC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0068BCD7" id="_x0000_s1027" type="#_x0000_t202" style="position:absolute;left:0;text-align:left;margin-left:200.95pt;margin-top:0;width:59.4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">
                <v:textbox style="mso-fit-shape-to-text:t">
                  <w:txbxContent>
                    <w:p w14:paraId="00900A9C" w14:textId="55052027" w:rsidR="00DB7EE6" w:rsidRDefault="00DB7EE6" w:rsidP="00DB7EE6">
                      <w:r>
                        <w:t>VASC</w:t>
                      </w:r>
                    </w:p>
                  </w:txbxContent>
                </v:textbox>
                <w10:wrap type="square"/>
              </v:shape>
            </w:pict>
          </mc:Fallback>
        </mc:AlternateContent>
      </w:r>
      <w:r w:rsidRPr="0026705F">
        <w:rPr>
          <w:noProof/>
          <w:sz w:val="22"/>
          <w:szCs w:val="22"/>
          <w:lang w:val="en-US"/>
        </w:rPr>
        <mc:AlternateContent>
          <mc:Choice Requires="wps">
            <w:drawing>
              <wp:anchor distT="45720" distB="45720" distL="114300" distR="114300" simplePos="0" relativeHeight="251662336" behindDoc="0" locked="0" layoutInCell="1" allowOverlap="1" wp14:anchorId="72C87B6A" wp14:editId="0A5DA71D">
                <wp:simplePos x="0" y="0"/>
                <wp:positionH relativeFrom="column">
                  <wp:posOffset>601345</wp:posOffset>
                </wp:positionH>
                <wp:positionV relativeFrom="paragraph">
                  <wp:posOffset>0</wp:posOffset>
                </wp:positionV>
                <wp:extent cx="754380" cy="1404620"/>
                <wp:effectExtent l="0" t="0" r="26670" b="1841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1404620"/>
                        </a:xfrm>
                        <a:prstGeom prst="rect">
                          <a:avLst/>
                        </a:prstGeom>
                        <a:solidFill>
                          <a:srgbClr val="FFFFFF"/>
                        </a:solidFill>
                        <a:ln w="9525">
                          <a:solidFill>
                            <a:srgbClr val="000000"/>
                          </a:solidFill>
                          <a:miter lim="800000"/>
                          <a:headEnd/>
                          <a:tailEnd/>
                        </a:ln>
                      </wps:spPr>
                      <wps:txbx>
                        <w:txbxContent>
                          <w:p w14:paraId="431C5413" w14:textId="3CFC63C4" w:rsidR="00DB7EE6" w:rsidRDefault="00DB7EE6">
                            <w:r>
                              <w:t>SASC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72C87B6A" id="_x0000_s1028" type="#_x0000_t202" style="position:absolute;left:0;text-align:left;margin-left:47.35pt;margin-top:0;width:59.4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">
                <v:textbox style="mso-fit-shape-to-text:t">
                  <w:txbxContent>
                    <w:p w14:paraId="431C5413" w14:textId="3CFC63C4" w:rsidR="00DB7EE6" w:rsidRDefault="00DB7EE6">
                      <w:r>
                        <w:t>SASC</w:t>
                      </w:r>
                    </w:p>
                  </w:txbxContent>
                </v:textbox>
                <w10:wrap type="square"/>
              </v:shape>
            </w:pict>
          </mc:Fallback>
        </mc:AlternateContent>
      </w:r>
      <w:r w:rsidR="00BA3DF1" w:rsidRPr="0026705F">
        <w:rPr>
          <w:noProof/>
          <w:sz w:val="22"/>
          <w:szCs w:val="22"/>
          <w:lang w:val="en-US"/>
        </w:rPr>
        <w:drawing>
          <wp:inline distT="114300" distB="114300" distL="114300" distR="114300" wp14:anchorId="030C7C07" wp14:editId="10FECCEC">
            <wp:extent cx="5760410" cy="4394200"/>
            <wp:effectExtent l="0" t="0" r="0" b="0"/>
            <wp:docPr id="156547105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5760410" cy="4394200"/>
                    </a:xfrm>
                    <a:prstGeom prst="rect">
                      <a:avLst/>
                    </a:prstGeom>
                    <a:ln/>
                  </pic:spPr>
                </pic:pic>
              </a:graphicData>
            </a:graphic>
          </wp:inline>
        </w:drawing>
      </w:r>
    </w:p>
    <w:p w14:paraId="00000210" w14:textId="77777777" w:rsidR="007F3335" w:rsidRPr="0026705F" w:rsidRDefault="007F3335" w:rsidP="009C22E4">
      <w:pPr>
        <w:spacing w:line="480" w:lineRule="auto"/>
        <w:jc w:val="both"/>
        <w:rPr>
          <w:sz w:val="22"/>
          <w:szCs w:val="22"/>
          <w:lang w:val="en-US"/>
        </w:rPr>
      </w:pPr>
    </w:p>
    <w:p w14:paraId="00000211" w14:textId="38FD159C" w:rsidR="007F3335" w:rsidRPr="0026705F" w:rsidRDefault="00BA3DF1" w:rsidP="009C22E4">
      <w:pPr>
        <w:spacing w:line="480" w:lineRule="auto"/>
        <w:jc w:val="both"/>
        <w:rPr>
          <w:sz w:val="22"/>
          <w:szCs w:val="22"/>
          <w:lang w:val="en-US"/>
        </w:rPr>
      </w:pPr>
      <w:r w:rsidRPr="0026705F">
        <w:rPr>
          <w:b/>
          <w:sz w:val="22"/>
          <w:szCs w:val="22"/>
          <w:lang w:val="en-US"/>
        </w:rPr>
        <w:t xml:space="preserve">Supp. Figure S7. </w:t>
      </w:r>
      <w:r w:rsidRPr="0026705F">
        <w:rPr>
          <w:sz w:val="22"/>
          <w:szCs w:val="22"/>
          <w:lang w:val="en-US"/>
        </w:rPr>
        <w:t xml:space="preserve">Cell distribution and marker expression of </w:t>
      </w:r>
      <w:r w:rsidR="005130DF" w:rsidRPr="0026705F">
        <w:rPr>
          <w:sz w:val="22"/>
          <w:szCs w:val="22"/>
          <w:lang w:val="en-US"/>
        </w:rPr>
        <w:t xml:space="preserve">SASC, VASC, and FIBRO. </w:t>
      </w:r>
    </w:p>
    <w:p w14:paraId="11E3589C" w14:textId="77777777" w:rsidR="009C22E4" w:rsidRPr="0026705F" w:rsidRDefault="00BA3DF1" w:rsidP="009C22E4">
      <w:pPr>
        <w:spacing w:line="480" w:lineRule="auto"/>
        <w:jc w:val="both"/>
        <w:rPr>
          <w:sz w:val="22"/>
          <w:szCs w:val="22"/>
          <w:lang w:val="en-US"/>
        </w:rPr>
      </w:pPr>
      <w:r w:rsidRPr="0026705F">
        <w:rPr>
          <w:sz w:val="22"/>
          <w:szCs w:val="22"/>
          <w:lang w:val="en-US"/>
        </w:rPr>
        <w:t>Uniform Manifold Approximation and Projection (UMAP) plots representing the SASC and VASC distribution (</w:t>
      </w:r>
      <w:r w:rsidR="0009139B" w:rsidRPr="0026705F">
        <w:rPr>
          <w:sz w:val="22"/>
          <w:szCs w:val="22"/>
          <w:lang w:val="en-US"/>
        </w:rPr>
        <w:t>A</w:t>
      </w:r>
      <w:r w:rsidRPr="0026705F">
        <w:rPr>
          <w:sz w:val="22"/>
          <w:szCs w:val="22"/>
          <w:lang w:val="en-US"/>
        </w:rPr>
        <w:t xml:space="preserve">) and the number of cells expressing positive stem/stromal marker genes in SASC (first </w:t>
      </w:r>
      <w:r w:rsidR="0009139B" w:rsidRPr="0026705F">
        <w:rPr>
          <w:sz w:val="22"/>
          <w:szCs w:val="22"/>
          <w:lang w:val="en-US"/>
        </w:rPr>
        <w:t>bar chart</w:t>
      </w:r>
      <w:r w:rsidRPr="0026705F">
        <w:rPr>
          <w:sz w:val="22"/>
          <w:szCs w:val="22"/>
          <w:lang w:val="en-US"/>
        </w:rPr>
        <w:t xml:space="preserve">) and VASC (second </w:t>
      </w:r>
      <w:r w:rsidR="0009139B" w:rsidRPr="0026705F">
        <w:rPr>
          <w:sz w:val="22"/>
          <w:szCs w:val="22"/>
          <w:lang w:val="en-US"/>
        </w:rPr>
        <w:t>bar chart</w:t>
      </w:r>
      <w:r w:rsidRPr="0026705F">
        <w:rPr>
          <w:sz w:val="22"/>
          <w:szCs w:val="22"/>
          <w:lang w:val="en-US"/>
        </w:rPr>
        <w:t xml:space="preserve">) clusters, as well as cell distribution and marker expression in fibroblast clusters (third </w:t>
      </w:r>
      <w:r w:rsidR="0009139B" w:rsidRPr="0026705F">
        <w:rPr>
          <w:sz w:val="22"/>
          <w:szCs w:val="22"/>
          <w:lang w:val="en-US"/>
        </w:rPr>
        <w:t>bar chart</w:t>
      </w:r>
      <w:r w:rsidRPr="0026705F">
        <w:rPr>
          <w:sz w:val="22"/>
          <w:szCs w:val="22"/>
          <w:lang w:val="en-US"/>
        </w:rPr>
        <w:t>)</w:t>
      </w:r>
      <w:r w:rsidR="0009139B" w:rsidRPr="0026705F">
        <w:rPr>
          <w:sz w:val="22"/>
          <w:szCs w:val="22"/>
          <w:lang w:val="en-US"/>
        </w:rPr>
        <w:t xml:space="preserve"> (B)</w:t>
      </w:r>
      <w:r w:rsidRPr="0026705F">
        <w:rPr>
          <w:sz w:val="22"/>
          <w:szCs w:val="22"/>
          <w:lang w:val="en-US"/>
        </w:rPr>
        <w:t xml:space="preserve">. </w:t>
      </w:r>
    </w:p>
    <w:p w14:paraId="0000021E" w14:textId="10AE82FA" w:rsidR="007F3335" w:rsidRPr="0026705F" w:rsidRDefault="00BA3DF1" w:rsidP="009C22E4">
      <w:pPr>
        <w:spacing w:line="480" w:lineRule="auto"/>
        <w:jc w:val="both"/>
        <w:rPr>
          <w:sz w:val="22"/>
          <w:szCs w:val="22"/>
          <w:lang w:val="en-US"/>
        </w:rPr>
      </w:pPr>
      <w:r w:rsidRPr="0026705F">
        <w:rPr>
          <w:noProof/>
          <w:lang w:val="en-US"/>
        </w:rPr>
        <w:lastRenderedPageBreak/>
        <w:drawing>
          <wp:anchor distT="114300" distB="114300" distL="114300" distR="114300" simplePos="0" relativeHeight="251658240" behindDoc="0" locked="0" layoutInCell="1" hidden="0" allowOverlap="1" wp14:anchorId="1A082BF1" wp14:editId="468A7B7E">
            <wp:simplePos x="0" y="0"/>
            <wp:positionH relativeFrom="column">
              <wp:posOffset>-575309</wp:posOffset>
            </wp:positionH>
            <wp:positionV relativeFrom="paragraph">
              <wp:posOffset>114300</wp:posOffset>
            </wp:positionV>
            <wp:extent cx="6852920" cy="2629609"/>
            <wp:effectExtent l="0" t="0" r="0" b="0"/>
            <wp:wrapSquare wrapText="bothSides" distT="114300" distB="114300" distL="114300" distR="114300"/>
            <wp:docPr id="156547106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6852920" cy="2629609"/>
                    </a:xfrm>
                    <a:prstGeom prst="rect">
                      <a:avLst/>
                    </a:prstGeom>
                    <a:ln/>
                  </pic:spPr>
                </pic:pic>
              </a:graphicData>
            </a:graphic>
          </wp:anchor>
        </w:drawing>
      </w:r>
    </w:p>
    <w:p w14:paraId="0000021F" w14:textId="0DD61B48" w:rsidR="007F3335" w:rsidRPr="0026705F" w:rsidRDefault="00BA3DF1" w:rsidP="009C22E4">
      <w:pPr>
        <w:spacing w:line="480" w:lineRule="auto"/>
        <w:jc w:val="both"/>
        <w:rPr>
          <w:sz w:val="22"/>
          <w:szCs w:val="22"/>
          <w:lang w:val="en-US"/>
        </w:rPr>
      </w:pPr>
      <w:r w:rsidRPr="0026705F">
        <w:rPr>
          <w:b/>
          <w:sz w:val="22"/>
          <w:szCs w:val="22"/>
          <w:lang w:val="en-US"/>
        </w:rPr>
        <w:t xml:space="preserve">Supp. Figure S8. </w:t>
      </w:r>
      <w:r w:rsidRPr="0026705F">
        <w:rPr>
          <w:sz w:val="22"/>
          <w:szCs w:val="22"/>
          <w:lang w:val="en-US"/>
        </w:rPr>
        <w:t xml:space="preserve">Integrated expression of stem/stromal marker genes in </w:t>
      </w:r>
      <w:r w:rsidR="00812F4D" w:rsidRPr="0026705F">
        <w:rPr>
          <w:sz w:val="22"/>
          <w:szCs w:val="22"/>
          <w:lang w:val="en-US"/>
        </w:rPr>
        <w:t xml:space="preserve">clusters 1-9 of </w:t>
      </w:r>
      <w:r w:rsidR="001B01A9" w:rsidRPr="0026705F">
        <w:rPr>
          <w:sz w:val="22"/>
          <w:szCs w:val="22"/>
          <w:lang w:val="en-US"/>
        </w:rPr>
        <w:t xml:space="preserve">SASC and VASC </w:t>
      </w:r>
      <w:r w:rsidRPr="0026705F">
        <w:rPr>
          <w:sz w:val="22"/>
          <w:szCs w:val="22"/>
          <w:lang w:val="en-US"/>
        </w:rPr>
        <w:t xml:space="preserve">from </w:t>
      </w:r>
      <w:r w:rsidR="00812F4D" w:rsidRPr="0026705F">
        <w:rPr>
          <w:sz w:val="22"/>
          <w:szCs w:val="22"/>
          <w:lang w:val="en-US"/>
        </w:rPr>
        <w:t xml:space="preserve">the </w:t>
      </w:r>
      <w:r w:rsidRPr="0026705F">
        <w:rPr>
          <w:sz w:val="22"/>
          <w:szCs w:val="22"/>
          <w:lang w:val="en-US"/>
        </w:rPr>
        <w:t>four individuals</w:t>
      </w:r>
      <w:r w:rsidR="007B06C6" w:rsidRPr="0026705F">
        <w:rPr>
          <w:sz w:val="22"/>
          <w:szCs w:val="22"/>
          <w:lang w:val="en-US"/>
        </w:rPr>
        <w:t xml:space="preserve"> analyzed in this study</w:t>
      </w:r>
      <w:r w:rsidRPr="0026705F">
        <w:rPr>
          <w:sz w:val="22"/>
          <w:szCs w:val="22"/>
          <w:lang w:val="en-US"/>
        </w:rPr>
        <w:t xml:space="preserve">. </w:t>
      </w:r>
    </w:p>
    <w:p w14:paraId="00000221" w14:textId="6A9CC25E" w:rsidR="007F3335" w:rsidRPr="0026705F" w:rsidRDefault="00BA3DF1" w:rsidP="009C22E4">
      <w:pPr>
        <w:spacing w:line="480" w:lineRule="auto"/>
        <w:jc w:val="both"/>
        <w:rPr>
          <w:sz w:val="22"/>
          <w:szCs w:val="22"/>
          <w:lang w:val="en-US"/>
        </w:rPr>
      </w:pPr>
      <w:r w:rsidRPr="0026705F">
        <w:rPr>
          <w:sz w:val="22"/>
          <w:szCs w:val="22"/>
          <w:lang w:val="en-US"/>
        </w:rPr>
        <w:t>The values represent the percentage of cells expressing each marker gene based on the list of positive and negative markers recommended by the International Federation for Adipose Therapeutics and Science (IFATS) and the International Society for Cellular Therapy (ISCT)</w:t>
      </w:r>
      <w:r w:rsidR="00CE142F" w:rsidRPr="0026705F">
        <w:rPr>
          <w:sz w:val="22"/>
          <w:szCs w:val="22"/>
          <w:lang w:val="en-US"/>
        </w:rPr>
        <w:t xml:space="preserve"> </w:t>
      </w:r>
      <w:r w:rsidR="00CE142F" w:rsidRPr="0026705F">
        <w:rPr>
          <w:sz w:val="22"/>
          <w:szCs w:val="22"/>
          <w:lang w:val="en-US"/>
        </w:rPr>
        <w:fldChar w:fldCharType="begin"/>
      </w:r>
      <w:r w:rsidR="00873504" w:rsidRPr="0026705F">
        <w:rPr>
          <w:sz w:val="22"/>
          <w:szCs w:val="22"/>
          <w:lang w:val="en-US"/>
        </w:rPr>
        <w:instrText xml:space="preserve"> ADDIN ZOTERO_ITEM CSL_CITATION {"citationID":"IjnAOB1j","properties":{"formattedCitation":"[123\\uc0\\u8211{}126]","plainCitation":"[123–126]","noteIndex":0},"citationItems":[{"id":"yYDU4LE6/Iw96J2gu","uris":["http://zotero.org/users/local/FCDre8wk/items/NQR4KUHM"],"itemData":{"id":682,"type":"article-journal","abstract":"BACKGROUND AIMS: Adipose tissue is a rich and very convenient source of cells for regenerative medicine therapeutic approaches. However, a characterization of the population of adipose-derived stromal and stem cells (ASCs) with the greatest therapeutic potential remains unclear. Under the authority of International Federation of Adipose Therapeutics and International Society for Cellular Therapy, this paper sets out to establish minimal definitions of stromal cells both as uncultured stromal vascular fraction (SVF) and as an adherent stromal/stem cells population.\nMETHODS: Phenotypic and functional criteria for the identification of adipose-derived cells were drawn from the literature.\nRESULTS: In the SVF, cells are identified phenotypically by the following markers: CD45-CD235a-CD31-CD34+. Added value may be provided by both a viability marker and the following surface antigens: CD13, CD73, CD90 and CD105. The fibroblastoid colony-forming unit assay permits the evaluation of progenitor frequency in the SVF population. In culture, ASCs retain markers in common with other mesenchymal stromal/stem cells (MSCs), including CD90, CD73, CD105, and CD44 and remain negative for CD45 and CD31. They can be distinguished from bone-marrow-derived MSCs by their positivity for CD36 and negativity for CD106. The CFU-F assay is recommended to calculate population doublings capacity of ASCs. The adipocytic, chondroblastic and osteoblastic differentiation assays serve to complete the cell identification and potency assessment in conjunction with a quantitative evaluation of the differentiation either biochemically or by reverse transcription polymerase chain reaction.\nCONCLUSIONS: The goal of this paper is to provide initial guidance for the scientific community working with adipose-derived cells and to facilitate development of international standards based on reproducible parameters.","container-title":"Cytotherapy","DOI":"10.1016/j.jcyt.2013.02.006","ISSN":"1477-2566","issue":"6","journalAbbreviation":"Cytotherapy","language":"eng","note":"PMID: 23570660\nPMCID: PMC3979435","page":"641-648","source":"PubMed","title":"Stromal cells from the adipose tissue-derived stromal vascular fraction and culture expanded adipose tissue-derived stromal/stem cells: a joint statement of the International Federation for Adipose Therapeutics and Science (IFATS) and the International Society for Cellular Therapy (ISCT)","title-short":"Stromal cells from the adipose tissue-derived stromal vascular fraction and culture expanded adipose tissue-derived stromal/stem cells","volume":"15","author":[{"family":"Bourin","given":"Philippe"},{"family":"Bunnell","given":"Bruce A."},{"family":"Casteilla","given":"Louis"},{"family":"Dominici","given":"Massimo"},{"family":"Katz","given":"Adam J."},{"family":"March","given":"Keith L."},{"family":"Redl","given":"Heinz"},{"family":"Rubin","given":"J. Peter"},{"family":"Yoshimura","given":"Kotaro"},{"family":"Gimble","given":"Jeffrey M."}],"issued":{"date-parts":[["2013",6]]}}},{"id":"yYDU4LE6/b9zF7LnA","uris":["http://zotero.org/users/local/FCDre8wk/items/BCIKSN8M"],"itemData":{"id":675,"type":"article-journal","abstract":"The considerable therapeutic potential of human multipotent mesenchymal stromal cells (MSC) has generated markedly increasing interest in a wide variety of biomedical disciplines. However, investigators report studies of MSC using different methods of isolation and expansion, and different approaches to characterizing the cells. Thus it is increasingly difficult to compare and contrast study outcomes, which hinders progress in the field. To begin to address this issue, the Mesenchymal and Tissue Stem Cell Committee of the International Society for Cellular Therapy proposes minimal criteria to define human MSC. First, MSC must be plastic-adherent when maintained in standard culture conditions. Second, MSC must express CD105, CD73 and CD90, and lack expression of CD45, CD34, CD14 or CD11b, CD79alpha or CD19 and HLA-DR surface molecules. Third, MSC must differentiate to osteoblasts, adipocytes and chondroblasts in vitro. While these criteria will probably require modification as new knowledge unfolds, we believe this minimal set of standard criteria will foster a more uniform characterization of MSC and facilitate the exchange of data among investigators.","container-title":"Cytotherapy","DOI":"10.1080/14653240600855905","ISSN":"1465-3249","issue":"4","journalAbbreviation":"Cytotherapy","language":"eng","note":"PMID: 16923606","page":"315-317","source":"PubMed","title":"Minimal criteria for defining multipotent mesenchymal stromal cells. The International Society for Cellular Therapy position statement","volume":"8","author":[{"family":"Dominici","given":"M."},{"family":"Le Blanc","given":"K."},{"family":"Mueller","given":"I."},{"family":"Slaper-Cortenbach","given":"I."},{"family":"Marini","given":"Fc"},{"family":"Krause","given":"Ds"},{"family":"Deans","given":"Rj"},{"family":"Keating","given":"A."},{"family":"Prockop","given":"Dj"},{"family":"Horwitz","given":"Em"}],"issued":{"date-parts":[["2006"]]}}},{"id":"yYDU4LE6/DZbGMwvz","uris":["http://zotero.org/users/local/FCDre8wk/items/ZZ8CR667"],"itemData":{"id":677,"type":"article-journal","abstract":"Cultured mesenchymal stromal cells (MSCs) possess immune regulatory properties and are already used for clinical purposes, although preclinical data (both in vitro and in vivo in animal models) are not always homogeneous and unequivocal. However, the various MSC-based clinical approaches to treat immunological diseases would be significantly validated and strengthened by using standardized immune assays aimed at obtaining shared, reproducible and consistent data. Thus, the MSC Committee of the International Society for Cellular Therapy has decided to put forward for general discussion a working proposal for a standardized approach based on a critical view of literature data.","container-title":"Cytotherapy","DOI":"10.1016/j.jcyt.2013.02.010","ISSN":"1477-2566","issue":"9","journalAbbreviation":"Cytotherapy","language":"eng","note":"PMID: 23602578","page":"1054-1061","source":"PubMed","title":"Immunological characterization of multipotent mesenchymal stromal cells--The International Society for Cellular Therapy (ISCT) working proposal","volume":"15","author":[{"family":"Krampera","given":"Mauro"},{"family":"Galipeau","given":"Jacques"},{"family":"Shi","given":"Yufang"},{"family":"Tarte","given":"Karin"},{"family":"Sensebe","given":"Luc"},{"literal":"MSC Committee of the International Society for Cellular Therapy (ISCT)"}],"issued":{"date-parts":[["2013",9]]}}},{"id":"yYDU4LE6/lbJurytd","uris":["http://zotero.org/users/local/FCDre8wk/items/F76DR6IS"],"itemData":{"id":680,"type":"article-journal","abstract":"The International Society for Cell &amp; Gene Therapy (ISCT®) Mesenchymal Stromal Cell (ISCT MSC) committee offers a position statement to clarify the nomenclature of mesenchymal stromal cells (MSCs). The ISCT MSC committee continues to support the use of the acronym \"MSCs\" but recommends this be (i) supplemented by tissue-source origin of the cells, which would highlight tissue-specific properties; (ii) intended as MSCs unless rigorous evidence for stemness exists that can be supported by both in vitro and in vivo data; and (iii) associated with robust matrix of functional assays to demonstrate MSC properties, which are not generically defined but informed by the intended therapeutic mode of actions.","container-title":"Cytotherapy","DOI":"10.1016/j.jcyt.2019.08.002","ISSN":"1477-2566","issue":"10","journalAbbreviation":"Cytotherapy","language":"eng","note":"PMID: 31526643","page":"1019-1024","source":"PubMed","title":"Mesenchymal stem versus stromal cells: International Society for Cell &amp; Gene Therapy (ISCT®) Mesenchymal Stromal Cell committee position statement on nomenclature","title-short":"Mesenchymal stem versus stromal cells","volume":"21","author":[{"family":"Viswanathan","given":"S."},{"family":"Shi","given":"Y."},{"family":"Galipeau","given":"J."},{"family":"Krampera","given":"M."},{"family":"Leblanc","given":"K."},{"family":"Martin","given":"I."},{"family":"Nolta","given":"J."},{"family":"Phinney","given":"D. G."},{"family":"Sensebe","given":"L."}],"issued":{"date-parts":[["2019",10]]}}}],"schema":"https://github.com/citation-style-language/schema/raw/master/csl-citation.json"} </w:instrText>
      </w:r>
      <w:r w:rsidR="00CE142F" w:rsidRPr="0026705F">
        <w:rPr>
          <w:sz w:val="22"/>
          <w:szCs w:val="22"/>
          <w:lang w:val="en-US"/>
        </w:rPr>
        <w:fldChar w:fldCharType="separate"/>
      </w:r>
      <w:r w:rsidR="00873504" w:rsidRPr="0026705F">
        <w:rPr>
          <w:sz w:val="22"/>
          <w:lang w:val="en-US"/>
        </w:rPr>
        <w:t>[123–126]</w:t>
      </w:r>
      <w:r w:rsidR="00CE142F" w:rsidRPr="0026705F">
        <w:rPr>
          <w:sz w:val="22"/>
          <w:szCs w:val="22"/>
          <w:lang w:val="en-US"/>
        </w:rPr>
        <w:fldChar w:fldCharType="end"/>
      </w:r>
      <w:r w:rsidR="00CE142F" w:rsidRPr="0026705F">
        <w:rPr>
          <w:sz w:val="22"/>
          <w:szCs w:val="22"/>
          <w:lang w:val="en-US"/>
        </w:rPr>
        <w:t>.</w:t>
      </w:r>
      <w:r w:rsidRPr="0026705F">
        <w:rPr>
          <w:sz w:val="22"/>
          <w:szCs w:val="22"/>
          <w:lang w:val="en-US"/>
        </w:rPr>
        <w:tab/>
      </w:r>
    </w:p>
    <w:p w14:paraId="00000222" w14:textId="77777777" w:rsidR="007F3335" w:rsidRPr="0026705F" w:rsidRDefault="00BA3DF1" w:rsidP="009C22E4">
      <w:pPr>
        <w:spacing w:line="480" w:lineRule="auto"/>
        <w:jc w:val="both"/>
        <w:rPr>
          <w:i/>
          <w:sz w:val="18"/>
          <w:szCs w:val="18"/>
          <w:lang w:val="en-US"/>
        </w:rPr>
      </w:pPr>
      <w:r w:rsidRPr="0026705F">
        <w:rPr>
          <w:i/>
          <w:sz w:val="18"/>
          <w:szCs w:val="18"/>
          <w:lang w:val="en-US"/>
        </w:rPr>
        <w:t xml:space="preserve">Positive stem/stromal marker genes: </w:t>
      </w:r>
    </w:p>
    <w:p w14:paraId="00000224" w14:textId="67D568A8" w:rsidR="007F3335" w:rsidRPr="0026705F" w:rsidRDefault="00BA3DF1" w:rsidP="009C22E4">
      <w:pPr>
        <w:spacing w:line="480" w:lineRule="auto"/>
        <w:jc w:val="both"/>
        <w:rPr>
          <w:i/>
          <w:sz w:val="18"/>
          <w:szCs w:val="18"/>
          <w:lang w:val="en-US"/>
        </w:rPr>
      </w:pPr>
      <w:r w:rsidRPr="0026705F">
        <w:rPr>
          <w:i/>
          <w:sz w:val="18"/>
          <w:szCs w:val="18"/>
          <w:lang w:val="en-US"/>
        </w:rPr>
        <w:t>ENG</w:t>
      </w:r>
      <w:r w:rsidRPr="0026705F">
        <w:rPr>
          <w:sz w:val="18"/>
          <w:szCs w:val="18"/>
          <w:lang w:val="en-US"/>
        </w:rPr>
        <w:t xml:space="preserve"> (MIM *131195) - alternative symbol </w:t>
      </w:r>
      <w:r w:rsidRPr="0026705F">
        <w:rPr>
          <w:i/>
          <w:sz w:val="18"/>
          <w:szCs w:val="18"/>
          <w:lang w:val="en-US"/>
        </w:rPr>
        <w:t xml:space="preserve">CD105; NT5E </w:t>
      </w:r>
      <w:r w:rsidRPr="0026705F">
        <w:rPr>
          <w:sz w:val="18"/>
          <w:szCs w:val="18"/>
          <w:lang w:val="en-US"/>
        </w:rPr>
        <w:t xml:space="preserve">(MIM *129190) - alternative symbol </w:t>
      </w:r>
      <w:r w:rsidRPr="0026705F">
        <w:rPr>
          <w:i/>
          <w:sz w:val="18"/>
          <w:szCs w:val="18"/>
          <w:lang w:val="en-US"/>
        </w:rPr>
        <w:t xml:space="preserve">CD73; THY1 </w:t>
      </w:r>
      <w:r w:rsidRPr="0026705F">
        <w:rPr>
          <w:sz w:val="18"/>
          <w:szCs w:val="18"/>
          <w:lang w:val="en-US"/>
        </w:rPr>
        <w:t xml:space="preserve">(MIM *188230) - alternative symbol </w:t>
      </w:r>
      <w:r w:rsidRPr="0026705F">
        <w:rPr>
          <w:i/>
          <w:sz w:val="18"/>
          <w:szCs w:val="18"/>
          <w:lang w:val="en-US"/>
        </w:rPr>
        <w:t xml:space="preserve">CD90; CD59 </w:t>
      </w:r>
      <w:r w:rsidRPr="0026705F">
        <w:rPr>
          <w:sz w:val="18"/>
          <w:szCs w:val="18"/>
          <w:lang w:val="en-US"/>
        </w:rPr>
        <w:t>(MIM *107271)</w:t>
      </w:r>
      <w:r w:rsidRPr="0026705F">
        <w:rPr>
          <w:i/>
          <w:sz w:val="18"/>
          <w:szCs w:val="18"/>
          <w:lang w:val="en-US"/>
        </w:rPr>
        <w:t xml:space="preserve">; CD44 </w:t>
      </w:r>
      <w:r w:rsidRPr="0026705F">
        <w:rPr>
          <w:sz w:val="18"/>
          <w:szCs w:val="18"/>
          <w:lang w:val="en-US"/>
        </w:rPr>
        <w:t>(MIM *107269);</w:t>
      </w:r>
      <w:r w:rsidRPr="0026705F">
        <w:rPr>
          <w:i/>
          <w:sz w:val="18"/>
          <w:szCs w:val="18"/>
          <w:lang w:val="en-US"/>
        </w:rPr>
        <w:t xml:space="preserve"> ITGB1</w:t>
      </w:r>
      <w:r w:rsidRPr="0026705F">
        <w:rPr>
          <w:sz w:val="18"/>
          <w:szCs w:val="18"/>
          <w:lang w:val="en-US"/>
        </w:rPr>
        <w:t xml:space="preserve"> (MIM *135630) - alternative symbol</w:t>
      </w:r>
      <w:r w:rsidRPr="0026705F">
        <w:rPr>
          <w:i/>
          <w:sz w:val="18"/>
          <w:szCs w:val="18"/>
          <w:lang w:val="en-US"/>
        </w:rPr>
        <w:t xml:space="preserve"> CD29. </w:t>
      </w:r>
    </w:p>
    <w:p w14:paraId="00000225" w14:textId="77777777" w:rsidR="007F3335" w:rsidRPr="0026705F" w:rsidRDefault="00BA3DF1" w:rsidP="009C22E4">
      <w:pPr>
        <w:spacing w:line="480" w:lineRule="auto"/>
        <w:jc w:val="both"/>
        <w:rPr>
          <w:i/>
          <w:sz w:val="18"/>
          <w:szCs w:val="18"/>
          <w:lang w:val="en-US"/>
        </w:rPr>
      </w:pPr>
      <w:r w:rsidRPr="0026705F">
        <w:rPr>
          <w:i/>
          <w:sz w:val="18"/>
          <w:szCs w:val="18"/>
          <w:lang w:val="en-US"/>
        </w:rPr>
        <w:t xml:space="preserve">Negative  stem/stromal marker genes: </w:t>
      </w:r>
    </w:p>
    <w:p w14:paraId="00000226" w14:textId="77777777" w:rsidR="007F3335" w:rsidRPr="0026705F" w:rsidRDefault="00BA3DF1" w:rsidP="009C22E4">
      <w:pPr>
        <w:spacing w:line="480" w:lineRule="auto"/>
        <w:jc w:val="both"/>
        <w:rPr>
          <w:i/>
          <w:sz w:val="18"/>
          <w:szCs w:val="18"/>
          <w:lang w:val="en-US"/>
        </w:rPr>
      </w:pPr>
      <w:r w:rsidRPr="0026705F">
        <w:rPr>
          <w:i/>
          <w:sz w:val="18"/>
          <w:szCs w:val="18"/>
          <w:lang w:val="en-US"/>
        </w:rPr>
        <w:t>PTPRC</w:t>
      </w:r>
      <w:r w:rsidRPr="0026705F">
        <w:rPr>
          <w:sz w:val="18"/>
          <w:szCs w:val="18"/>
          <w:lang w:val="en-US"/>
        </w:rPr>
        <w:t xml:space="preserve"> (MIM *151460) - alternative symbol </w:t>
      </w:r>
      <w:r w:rsidRPr="0026705F">
        <w:rPr>
          <w:i/>
          <w:sz w:val="18"/>
          <w:szCs w:val="18"/>
          <w:lang w:val="en-US"/>
        </w:rPr>
        <w:t xml:space="preserve">CD45; CD34 </w:t>
      </w:r>
      <w:r w:rsidRPr="0026705F">
        <w:rPr>
          <w:sz w:val="18"/>
          <w:szCs w:val="18"/>
          <w:lang w:val="en-US"/>
        </w:rPr>
        <w:t>(MIM *142230);</w:t>
      </w:r>
      <w:r w:rsidRPr="0026705F">
        <w:rPr>
          <w:i/>
          <w:sz w:val="18"/>
          <w:szCs w:val="18"/>
          <w:lang w:val="en-US"/>
        </w:rPr>
        <w:t xml:space="preserve"> CD14</w:t>
      </w:r>
      <w:r w:rsidRPr="0026705F">
        <w:rPr>
          <w:sz w:val="18"/>
          <w:szCs w:val="18"/>
          <w:lang w:val="en-US"/>
        </w:rPr>
        <w:t xml:space="preserve"> (MIM *158120);</w:t>
      </w:r>
      <w:r w:rsidRPr="0026705F">
        <w:rPr>
          <w:i/>
          <w:sz w:val="18"/>
          <w:szCs w:val="18"/>
          <w:lang w:val="en-US"/>
        </w:rPr>
        <w:t xml:space="preserve"> ITGAM</w:t>
      </w:r>
      <w:r w:rsidRPr="0026705F">
        <w:rPr>
          <w:sz w:val="18"/>
          <w:szCs w:val="18"/>
          <w:lang w:val="en-US"/>
        </w:rPr>
        <w:t xml:space="preserve"> (MIM *120980) - alternative symbol </w:t>
      </w:r>
      <w:r w:rsidRPr="0026705F">
        <w:rPr>
          <w:i/>
          <w:sz w:val="18"/>
          <w:szCs w:val="18"/>
          <w:lang w:val="en-US"/>
        </w:rPr>
        <w:t xml:space="preserve">CD11B; CD19 </w:t>
      </w:r>
      <w:r w:rsidRPr="0026705F">
        <w:rPr>
          <w:sz w:val="18"/>
          <w:szCs w:val="18"/>
          <w:lang w:val="en-US"/>
        </w:rPr>
        <w:t>(MIM *107265);</w:t>
      </w:r>
      <w:r w:rsidRPr="0026705F">
        <w:rPr>
          <w:i/>
          <w:sz w:val="18"/>
          <w:szCs w:val="18"/>
          <w:lang w:val="en-US"/>
        </w:rPr>
        <w:t xml:space="preserve"> CD79A </w:t>
      </w:r>
      <w:r w:rsidRPr="0026705F">
        <w:rPr>
          <w:sz w:val="18"/>
          <w:szCs w:val="18"/>
          <w:lang w:val="en-US"/>
        </w:rPr>
        <w:t>(MIM *112205);</w:t>
      </w:r>
      <w:r w:rsidRPr="0026705F">
        <w:rPr>
          <w:i/>
          <w:sz w:val="18"/>
          <w:szCs w:val="18"/>
          <w:lang w:val="en-US"/>
        </w:rPr>
        <w:t xml:space="preserve"> HLA-DRA</w:t>
      </w:r>
      <w:r w:rsidRPr="0026705F">
        <w:rPr>
          <w:sz w:val="18"/>
          <w:szCs w:val="18"/>
          <w:lang w:val="en-US"/>
        </w:rPr>
        <w:t xml:space="preserve"> (MIM *142860); </w:t>
      </w:r>
      <w:r w:rsidRPr="0026705F">
        <w:rPr>
          <w:i/>
          <w:sz w:val="18"/>
          <w:szCs w:val="18"/>
          <w:lang w:val="en-US"/>
        </w:rPr>
        <w:t xml:space="preserve">HLA-DRB1 </w:t>
      </w:r>
      <w:r w:rsidRPr="0026705F">
        <w:rPr>
          <w:sz w:val="18"/>
          <w:szCs w:val="18"/>
          <w:lang w:val="en-US"/>
        </w:rPr>
        <w:t>(MIM *142857);</w:t>
      </w:r>
      <w:r w:rsidRPr="0026705F">
        <w:rPr>
          <w:i/>
          <w:sz w:val="18"/>
          <w:szCs w:val="18"/>
          <w:lang w:val="en-US"/>
        </w:rPr>
        <w:t xml:space="preserve"> HLA-DRB5 </w:t>
      </w:r>
      <w:r w:rsidRPr="0026705F">
        <w:rPr>
          <w:sz w:val="18"/>
          <w:szCs w:val="18"/>
          <w:lang w:val="en-US"/>
        </w:rPr>
        <w:t>(MIM *604776);</w:t>
      </w:r>
      <w:r w:rsidRPr="0026705F">
        <w:rPr>
          <w:i/>
          <w:sz w:val="18"/>
          <w:szCs w:val="18"/>
          <w:lang w:val="en-US"/>
        </w:rPr>
        <w:t xml:space="preserve"> PECAM1</w:t>
      </w:r>
      <w:r w:rsidRPr="0026705F">
        <w:rPr>
          <w:sz w:val="18"/>
          <w:szCs w:val="18"/>
          <w:lang w:val="en-US"/>
        </w:rPr>
        <w:t xml:space="preserve"> (MIM *173445) - alternative symbol </w:t>
      </w:r>
      <w:r w:rsidRPr="0026705F">
        <w:rPr>
          <w:i/>
          <w:sz w:val="18"/>
          <w:szCs w:val="18"/>
          <w:lang w:val="en-US"/>
        </w:rPr>
        <w:t>CD31; NCAM1</w:t>
      </w:r>
      <w:r w:rsidRPr="0026705F">
        <w:rPr>
          <w:sz w:val="18"/>
          <w:szCs w:val="18"/>
          <w:lang w:val="en-US"/>
        </w:rPr>
        <w:t xml:space="preserve"> (MIM *116930) - alternative symbol </w:t>
      </w:r>
      <w:r w:rsidRPr="0026705F">
        <w:rPr>
          <w:i/>
          <w:sz w:val="18"/>
          <w:szCs w:val="18"/>
          <w:lang w:val="en-US"/>
        </w:rPr>
        <w:t>CD56; SELP</w:t>
      </w:r>
      <w:r w:rsidRPr="0026705F">
        <w:rPr>
          <w:sz w:val="18"/>
          <w:szCs w:val="18"/>
          <w:lang w:val="en-US"/>
        </w:rPr>
        <w:t xml:space="preserve"> (MIM *173610) - alternative symbol </w:t>
      </w:r>
      <w:r w:rsidRPr="0026705F">
        <w:rPr>
          <w:i/>
          <w:sz w:val="18"/>
          <w:szCs w:val="18"/>
          <w:lang w:val="en-US"/>
        </w:rPr>
        <w:t>CD62.</w:t>
      </w:r>
    </w:p>
    <w:p w14:paraId="305D504A" w14:textId="77777777" w:rsidR="009C22E4" w:rsidRPr="0026705F" w:rsidRDefault="009C22E4" w:rsidP="009C22E4">
      <w:pPr>
        <w:spacing w:line="480" w:lineRule="auto"/>
        <w:jc w:val="both"/>
        <w:rPr>
          <w:i/>
          <w:sz w:val="18"/>
          <w:szCs w:val="18"/>
          <w:lang w:val="en-US"/>
        </w:rPr>
      </w:pPr>
    </w:p>
    <w:p w14:paraId="0000022D" w14:textId="77777777" w:rsidR="007F3335" w:rsidRPr="0026705F" w:rsidRDefault="007F3335" w:rsidP="009C22E4">
      <w:pPr>
        <w:spacing w:line="480" w:lineRule="auto"/>
        <w:rPr>
          <w:i/>
          <w:sz w:val="18"/>
          <w:szCs w:val="18"/>
          <w:lang w:val="en-US"/>
        </w:rPr>
      </w:pPr>
    </w:p>
    <w:p w14:paraId="3E1719F0" w14:textId="77777777" w:rsidR="009C22E4" w:rsidRPr="0026705F" w:rsidRDefault="009C22E4" w:rsidP="009C22E4">
      <w:pPr>
        <w:spacing w:line="480" w:lineRule="auto"/>
        <w:rPr>
          <w:sz w:val="22"/>
          <w:szCs w:val="22"/>
          <w:lang w:val="en-US"/>
        </w:rPr>
      </w:pPr>
    </w:p>
    <w:p w14:paraId="00000230" w14:textId="2ED63A91" w:rsidR="007F3335" w:rsidRPr="0026705F" w:rsidRDefault="00BA3DF1" w:rsidP="009C22E4">
      <w:pPr>
        <w:spacing w:line="480" w:lineRule="auto"/>
        <w:jc w:val="both"/>
        <w:rPr>
          <w:b/>
          <w:sz w:val="2"/>
          <w:szCs w:val="2"/>
          <w:lang w:val="en-US"/>
        </w:rPr>
      </w:pPr>
      <w:r w:rsidRPr="0026705F">
        <w:rPr>
          <w:noProof/>
          <w:lang w:val="en-US"/>
        </w:rPr>
        <w:lastRenderedPageBreak/>
        <w:drawing>
          <wp:anchor distT="114300" distB="114300" distL="114300" distR="114300" simplePos="0" relativeHeight="251659264" behindDoc="0" locked="0" layoutInCell="1" hidden="0" allowOverlap="1" wp14:anchorId="49B05A6D" wp14:editId="0D89F6A5">
            <wp:simplePos x="0" y="0"/>
            <wp:positionH relativeFrom="column">
              <wp:posOffset>-594359</wp:posOffset>
            </wp:positionH>
            <wp:positionV relativeFrom="paragraph">
              <wp:posOffset>114300</wp:posOffset>
            </wp:positionV>
            <wp:extent cx="7083224" cy="982345"/>
            <wp:effectExtent l="0" t="0" r="0" b="0"/>
            <wp:wrapSquare wrapText="bothSides" distT="114300" distB="114300" distL="114300" distR="114300"/>
            <wp:docPr id="156547106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a:stretch>
                      <a:fillRect/>
                    </a:stretch>
                  </pic:blipFill>
                  <pic:spPr>
                    <a:xfrm>
                      <a:off x="0" y="0"/>
                      <a:ext cx="7083224" cy="982345"/>
                    </a:xfrm>
                    <a:prstGeom prst="rect">
                      <a:avLst/>
                    </a:prstGeom>
                    <a:ln/>
                  </pic:spPr>
                </pic:pic>
              </a:graphicData>
            </a:graphic>
          </wp:anchor>
        </w:drawing>
      </w:r>
      <w:r w:rsidRPr="0026705F">
        <w:rPr>
          <w:b/>
          <w:sz w:val="22"/>
          <w:szCs w:val="22"/>
          <w:lang w:val="en-US"/>
        </w:rPr>
        <w:t xml:space="preserve">Supp. Figure S9. </w:t>
      </w:r>
      <w:r w:rsidRPr="0026705F">
        <w:rPr>
          <w:sz w:val="22"/>
          <w:szCs w:val="22"/>
          <w:lang w:val="en-US"/>
        </w:rPr>
        <w:t xml:space="preserve">Integrated expression of positive and negative fibroblast marker genes in </w:t>
      </w:r>
      <w:r w:rsidR="00812F4D" w:rsidRPr="0026705F">
        <w:rPr>
          <w:sz w:val="22"/>
          <w:szCs w:val="22"/>
          <w:lang w:val="en-US"/>
        </w:rPr>
        <w:t xml:space="preserve">clusters 1-7 of </w:t>
      </w:r>
      <w:r w:rsidRPr="0026705F">
        <w:rPr>
          <w:sz w:val="22"/>
          <w:szCs w:val="22"/>
          <w:lang w:val="en-US"/>
        </w:rPr>
        <w:t xml:space="preserve">dermal fibroblasts from </w:t>
      </w:r>
      <w:r w:rsidR="00812F4D" w:rsidRPr="0026705F">
        <w:rPr>
          <w:sz w:val="22"/>
          <w:szCs w:val="22"/>
          <w:lang w:val="en-US"/>
        </w:rPr>
        <w:t xml:space="preserve">the </w:t>
      </w:r>
      <w:r w:rsidRPr="0026705F">
        <w:rPr>
          <w:sz w:val="22"/>
          <w:szCs w:val="22"/>
          <w:lang w:val="en-US"/>
        </w:rPr>
        <w:t>three individuals</w:t>
      </w:r>
      <w:r w:rsidR="007B06C6" w:rsidRPr="0026705F">
        <w:rPr>
          <w:sz w:val="22"/>
          <w:szCs w:val="22"/>
          <w:lang w:val="en-US"/>
        </w:rPr>
        <w:t xml:space="preserve"> analyzed in this study</w:t>
      </w:r>
      <w:r w:rsidRPr="0026705F">
        <w:rPr>
          <w:sz w:val="22"/>
          <w:szCs w:val="22"/>
          <w:lang w:val="en-US"/>
        </w:rPr>
        <w:t xml:space="preserve">. </w:t>
      </w:r>
    </w:p>
    <w:p w14:paraId="00000232" w14:textId="795AF70E" w:rsidR="007F3335" w:rsidRPr="0026705F" w:rsidRDefault="00BA3DF1" w:rsidP="009C22E4">
      <w:pPr>
        <w:spacing w:line="480" w:lineRule="auto"/>
        <w:jc w:val="both"/>
        <w:rPr>
          <w:b/>
          <w:sz w:val="22"/>
          <w:szCs w:val="22"/>
          <w:highlight w:val="yellow"/>
          <w:lang w:val="en-US"/>
        </w:rPr>
      </w:pPr>
      <w:r w:rsidRPr="0026705F">
        <w:rPr>
          <w:sz w:val="22"/>
          <w:szCs w:val="22"/>
          <w:lang w:val="en-US"/>
        </w:rPr>
        <w:t xml:space="preserve">The values represent the percentage of cells expressing each marker gene based on the list of positive and negative markers </w:t>
      </w:r>
      <w:r w:rsidR="007C54A0" w:rsidRPr="0026705F">
        <w:rPr>
          <w:sz w:val="22"/>
          <w:szCs w:val="22"/>
          <w:lang w:val="en-US"/>
        </w:rPr>
        <w:t xml:space="preserve">described and confirmed in other studies over the years </w:t>
      </w:r>
      <w:r w:rsidR="007C54A0" w:rsidRPr="0026705F">
        <w:rPr>
          <w:sz w:val="22"/>
          <w:szCs w:val="22"/>
          <w:lang w:val="en-US"/>
        </w:rPr>
        <w:fldChar w:fldCharType="begin"/>
      </w:r>
      <w:r w:rsidR="00873504" w:rsidRPr="0026705F">
        <w:rPr>
          <w:sz w:val="22"/>
          <w:szCs w:val="22"/>
          <w:lang w:val="en-US"/>
        </w:rPr>
        <w:instrText xml:space="preserve"> ADDIN ZOTERO_ITEM CSL_CITATION {"citationID":"CxsaLRdq","properties":{"formattedCitation":"[127\\uc0\\u8211{}130]","plainCitation":"[127–130]","noteIndex":0},"citationItems":[{"id":"yYDU4LE6/7Fs9QL91","uris":["http://zotero.org/users/local/FCDre8wk/items/PCDZ77ZG"],"itemData":{"id":1042,"type":"article-journal","abstract":"On the basis of their differential location within the dermis and of discrete changes in gene and protein expression, two major fibroblast subtypes (papillary and reticular) have traditionally been distinguished. In the last 3 years, a number of research groups have begun to address transcriptomic heterogeneity of human skin cells at the single-cell level by determining mRNA levels of expressed genes through single-cell RNA sequencing technologies. However, the outcome of single-cell RNA sequencing studies is thus far confusing. Very little overlap was found in fibroblast subpopulations, which also varied in number and composition in each dataset. After a careful reappraisal of the transcriptomic data of 13,823 human adult dermal fibroblasts that have been sequenced to date, we show that fibroblasts may robustly be assigned to three major types (axes A‒C), which in turn are composed of 10 major subtypes (clusters), which we denominated A1‒A4, B1 and B2, and C1‒C4. These computationally determined axes and clusters represent the major fibroblast types and subtypes in adult healthy human skin across different datasets, accounting for 92.5% of the sequenced fibroblasts. They thus may provide the basis to improve our understanding of dermal homeostasis and cellular function at the transcriptomic level.","container-title":"Journal of Investigative Dermatology","DOI":"10.1016/j.jid.2020.11.028","ISSN":"0022-202X","issue":"7","journalAbbreviation":"Journal of Investigative Dermatology","page":"1735-1744.e35","source":"ScienceDirect","title":"Human Dermal Fibroblast Subpopulations Are Conserved across Single-Cell RNA Sequencing Studies","volume":"141","author":[{"family":"Ascensión","given":"Alex M."},{"family":"Fuertes-Álvarez","given":"Sandra"},{"family":"Ibañez-Solé","given":"Olga"},{"family":"Izeta","given":"Ander"},{"family":"Araúzo-Bravo","given":"Marcos J."}],"issued":{"date-parts":[["2021",7,1]]}}},{"id":"yYDU4LE6/FKTMV5rU","uris":["http://zotero.org/users/local/FCDre8wk/items/832VPD29"],"itemData":{"id":1032,"type":"article-journal","abstract":"Fibroblasts, the principal cell type of connective tissue, secrete extracellular matrix components during tissue development, homeostasis, repair and disease. Despite this crucial role, the identification and distinction of fibroblasts from other cell types are challenging and laden with caveats. Rapid progress in single-cell transcriptomics now yields detailed molecular portraits of fibroblasts and other cell types in our bodies, which complement and enrich classical histological and immunological descriptions, improve cell class definitions and guide further studies on the functional heterogeneity of cell subtypes and states, origins and fates in physiological and pathological processes. In this review, we summarize and discuss recent advances in the understanding of fibroblast identification and heterogeneity and how they discriminate from other cell types.","container-title":"Nature Communications","DOI":"10.1038/s41467-022-30633-9","ISSN":"2041-1723","issue":"1","journalAbbreviation":"Nat Commun","language":"en","license":"2022 The Author(s)","note":"number: 1\npublisher: Nature Publishing Group","page":"3409","source":"www.nature.com","title":"Identification, discrimination and heterogeneity of fibroblasts","volume":"13","author":[{"family":"Lendahl","given":"Urban"},{"family":"Muhl","given":"Lars"},{"family":"Betsholtz","given":"Christer"}],"issued":{"date-parts":[["2022",6,14]]}},"label":"page"},{"id":"yYDU4LE6/IsDcpSW9","uris":["http://zotero.org/users/local/FCDre8wk/items/MZK5UPZV"],"itemData":{"id":1037,"type":"article-journal","abstract":"Expression of 20 surface markers was analyzed in cultures of mesenchymal stromal cells of the umbilical cord, fibroblasts from adult and fetal human skin, and fi broblast-like cells of fetal liver was analyzed by fl ow cytometry. The studied cultures did not express hemopoietic cells markers, but were positive for CD73, CD90, and CD105 markers recommended by the International Society of Cell Therapy for the identifi cation of the multipotent mesenchymal stromal cells. Fetal liver fi broblast-like cells were positive for CD54; this marker was absent in skin fi broblast cultures, but was expressed by umbilical cord mesenchymal stromal cells. Further study of these cells revealed a minor subpopulation of cells co-expressing CD24 and CD90 or CD24 and CD54. We hypothesized that these cells probably participate in epithelial mesenchymal transition.","container-title":"Bulletin of Experimental Biology and Medicine","DOI":"10.1007/s10517-015-2803-2","ISSN":"1573-8221","issue":"4","journalAbbreviation":"Bull Exp Biol Med","language":"en","page":"537-543","source":"Springer Link","title":"Comparative Analysis of the Expression of Surface Markers on Fibroblasts and Fibroblast-Like Cells Isolated from Different Human Tissues","volume":"158","author":[{"family":"Lupatov","given":"A. Yu."},{"family":"Vdovin","given":"A. S."},{"family":"Vakhrushev","given":"I. V."},{"family":"Poltavtseva","given":"R. A."},{"family":"Yarygin","given":"K. N."}],"issued":{"date-parts":[["2015",2,1]]}}},{"id":"yYDU4LE6/Zm2MMGi5","uris":["http://zotero.org/users/local/FCDre8wk/items/CB9K9N7E"],"itemData":{"id":1039,"type":"article-journal","abstract":"Fibroblasts are diverse mesenchymal cells that participate in tissue homeostasis and disease by producing complex extracellular matrix and creating signaling niches through biophysical and biochemical cues. Transcriptionally and functionally heterogeneous across and within organs, fibroblasts encode regional positional information and maintain distinct cellular progeny. We summarize their development, lineages, functions, and contributions to fibrosis in four fibroblast-rich organs: skin, lung, skeletal muscle, and heart. We propose that fibroblasts are uniquely poised for tissue repair by easily reentering the cell cycle and exhibiting a reversible plasticity in phenotype and cell fate. These properties, when aberrantly activated, drive fibrotic disorders in humans., A detailed mechanistic, molecular and functional view of the commonalities and organ-specific features of fibroblasts in both health and disease is just beginning to emerge.","container-title":"Cell","DOI":"10.1016/j.cell.2021.06.024","ISSN":"0092-8674","issue":"15","journalAbbreviation":"Cell","note":"PMID: 34297930\nPMCID: PMC8566693","page":"3852-3872","source":"PubMed Central","title":"Fibroblasts: origins, definitions, and functions in health and disease","title-short":"Fibroblasts","volume":"184","author":[{"family":"Plikus","given":"Maksim V."},{"family":"Wang","given":"Xiaojie"},{"family":"Sinha","given":"Sarthak"},{"family":"Forte","given":"Elvira"},{"family":"Thompson","given":"Sean M."},{"family":"Herzog","given":"Erica L."},{"family":"Driskell","given":"Ryan R."},{"family":"Rosenthal","given":"Nadia"},{"family":"Biernaskie","given":"Jeff"},{"family":"Horsley","given":"Valerie"}],"issued":{"date-parts":[["2021",7,22]]}}}],"schema":"https://github.com/citation-style-language/schema/raw/master/csl-citation.json"} </w:instrText>
      </w:r>
      <w:r w:rsidR="007C54A0" w:rsidRPr="0026705F">
        <w:rPr>
          <w:sz w:val="22"/>
          <w:szCs w:val="22"/>
          <w:lang w:val="en-US"/>
        </w:rPr>
        <w:fldChar w:fldCharType="separate"/>
      </w:r>
      <w:r w:rsidR="00873504" w:rsidRPr="0026705F">
        <w:rPr>
          <w:sz w:val="22"/>
          <w:lang w:val="en-US"/>
        </w:rPr>
        <w:t>[127–130]</w:t>
      </w:r>
      <w:r w:rsidR="007C54A0" w:rsidRPr="0026705F">
        <w:rPr>
          <w:sz w:val="22"/>
          <w:szCs w:val="22"/>
          <w:lang w:val="en-US"/>
        </w:rPr>
        <w:fldChar w:fldCharType="end"/>
      </w:r>
      <w:r w:rsidR="007C54A0" w:rsidRPr="0026705F">
        <w:rPr>
          <w:sz w:val="22"/>
          <w:szCs w:val="22"/>
          <w:lang w:val="en-US"/>
        </w:rPr>
        <w:t xml:space="preserve">. </w:t>
      </w:r>
      <w:sdt>
        <w:sdtPr>
          <w:rPr>
            <w:lang w:val="en-US"/>
          </w:rPr>
          <w:tag w:val="goog_rdk_10"/>
          <w:id w:val="-169256597"/>
        </w:sdtPr>
        <w:sdtContent/>
      </w:sdt>
    </w:p>
    <w:p w14:paraId="00000233" w14:textId="77777777" w:rsidR="007F3335" w:rsidRPr="0026705F" w:rsidRDefault="00BA3DF1" w:rsidP="009C22E4">
      <w:pPr>
        <w:spacing w:line="480" w:lineRule="auto"/>
        <w:jc w:val="both"/>
        <w:rPr>
          <w:i/>
          <w:sz w:val="18"/>
          <w:szCs w:val="18"/>
          <w:lang w:val="en-US"/>
        </w:rPr>
      </w:pPr>
      <w:r w:rsidRPr="0026705F">
        <w:rPr>
          <w:i/>
          <w:sz w:val="18"/>
          <w:szCs w:val="18"/>
          <w:lang w:val="en-US"/>
        </w:rPr>
        <w:t xml:space="preserve">Positive fibroblast marker genes: </w:t>
      </w:r>
    </w:p>
    <w:p w14:paraId="00000235" w14:textId="788268F7" w:rsidR="007F3335" w:rsidRPr="0026705F" w:rsidRDefault="00BA3DF1" w:rsidP="009C22E4">
      <w:pPr>
        <w:spacing w:line="480" w:lineRule="auto"/>
        <w:jc w:val="both"/>
        <w:rPr>
          <w:sz w:val="18"/>
          <w:szCs w:val="18"/>
          <w:lang w:val="en-US"/>
        </w:rPr>
      </w:pPr>
      <w:r w:rsidRPr="0026705F">
        <w:rPr>
          <w:i/>
          <w:sz w:val="18"/>
          <w:szCs w:val="18"/>
          <w:lang w:val="en-US"/>
        </w:rPr>
        <w:t>S100A4</w:t>
      </w:r>
      <w:r w:rsidRPr="0026705F">
        <w:rPr>
          <w:sz w:val="18"/>
          <w:szCs w:val="18"/>
          <w:lang w:val="en-US"/>
        </w:rPr>
        <w:t xml:space="preserve"> (MIM *131195) - alternative symbol </w:t>
      </w:r>
      <w:r w:rsidRPr="0026705F">
        <w:rPr>
          <w:i/>
          <w:sz w:val="18"/>
          <w:szCs w:val="18"/>
          <w:lang w:val="en-US"/>
        </w:rPr>
        <w:t xml:space="preserve">CAPL &amp; FSP1; FGF2 </w:t>
      </w:r>
      <w:r w:rsidRPr="0026705F">
        <w:rPr>
          <w:sz w:val="18"/>
          <w:szCs w:val="18"/>
          <w:lang w:val="en-US"/>
        </w:rPr>
        <w:t xml:space="preserve">(MIM *134920); </w:t>
      </w:r>
      <w:r w:rsidRPr="0026705F">
        <w:rPr>
          <w:i/>
          <w:sz w:val="18"/>
          <w:szCs w:val="18"/>
          <w:lang w:val="en-US"/>
        </w:rPr>
        <w:t>FGFR1</w:t>
      </w:r>
      <w:r w:rsidRPr="0026705F">
        <w:rPr>
          <w:sz w:val="18"/>
          <w:szCs w:val="18"/>
          <w:lang w:val="en-US"/>
        </w:rPr>
        <w:t xml:space="preserve"> (MIM *136350); </w:t>
      </w:r>
      <w:r w:rsidRPr="0026705F">
        <w:rPr>
          <w:i/>
          <w:sz w:val="18"/>
          <w:szCs w:val="18"/>
          <w:lang w:val="en-US"/>
        </w:rPr>
        <w:t>FAP</w:t>
      </w:r>
      <w:r w:rsidRPr="0026705F">
        <w:rPr>
          <w:sz w:val="18"/>
          <w:szCs w:val="18"/>
          <w:lang w:val="en-US"/>
        </w:rPr>
        <w:t xml:space="preserve"> (MIM *600403); </w:t>
      </w:r>
      <w:r w:rsidRPr="0026705F">
        <w:rPr>
          <w:i/>
          <w:sz w:val="18"/>
          <w:szCs w:val="18"/>
          <w:lang w:val="en-US"/>
        </w:rPr>
        <w:t>THY1</w:t>
      </w:r>
      <w:r w:rsidRPr="0026705F">
        <w:rPr>
          <w:sz w:val="18"/>
          <w:szCs w:val="18"/>
          <w:lang w:val="en-US"/>
        </w:rPr>
        <w:t xml:space="preserve"> (MIM *188230) - alternative symbol CD90; </w:t>
      </w:r>
      <w:r w:rsidRPr="0026705F">
        <w:rPr>
          <w:i/>
          <w:sz w:val="18"/>
          <w:szCs w:val="18"/>
          <w:lang w:val="en-US"/>
        </w:rPr>
        <w:t>PDGFRA</w:t>
      </w:r>
      <w:r w:rsidRPr="0026705F">
        <w:rPr>
          <w:sz w:val="18"/>
          <w:szCs w:val="18"/>
          <w:lang w:val="en-US"/>
        </w:rPr>
        <w:t xml:space="preserve"> (MIM *173490); </w:t>
      </w:r>
      <w:r w:rsidRPr="0026705F">
        <w:rPr>
          <w:i/>
          <w:sz w:val="18"/>
          <w:szCs w:val="18"/>
          <w:lang w:val="en-US"/>
        </w:rPr>
        <w:t>PDGFRB</w:t>
      </w:r>
      <w:r w:rsidRPr="0026705F">
        <w:rPr>
          <w:sz w:val="18"/>
          <w:szCs w:val="18"/>
          <w:lang w:val="en-US"/>
        </w:rPr>
        <w:t xml:space="preserve"> (MIM *173410);</w:t>
      </w:r>
      <w:r w:rsidRPr="0026705F">
        <w:rPr>
          <w:i/>
          <w:sz w:val="18"/>
          <w:szCs w:val="18"/>
          <w:lang w:val="en-US"/>
        </w:rPr>
        <w:t xml:space="preserve"> FN1</w:t>
      </w:r>
      <w:r w:rsidRPr="0026705F">
        <w:rPr>
          <w:sz w:val="18"/>
          <w:szCs w:val="18"/>
          <w:lang w:val="en-US"/>
        </w:rPr>
        <w:t xml:space="preserve"> (MIM *135600); </w:t>
      </w:r>
      <w:r w:rsidRPr="0026705F">
        <w:rPr>
          <w:i/>
          <w:sz w:val="18"/>
          <w:szCs w:val="18"/>
          <w:lang w:val="en-US"/>
        </w:rPr>
        <w:t>POSTN</w:t>
      </w:r>
      <w:r w:rsidRPr="0026705F">
        <w:rPr>
          <w:sz w:val="18"/>
          <w:szCs w:val="18"/>
          <w:lang w:val="en-US"/>
        </w:rPr>
        <w:t xml:space="preserve"> (MIM *608777); </w:t>
      </w:r>
      <w:r w:rsidRPr="0026705F">
        <w:rPr>
          <w:i/>
          <w:sz w:val="18"/>
          <w:szCs w:val="18"/>
          <w:lang w:val="en-US"/>
        </w:rPr>
        <w:t>DCN</w:t>
      </w:r>
      <w:r w:rsidRPr="0026705F">
        <w:rPr>
          <w:sz w:val="18"/>
          <w:szCs w:val="18"/>
          <w:lang w:val="en-US"/>
        </w:rPr>
        <w:t xml:space="preserve"> (MIM *125255); </w:t>
      </w:r>
      <w:r w:rsidRPr="0026705F">
        <w:rPr>
          <w:i/>
          <w:sz w:val="18"/>
          <w:szCs w:val="18"/>
          <w:lang w:val="en-US"/>
        </w:rPr>
        <w:t xml:space="preserve">FBLN2 </w:t>
      </w:r>
      <w:r w:rsidRPr="0026705F">
        <w:rPr>
          <w:sz w:val="18"/>
          <w:szCs w:val="18"/>
          <w:lang w:val="en-US"/>
        </w:rPr>
        <w:t xml:space="preserve">(MIM *135821); </w:t>
      </w:r>
      <w:r w:rsidRPr="0026705F">
        <w:rPr>
          <w:i/>
          <w:sz w:val="18"/>
          <w:szCs w:val="18"/>
          <w:lang w:val="en-US"/>
        </w:rPr>
        <w:t xml:space="preserve">COL1A1 </w:t>
      </w:r>
      <w:r w:rsidRPr="0026705F">
        <w:rPr>
          <w:sz w:val="18"/>
          <w:szCs w:val="18"/>
          <w:lang w:val="en-US"/>
        </w:rPr>
        <w:t xml:space="preserve">(MIM *120150); </w:t>
      </w:r>
      <w:r w:rsidRPr="0026705F">
        <w:rPr>
          <w:i/>
          <w:sz w:val="18"/>
          <w:szCs w:val="18"/>
          <w:lang w:val="en-US"/>
        </w:rPr>
        <w:t xml:space="preserve">COL1A2 </w:t>
      </w:r>
      <w:r w:rsidRPr="0026705F">
        <w:rPr>
          <w:sz w:val="18"/>
          <w:szCs w:val="18"/>
          <w:lang w:val="en-US"/>
        </w:rPr>
        <w:t xml:space="preserve">(MIM *120160); </w:t>
      </w:r>
      <w:r w:rsidRPr="0026705F">
        <w:rPr>
          <w:i/>
          <w:sz w:val="18"/>
          <w:szCs w:val="18"/>
          <w:lang w:val="en-US"/>
        </w:rPr>
        <w:t>COL3A1</w:t>
      </w:r>
      <w:r w:rsidRPr="0026705F">
        <w:rPr>
          <w:sz w:val="18"/>
          <w:szCs w:val="18"/>
          <w:lang w:val="en-US"/>
        </w:rPr>
        <w:t xml:space="preserve"> (MIM *120180); </w:t>
      </w:r>
      <w:r w:rsidRPr="0026705F">
        <w:rPr>
          <w:i/>
          <w:sz w:val="18"/>
          <w:szCs w:val="18"/>
          <w:lang w:val="en-US"/>
        </w:rPr>
        <w:t xml:space="preserve">COL6A1 </w:t>
      </w:r>
      <w:r w:rsidRPr="0026705F">
        <w:rPr>
          <w:sz w:val="18"/>
          <w:szCs w:val="18"/>
          <w:lang w:val="en-US"/>
        </w:rPr>
        <w:t xml:space="preserve">(MIM *120220); </w:t>
      </w:r>
      <w:r w:rsidRPr="0026705F">
        <w:rPr>
          <w:i/>
          <w:sz w:val="18"/>
          <w:szCs w:val="18"/>
          <w:lang w:val="en-US"/>
        </w:rPr>
        <w:t>COL6A3</w:t>
      </w:r>
      <w:r w:rsidRPr="0026705F">
        <w:rPr>
          <w:sz w:val="18"/>
          <w:szCs w:val="18"/>
          <w:lang w:val="en-US"/>
        </w:rPr>
        <w:t xml:space="preserve"> (MIM *120250); </w:t>
      </w:r>
      <w:r w:rsidRPr="0026705F">
        <w:rPr>
          <w:i/>
          <w:sz w:val="18"/>
          <w:szCs w:val="18"/>
          <w:lang w:val="en-US"/>
        </w:rPr>
        <w:t>VIM</w:t>
      </w:r>
      <w:r w:rsidRPr="0026705F">
        <w:rPr>
          <w:sz w:val="18"/>
          <w:szCs w:val="18"/>
          <w:lang w:val="en-US"/>
        </w:rPr>
        <w:t xml:space="preserve"> (MIM *193060); </w:t>
      </w:r>
      <w:r w:rsidRPr="0026705F">
        <w:rPr>
          <w:i/>
          <w:sz w:val="18"/>
          <w:szCs w:val="18"/>
          <w:lang w:val="en-US"/>
        </w:rPr>
        <w:t xml:space="preserve">CALD1 </w:t>
      </w:r>
      <w:r w:rsidRPr="0026705F">
        <w:rPr>
          <w:sz w:val="18"/>
          <w:szCs w:val="18"/>
          <w:lang w:val="en-US"/>
        </w:rPr>
        <w:t xml:space="preserve">(MIM *114213); </w:t>
      </w:r>
      <w:r w:rsidRPr="0026705F">
        <w:rPr>
          <w:i/>
          <w:sz w:val="18"/>
          <w:szCs w:val="18"/>
          <w:lang w:val="en-US"/>
        </w:rPr>
        <w:t>ACTA2</w:t>
      </w:r>
      <w:r w:rsidRPr="0026705F">
        <w:rPr>
          <w:sz w:val="18"/>
          <w:szCs w:val="18"/>
          <w:lang w:val="en-US"/>
        </w:rPr>
        <w:t xml:space="preserve"> (MIM *102620). </w:t>
      </w:r>
    </w:p>
    <w:p w14:paraId="00000236" w14:textId="77777777" w:rsidR="007F3335" w:rsidRPr="0026705F" w:rsidRDefault="00BA3DF1" w:rsidP="009C22E4">
      <w:pPr>
        <w:spacing w:line="480" w:lineRule="auto"/>
        <w:jc w:val="both"/>
        <w:rPr>
          <w:i/>
          <w:sz w:val="18"/>
          <w:szCs w:val="18"/>
          <w:lang w:val="en-US"/>
        </w:rPr>
      </w:pPr>
      <w:r w:rsidRPr="0026705F">
        <w:rPr>
          <w:i/>
          <w:sz w:val="18"/>
          <w:szCs w:val="18"/>
          <w:lang w:val="en-US"/>
        </w:rPr>
        <w:t xml:space="preserve">Negative  fibroblast marker genes: </w:t>
      </w:r>
    </w:p>
    <w:p w14:paraId="6C390E2A" w14:textId="77777777" w:rsidR="009C22E4" w:rsidRPr="0026705F" w:rsidRDefault="00BA3DF1" w:rsidP="009C22E4">
      <w:pPr>
        <w:spacing w:line="480" w:lineRule="auto"/>
        <w:jc w:val="both"/>
        <w:rPr>
          <w:sz w:val="18"/>
          <w:szCs w:val="18"/>
          <w:lang w:val="en-US"/>
        </w:rPr>
      </w:pPr>
      <w:r w:rsidRPr="0026705F">
        <w:rPr>
          <w:i/>
          <w:sz w:val="18"/>
          <w:szCs w:val="18"/>
          <w:lang w:val="en-US"/>
        </w:rPr>
        <w:t>FGFR2</w:t>
      </w:r>
      <w:r w:rsidRPr="0026705F">
        <w:rPr>
          <w:sz w:val="18"/>
          <w:szCs w:val="18"/>
          <w:lang w:val="en-US"/>
        </w:rPr>
        <w:t xml:space="preserve"> (MIM *176943); </w:t>
      </w:r>
      <w:r w:rsidRPr="0026705F">
        <w:rPr>
          <w:i/>
          <w:sz w:val="18"/>
          <w:szCs w:val="18"/>
          <w:lang w:val="en-US"/>
        </w:rPr>
        <w:t xml:space="preserve">FGFR3 </w:t>
      </w:r>
      <w:r w:rsidRPr="0026705F">
        <w:rPr>
          <w:sz w:val="18"/>
          <w:szCs w:val="18"/>
          <w:lang w:val="en-US"/>
        </w:rPr>
        <w:t xml:space="preserve">(MIM *134934); </w:t>
      </w:r>
      <w:r w:rsidRPr="0026705F">
        <w:rPr>
          <w:i/>
          <w:sz w:val="18"/>
          <w:szCs w:val="18"/>
          <w:lang w:val="en-US"/>
        </w:rPr>
        <w:t>SMTN</w:t>
      </w:r>
      <w:r w:rsidRPr="0026705F">
        <w:rPr>
          <w:sz w:val="18"/>
          <w:szCs w:val="18"/>
          <w:lang w:val="en-US"/>
        </w:rPr>
        <w:t xml:space="preserve"> (MIM *602127).</w:t>
      </w:r>
    </w:p>
    <w:p w14:paraId="791F2243" w14:textId="77777777" w:rsidR="009C22E4" w:rsidRPr="0026705F" w:rsidRDefault="009C22E4" w:rsidP="009C22E4">
      <w:pPr>
        <w:spacing w:line="480" w:lineRule="auto"/>
        <w:jc w:val="both"/>
        <w:rPr>
          <w:sz w:val="18"/>
          <w:szCs w:val="18"/>
          <w:lang w:val="en-US"/>
        </w:rPr>
      </w:pPr>
    </w:p>
    <w:p w14:paraId="41628E48" w14:textId="77777777" w:rsidR="009C22E4" w:rsidRPr="0026705F" w:rsidRDefault="009C22E4" w:rsidP="009C22E4">
      <w:pPr>
        <w:spacing w:line="480" w:lineRule="auto"/>
        <w:jc w:val="both"/>
        <w:rPr>
          <w:sz w:val="18"/>
          <w:szCs w:val="18"/>
          <w:lang w:val="en-US"/>
        </w:rPr>
      </w:pPr>
    </w:p>
    <w:p w14:paraId="334F87D1" w14:textId="77777777" w:rsidR="009C22E4" w:rsidRPr="0026705F" w:rsidRDefault="009C22E4" w:rsidP="009C22E4">
      <w:pPr>
        <w:spacing w:line="480" w:lineRule="auto"/>
        <w:jc w:val="both"/>
        <w:rPr>
          <w:sz w:val="18"/>
          <w:szCs w:val="18"/>
          <w:lang w:val="en-US"/>
        </w:rPr>
      </w:pPr>
    </w:p>
    <w:p w14:paraId="0F1B9B62" w14:textId="77777777" w:rsidR="009C22E4" w:rsidRPr="0026705F" w:rsidRDefault="009C22E4" w:rsidP="009C22E4">
      <w:pPr>
        <w:spacing w:line="480" w:lineRule="auto"/>
        <w:jc w:val="both"/>
        <w:rPr>
          <w:sz w:val="18"/>
          <w:szCs w:val="18"/>
          <w:lang w:val="en-US"/>
        </w:rPr>
      </w:pPr>
    </w:p>
    <w:p w14:paraId="7919886E" w14:textId="77777777" w:rsidR="009C22E4" w:rsidRPr="0026705F" w:rsidRDefault="009C22E4" w:rsidP="009C22E4">
      <w:pPr>
        <w:spacing w:line="480" w:lineRule="auto"/>
        <w:jc w:val="both"/>
        <w:rPr>
          <w:sz w:val="18"/>
          <w:szCs w:val="18"/>
          <w:lang w:val="en-US"/>
        </w:rPr>
      </w:pPr>
    </w:p>
    <w:p w14:paraId="4DA7436E" w14:textId="77777777" w:rsidR="009C22E4" w:rsidRPr="0026705F" w:rsidRDefault="009C22E4" w:rsidP="009C22E4">
      <w:pPr>
        <w:spacing w:line="480" w:lineRule="auto"/>
        <w:jc w:val="both"/>
        <w:rPr>
          <w:sz w:val="18"/>
          <w:szCs w:val="18"/>
          <w:lang w:val="en-US"/>
        </w:rPr>
      </w:pPr>
    </w:p>
    <w:p w14:paraId="565CD2F5" w14:textId="77777777" w:rsidR="009C22E4" w:rsidRPr="0026705F" w:rsidRDefault="009C22E4" w:rsidP="009C22E4">
      <w:pPr>
        <w:spacing w:line="480" w:lineRule="auto"/>
        <w:jc w:val="both"/>
        <w:rPr>
          <w:sz w:val="18"/>
          <w:szCs w:val="18"/>
          <w:lang w:val="en-US"/>
        </w:rPr>
      </w:pPr>
    </w:p>
    <w:p w14:paraId="0B4991C0" w14:textId="77777777" w:rsidR="009C22E4" w:rsidRPr="0026705F" w:rsidRDefault="009C22E4" w:rsidP="009C22E4">
      <w:pPr>
        <w:spacing w:line="480" w:lineRule="auto"/>
        <w:jc w:val="both"/>
        <w:rPr>
          <w:sz w:val="18"/>
          <w:szCs w:val="18"/>
          <w:lang w:val="en-US"/>
        </w:rPr>
      </w:pPr>
    </w:p>
    <w:p w14:paraId="36A9C762" w14:textId="77777777" w:rsidR="009C22E4" w:rsidRPr="0026705F" w:rsidRDefault="009C22E4" w:rsidP="009C22E4">
      <w:pPr>
        <w:spacing w:line="480" w:lineRule="auto"/>
        <w:jc w:val="both"/>
        <w:rPr>
          <w:sz w:val="18"/>
          <w:szCs w:val="18"/>
          <w:lang w:val="en-US"/>
        </w:rPr>
      </w:pPr>
    </w:p>
    <w:p w14:paraId="45F44F37" w14:textId="77777777" w:rsidR="009C22E4" w:rsidRPr="0026705F" w:rsidRDefault="009C22E4" w:rsidP="009C22E4">
      <w:pPr>
        <w:spacing w:line="480" w:lineRule="auto"/>
        <w:jc w:val="both"/>
        <w:rPr>
          <w:sz w:val="18"/>
          <w:szCs w:val="18"/>
          <w:lang w:val="en-US"/>
        </w:rPr>
      </w:pPr>
    </w:p>
    <w:p w14:paraId="00000239" w14:textId="530AB434" w:rsidR="007F3335" w:rsidRPr="0026705F" w:rsidRDefault="00BA3DF1" w:rsidP="009C22E4">
      <w:pPr>
        <w:spacing w:line="480" w:lineRule="auto"/>
        <w:jc w:val="both"/>
        <w:rPr>
          <w:sz w:val="18"/>
          <w:szCs w:val="18"/>
          <w:lang w:val="en-US"/>
        </w:rPr>
      </w:pPr>
      <w:r w:rsidRPr="0026705F">
        <w:rPr>
          <w:noProof/>
          <w:lang w:val="en-US"/>
        </w:rPr>
        <w:lastRenderedPageBreak/>
        <w:drawing>
          <wp:anchor distT="114300" distB="114300" distL="114300" distR="114300" simplePos="0" relativeHeight="251660288" behindDoc="0" locked="0" layoutInCell="1" hidden="0" allowOverlap="1" wp14:anchorId="00C7D2C4" wp14:editId="0CED4CDF">
            <wp:simplePos x="0" y="0"/>
            <wp:positionH relativeFrom="column">
              <wp:posOffset>-304799</wp:posOffset>
            </wp:positionH>
            <wp:positionV relativeFrom="paragraph">
              <wp:posOffset>160893</wp:posOffset>
            </wp:positionV>
            <wp:extent cx="6412158" cy="1028065"/>
            <wp:effectExtent l="0" t="0" r="0" b="0"/>
            <wp:wrapSquare wrapText="bothSides" distT="114300" distB="114300" distL="114300" distR="114300"/>
            <wp:docPr id="156547106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6"/>
                    <a:srcRect/>
                    <a:stretch>
                      <a:fillRect/>
                    </a:stretch>
                  </pic:blipFill>
                  <pic:spPr>
                    <a:xfrm>
                      <a:off x="0" y="0"/>
                      <a:ext cx="6412158" cy="1028065"/>
                    </a:xfrm>
                    <a:prstGeom prst="rect">
                      <a:avLst/>
                    </a:prstGeom>
                    <a:ln/>
                  </pic:spPr>
                </pic:pic>
              </a:graphicData>
            </a:graphic>
          </wp:anchor>
        </w:drawing>
      </w:r>
      <w:r w:rsidRPr="0026705F">
        <w:rPr>
          <w:b/>
          <w:sz w:val="22"/>
          <w:szCs w:val="22"/>
          <w:lang w:val="en-US"/>
        </w:rPr>
        <w:t xml:space="preserve">Supp. Figure S10. </w:t>
      </w:r>
      <w:r w:rsidRPr="0026705F">
        <w:rPr>
          <w:sz w:val="22"/>
          <w:szCs w:val="22"/>
          <w:lang w:val="en-US"/>
        </w:rPr>
        <w:t xml:space="preserve">Integrated expression of positive and negative stem/stromal marker genes in </w:t>
      </w:r>
      <w:r w:rsidR="00BB73DF" w:rsidRPr="0026705F">
        <w:rPr>
          <w:sz w:val="22"/>
          <w:szCs w:val="22"/>
          <w:lang w:val="en-US"/>
        </w:rPr>
        <w:t xml:space="preserve">clusters 1-7 of </w:t>
      </w:r>
      <w:r w:rsidRPr="0026705F">
        <w:rPr>
          <w:sz w:val="22"/>
          <w:szCs w:val="22"/>
          <w:lang w:val="en-US"/>
        </w:rPr>
        <w:t xml:space="preserve">dermal fibroblasts from </w:t>
      </w:r>
      <w:r w:rsidR="00BB73DF" w:rsidRPr="0026705F">
        <w:rPr>
          <w:sz w:val="22"/>
          <w:szCs w:val="22"/>
          <w:lang w:val="en-US"/>
        </w:rPr>
        <w:t xml:space="preserve">the </w:t>
      </w:r>
      <w:r w:rsidRPr="0026705F">
        <w:rPr>
          <w:sz w:val="22"/>
          <w:szCs w:val="22"/>
          <w:lang w:val="en-US"/>
        </w:rPr>
        <w:t>three individuals</w:t>
      </w:r>
      <w:r w:rsidR="007B06C6" w:rsidRPr="0026705F">
        <w:rPr>
          <w:sz w:val="22"/>
          <w:szCs w:val="22"/>
          <w:lang w:val="en-US"/>
        </w:rPr>
        <w:t xml:space="preserve"> analyzed in this study</w:t>
      </w:r>
      <w:r w:rsidRPr="0026705F">
        <w:rPr>
          <w:sz w:val="22"/>
          <w:szCs w:val="22"/>
          <w:lang w:val="en-US"/>
        </w:rPr>
        <w:t xml:space="preserve">. </w:t>
      </w:r>
    </w:p>
    <w:p w14:paraId="0000023B" w14:textId="5E2CC277" w:rsidR="007F3335" w:rsidRPr="0026705F" w:rsidRDefault="00BA3DF1" w:rsidP="009C22E4">
      <w:pPr>
        <w:spacing w:line="480" w:lineRule="auto"/>
        <w:jc w:val="both"/>
        <w:rPr>
          <w:sz w:val="22"/>
          <w:szCs w:val="22"/>
          <w:highlight w:val="yellow"/>
          <w:lang w:val="en-US"/>
        </w:rPr>
      </w:pPr>
      <w:r w:rsidRPr="0026705F">
        <w:rPr>
          <w:sz w:val="22"/>
          <w:szCs w:val="22"/>
          <w:lang w:val="en-US"/>
        </w:rPr>
        <w:t xml:space="preserve">The values represent the percentage of cells expressing each marker gene based on the list of positive and negative markers recommended by the International Federation for Adipose Therapeutics and Science (IFATS) and the International Society for Cellular Therapy (ISCT) </w:t>
      </w:r>
      <w:r w:rsidR="00CE142F" w:rsidRPr="0026705F">
        <w:rPr>
          <w:sz w:val="22"/>
          <w:szCs w:val="22"/>
          <w:lang w:val="en-US"/>
        </w:rPr>
        <w:fldChar w:fldCharType="begin"/>
      </w:r>
      <w:r w:rsidR="00873504" w:rsidRPr="0026705F">
        <w:rPr>
          <w:sz w:val="22"/>
          <w:szCs w:val="22"/>
          <w:lang w:val="en-US"/>
        </w:rPr>
        <w:instrText xml:space="preserve"> ADDIN ZOTERO_ITEM CSL_CITATION {"citationID":"SobqAX9o","properties":{"formattedCitation":"[123\\uc0\\u8211{}126]","plainCitation":"[123–126]","noteIndex":0},"citationItems":[{"id":"yYDU4LE6/Iw96J2gu","uris":["http://zotero.org/users/local/FCDre8wk/items/NQR4KUHM"],"itemData":{"id":682,"type":"article-journal","abstract":"BACKGROUND AIMS: Adipose tissue is a rich and very convenient source of cells for regenerative medicine therapeutic approaches. However, a characterization of the population of adipose-derived stromal and stem cells (ASCs) with the greatest therapeutic potential remains unclear. Under the authority of International Federation of Adipose Therapeutics and International Society for Cellular Therapy, this paper sets out to establish minimal definitions of stromal cells both as uncultured stromal vascular fraction (SVF) and as an adherent stromal/stem cells population.\nMETHODS: Phenotypic and functional criteria for the identification of adipose-derived cells were drawn from the literature.\nRESULTS: In the SVF, cells are identified phenotypically by the following markers: CD45-CD235a-CD31-CD34+. Added value may be provided by both a viability marker and the following surface antigens: CD13, CD73, CD90 and CD105. The fibroblastoid colony-forming unit assay permits the evaluation of progenitor frequency in the SVF population. In culture, ASCs retain markers in common with other mesenchymal stromal/stem cells (MSCs), including CD90, CD73, CD105, and CD44 and remain negative for CD45 and CD31. They can be distinguished from bone-marrow-derived MSCs by their positivity for CD36 and negativity for CD106. The CFU-F assay is recommended to calculate population doublings capacity of ASCs. The adipocytic, chondroblastic and osteoblastic differentiation assays serve to complete the cell identification and potency assessment in conjunction with a quantitative evaluation of the differentiation either biochemically or by reverse transcription polymerase chain reaction.\nCONCLUSIONS: The goal of this paper is to provide initial guidance for the scientific community working with adipose-derived cells and to facilitate development of international standards based on reproducible parameters.","container-title":"Cytotherapy","DOI":"10.1016/j.jcyt.2013.02.006","ISSN":"1477-2566","issue":"6","journalAbbreviation":"Cytotherapy","language":"eng","note":"PMID: 23570660\nPMCID: PMC3979435","page":"641-648","source":"PubMed","title":"Stromal cells from the adipose tissue-derived stromal vascular fraction and culture expanded adipose tissue-derived stromal/stem cells: a joint statement of the International Federation for Adipose Therapeutics and Science (IFATS) and the International Society for Cellular Therapy (ISCT)","title-short":"Stromal cells from the adipose tissue-derived stromal vascular fraction and culture expanded adipose tissue-derived stromal/stem cells","volume":"15","author":[{"family":"Bourin","given":"Philippe"},{"family":"Bunnell","given":"Bruce A."},{"family":"Casteilla","given":"Louis"},{"family":"Dominici","given":"Massimo"},{"family":"Katz","given":"Adam J."},{"family":"March","given":"Keith L."},{"family":"Redl","given":"Heinz"},{"family":"Rubin","given":"J. Peter"},{"family":"Yoshimura","given":"Kotaro"},{"family":"Gimble","given":"Jeffrey M."}],"issued":{"date-parts":[["2013",6]]}}},{"id":"yYDU4LE6/b9zF7LnA","uris":["http://zotero.org/users/local/FCDre8wk/items/BCIKSN8M"],"itemData":{"id":675,"type":"article-journal","abstract":"The considerable therapeutic potential of human multipotent mesenchymal stromal cells (MSC) has generated markedly increasing interest in a wide variety of biomedical disciplines. However, investigators report studies of MSC using different methods of isolation and expansion, and different approaches to characterizing the cells. Thus it is increasingly difficult to compare and contrast study outcomes, which hinders progress in the field. To begin to address this issue, the Mesenchymal and Tissue Stem Cell Committee of the International Society for Cellular Therapy proposes minimal criteria to define human MSC. First, MSC must be plastic-adherent when maintained in standard culture conditions. Second, MSC must express CD105, CD73 and CD90, and lack expression of CD45, CD34, CD14 or CD11b, CD79alpha or CD19 and HLA-DR surface molecules. Third, MSC must differentiate to osteoblasts, adipocytes and chondroblasts in vitro. While these criteria will probably require modification as new knowledge unfolds, we believe this minimal set of standard criteria will foster a more uniform characterization of MSC and facilitate the exchange of data among investigators.","container-title":"Cytotherapy","DOI":"10.1080/14653240600855905","ISSN":"1465-3249","issue":"4","journalAbbreviation":"Cytotherapy","language":"eng","note":"PMID: 16923606","page":"315-317","source":"PubMed","title":"Minimal criteria for defining multipotent mesenchymal stromal cells. The International Society for Cellular Therapy position statement","volume":"8","author":[{"family":"Dominici","given":"M."},{"family":"Le Blanc","given":"K."},{"family":"Mueller","given":"I."},{"family":"Slaper-Cortenbach","given":"I."},{"family":"Marini","given":"Fc"},{"family":"Krause","given":"Ds"},{"family":"Deans","given":"Rj"},{"family":"Keating","given":"A."},{"family":"Prockop","given":"Dj"},{"family":"Horwitz","given":"Em"}],"issued":{"date-parts":[["2006"]]}}},{"id":"yYDU4LE6/DZbGMwvz","uris":["http://zotero.org/users/local/FCDre8wk/items/ZZ8CR667"],"itemData":{"id":677,"type":"article-journal","abstract":"Cultured mesenchymal stromal cells (MSCs) possess immune regulatory properties and are already used for clinical purposes, although preclinical data (both in vitro and in vivo in animal models) are not always homogeneous and unequivocal. However, the various MSC-based clinical approaches to treat immunological diseases would be significantly validated and strengthened by using standardized immune assays aimed at obtaining shared, reproducible and consistent data. Thus, the MSC Committee of the International Society for Cellular Therapy has decided to put forward for general discussion a working proposal for a standardized approach based on a critical view of literature data.","container-title":"Cytotherapy","DOI":"10.1016/j.jcyt.2013.02.010","ISSN":"1477-2566","issue":"9","journalAbbreviation":"Cytotherapy","language":"eng","note":"PMID: 23602578","page":"1054-1061","source":"PubMed","title":"Immunological characterization of multipotent mesenchymal stromal cells--The International Society for Cellular Therapy (ISCT) working proposal","volume":"15","author":[{"family":"Krampera","given":"Mauro"},{"family":"Galipeau","given":"Jacques"},{"family":"Shi","given":"Yufang"},{"family":"Tarte","given":"Karin"},{"family":"Sensebe","given":"Luc"},{"literal":"MSC Committee of the International Society for Cellular Therapy (ISCT)"}],"issued":{"date-parts":[["2013",9]]}}},{"id":"yYDU4LE6/lbJurytd","uris":["http://zotero.org/users/local/FCDre8wk/items/F76DR6IS"],"itemData":{"id":680,"type":"article-journal","abstract":"The International Society for Cell &amp; Gene Therapy (ISCT®) Mesenchymal Stromal Cell (ISCT MSC) committee offers a position statement to clarify the nomenclature of mesenchymal stromal cells (MSCs). The ISCT MSC committee continues to support the use of the acronym \"MSCs\" but recommends this be (i) supplemented by tissue-source origin of the cells, which would highlight tissue-specific properties; (ii) intended as MSCs unless rigorous evidence for stemness exists that can be supported by both in vitro and in vivo data; and (iii) associated with robust matrix of functional assays to demonstrate MSC properties, which are not generically defined but informed by the intended therapeutic mode of actions.","container-title":"Cytotherapy","DOI":"10.1016/j.jcyt.2019.08.002","ISSN":"1477-2566","issue":"10","journalAbbreviation":"Cytotherapy","language":"eng","note":"PMID: 31526643","page":"1019-1024","source":"PubMed","title":"Mesenchymal stem versus stromal cells: International Society for Cell &amp; Gene Therapy (ISCT®) Mesenchymal Stromal Cell committee position statement on nomenclature","title-short":"Mesenchymal stem versus stromal cells","volume":"21","author":[{"family":"Viswanathan","given":"S."},{"family":"Shi","given":"Y."},{"family":"Galipeau","given":"J."},{"family":"Krampera","given":"M."},{"family":"Leblanc","given":"K."},{"family":"Martin","given":"I."},{"family":"Nolta","given":"J."},{"family":"Phinney","given":"D. G."},{"family":"Sensebe","given":"L."}],"issued":{"date-parts":[["2019",10]]}}}],"schema":"https://github.com/citation-style-language/schema/raw/master/csl-citation.json"} </w:instrText>
      </w:r>
      <w:r w:rsidR="00CE142F" w:rsidRPr="0026705F">
        <w:rPr>
          <w:sz w:val="22"/>
          <w:szCs w:val="22"/>
          <w:lang w:val="en-US"/>
        </w:rPr>
        <w:fldChar w:fldCharType="separate"/>
      </w:r>
      <w:r w:rsidR="00873504" w:rsidRPr="0026705F">
        <w:rPr>
          <w:sz w:val="22"/>
          <w:lang w:val="en-US"/>
        </w:rPr>
        <w:t>[123–126]</w:t>
      </w:r>
      <w:r w:rsidR="00CE142F" w:rsidRPr="0026705F">
        <w:rPr>
          <w:sz w:val="22"/>
          <w:szCs w:val="22"/>
          <w:lang w:val="en-US"/>
        </w:rPr>
        <w:fldChar w:fldCharType="end"/>
      </w:r>
      <w:r w:rsidRPr="0026705F">
        <w:rPr>
          <w:sz w:val="22"/>
          <w:szCs w:val="22"/>
          <w:lang w:val="en-US"/>
        </w:rPr>
        <w:t>.</w:t>
      </w:r>
    </w:p>
    <w:p w14:paraId="0000023C" w14:textId="77777777" w:rsidR="007F3335" w:rsidRPr="0026705F" w:rsidRDefault="00BA3DF1" w:rsidP="009C22E4">
      <w:pPr>
        <w:spacing w:line="480" w:lineRule="auto"/>
        <w:jc w:val="both"/>
        <w:rPr>
          <w:i/>
          <w:sz w:val="18"/>
          <w:szCs w:val="18"/>
          <w:lang w:val="en-US"/>
        </w:rPr>
      </w:pPr>
      <w:r w:rsidRPr="0026705F">
        <w:rPr>
          <w:i/>
          <w:sz w:val="18"/>
          <w:szCs w:val="18"/>
          <w:lang w:val="en-US"/>
        </w:rPr>
        <w:t xml:space="preserve">Positive stem/stromal marker genes: </w:t>
      </w:r>
    </w:p>
    <w:p w14:paraId="0000023E" w14:textId="6DC71928" w:rsidR="007F3335" w:rsidRPr="0026705F" w:rsidRDefault="00BA3DF1" w:rsidP="009C22E4">
      <w:pPr>
        <w:spacing w:line="480" w:lineRule="auto"/>
        <w:jc w:val="both"/>
        <w:rPr>
          <w:i/>
          <w:sz w:val="18"/>
          <w:szCs w:val="18"/>
          <w:lang w:val="en-US"/>
        </w:rPr>
      </w:pPr>
      <w:r w:rsidRPr="0026705F">
        <w:rPr>
          <w:i/>
          <w:sz w:val="18"/>
          <w:szCs w:val="18"/>
          <w:lang w:val="en-US"/>
        </w:rPr>
        <w:t>ENG</w:t>
      </w:r>
      <w:r w:rsidRPr="0026705F">
        <w:rPr>
          <w:sz w:val="18"/>
          <w:szCs w:val="18"/>
          <w:lang w:val="en-US"/>
        </w:rPr>
        <w:t xml:space="preserve"> (MIM *131195) - alternative symbol </w:t>
      </w:r>
      <w:r w:rsidRPr="0026705F">
        <w:rPr>
          <w:i/>
          <w:sz w:val="18"/>
          <w:szCs w:val="18"/>
          <w:lang w:val="en-US"/>
        </w:rPr>
        <w:t xml:space="preserve">CD105; NT5E </w:t>
      </w:r>
      <w:r w:rsidRPr="0026705F">
        <w:rPr>
          <w:sz w:val="18"/>
          <w:szCs w:val="18"/>
          <w:lang w:val="en-US"/>
        </w:rPr>
        <w:t xml:space="preserve">(MIM *129190) - alternative symbol </w:t>
      </w:r>
      <w:r w:rsidRPr="0026705F">
        <w:rPr>
          <w:i/>
          <w:sz w:val="18"/>
          <w:szCs w:val="18"/>
          <w:lang w:val="en-US"/>
        </w:rPr>
        <w:t xml:space="preserve">CD73; THY1 </w:t>
      </w:r>
      <w:r w:rsidRPr="0026705F">
        <w:rPr>
          <w:sz w:val="18"/>
          <w:szCs w:val="18"/>
          <w:lang w:val="en-US"/>
        </w:rPr>
        <w:t xml:space="preserve">(MIM *188230) - alternative symbol </w:t>
      </w:r>
      <w:r w:rsidRPr="0026705F">
        <w:rPr>
          <w:i/>
          <w:sz w:val="18"/>
          <w:szCs w:val="18"/>
          <w:lang w:val="en-US"/>
        </w:rPr>
        <w:t xml:space="preserve">CD90; CD59 </w:t>
      </w:r>
      <w:r w:rsidRPr="0026705F">
        <w:rPr>
          <w:sz w:val="18"/>
          <w:szCs w:val="18"/>
          <w:lang w:val="en-US"/>
        </w:rPr>
        <w:t>(MIM *107271)</w:t>
      </w:r>
      <w:r w:rsidRPr="0026705F">
        <w:rPr>
          <w:i/>
          <w:sz w:val="18"/>
          <w:szCs w:val="18"/>
          <w:lang w:val="en-US"/>
        </w:rPr>
        <w:t xml:space="preserve">; CD44 </w:t>
      </w:r>
      <w:r w:rsidRPr="0026705F">
        <w:rPr>
          <w:sz w:val="18"/>
          <w:szCs w:val="18"/>
          <w:lang w:val="en-US"/>
        </w:rPr>
        <w:t>(MIM *107269);</w:t>
      </w:r>
      <w:r w:rsidRPr="0026705F">
        <w:rPr>
          <w:i/>
          <w:sz w:val="18"/>
          <w:szCs w:val="18"/>
          <w:lang w:val="en-US"/>
        </w:rPr>
        <w:t xml:space="preserve"> ITGB1</w:t>
      </w:r>
      <w:r w:rsidRPr="0026705F">
        <w:rPr>
          <w:sz w:val="18"/>
          <w:szCs w:val="18"/>
          <w:lang w:val="en-US"/>
        </w:rPr>
        <w:t xml:space="preserve"> (MIM *135630) - alternative symbol</w:t>
      </w:r>
      <w:r w:rsidRPr="0026705F">
        <w:rPr>
          <w:i/>
          <w:sz w:val="18"/>
          <w:szCs w:val="18"/>
          <w:lang w:val="en-US"/>
        </w:rPr>
        <w:t xml:space="preserve"> CD29. </w:t>
      </w:r>
    </w:p>
    <w:p w14:paraId="0000023F" w14:textId="77777777" w:rsidR="007F3335" w:rsidRPr="0026705F" w:rsidRDefault="00BA3DF1" w:rsidP="009C22E4">
      <w:pPr>
        <w:spacing w:line="480" w:lineRule="auto"/>
        <w:jc w:val="both"/>
        <w:rPr>
          <w:i/>
          <w:sz w:val="18"/>
          <w:szCs w:val="18"/>
          <w:lang w:val="en-US"/>
        </w:rPr>
      </w:pPr>
      <w:r w:rsidRPr="0026705F">
        <w:rPr>
          <w:i/>
          <w:sz w:val="18"/>
          <w:szCs w:val="18"/>
          <w:lang w:val="en-US"/>
        </w:rPr>
        <w:t xml:space="preserve">Negative  stem/stromal marker genes: </w:t>
      </w:r>
    </w:p>
    <w:p w14:paraId="00000240" w14:textId="77777777" w:rsidR="007F3335" w:rsidRPr="0026705F" w:rsidRDefault="00BA3DF1" w:rsidP="009C22E4">
      <w:pPr>
        <w:spacing w:line="480" w:lineRule="auto"/>
        <w:jc w:val="both"/>
        <w:rPr>
          <w:i/>
          <w:sz w:val="18"/>
          <w:szCs w:val="18"/>
          <w:lang w:val="en-US"/>
        </w:rPr>
      </w:pPr>
      <w:r w:rsidRPr="0026705F">
        <w:rPr>
          <w:i/>
          <w:sz w:val="18"/>
          <w:szCs w:val="18"/>
          <w:lang w:val="en-US"/>
        </w:rPr>
        <w:t>PTPRC</w:t>
      </w:r>
      <w:r w:rsidRPr="0026705F">
        <w:rPr>
          <w:sz w:val="18"/>
          <w:szCs w:val="18"/>
          <w:lang w:val="en-US"/>
        </w:rPr>
        <w:t xml:space="preserve"> (MIM *151460) - alternative symbol </w:t>
      </w:r>
      <w:r w:rsidRPr="0026705F">
        <w:rPr>
          <w:i/>
          <w:sz w:val="18"/>
          <w:szCs w:val="18"/>
          <w:lang w:val="en-US"/>
        </w:rPr>
        <w:t xml:space="preserve">CD45; CD34 </w:t>
      </w:r>
      <w:r w:rsidRPr="0026705F">
        <w:rPr>
          <w:sz w:val="18"/>
          <w:szCs w:val="18"/>
          <w:lang w:val="en-US"/>
        </w:rPr>
        <w:t>(MIM *142230);</w:t>
      </w:r>
      <w:r w:rsidRPr="0026705F">
        <w:rPr>
          <w:i/>
          <w:sz w:val="18"/>
          <w:szCs w:val="18"/>
          <w:lang w:val="en-US"/>
        </w:rPr>
        <w:t xml:space="preserve"> CD14</w:t>
      </w:r>
      <w:r w:rsidRPr="0026705F">
        <w:rPr>
          <w:sz w:val="18"/>
          <w:szCs w:val="18"/>
          <w:lang w:val="en-US"/>
        </w:rPr>
        <w:t xml:space="preserve"> (MIM *158120);</w:t>
      </w:r>
      <w:r w:rsidRPr="0026705F">
        <w:rPr>
          <w:i/>
          <w:sz w:val="18"/>
          <w:szCs w:val="18"/>
          <w:lang w:val="en-US"/>
        </w:rPr>
        <w:t xml:space="preserve"> ITGAM</w:t>
      </w:r>
      <w:r w:rsidRPr="0026705F">
        <w:rPr>
          <w:sz w:val="18"/>
          <w:szCs w:val="18"/>
          <w:lang w:val="en-US"/>
        </w:rPr>
        <w:t xml:space="preserve"> (MIM *120980) - alternative symbol </w:t>
      </w:r>
      <w:r w:rsidRPr="0026705F">
        <w:rPr>
          <w:i/>
          <w:sz w:val="18"/>
          <w:szCs w:val="18"/>
          <w:lang w:val="en-US"/>
        </w:rPr>
        <w:t xml:space="preserve">CD11B; CD19 </w:t>
      </w:r>
      <w:r w:rsidRPr="0026705F">
        <w:rPr>
          <w:sz w:val="18"/>
          <w:szCs w:val="18"/>
          <w:lang w:val="en-US"/>
        </w:rPr>
        <w:t>(MIM *107265);</w:t>
      </w:r>
      <w:r w:rsidRPr="0026705F">
        <w:rPr>
          <w:i/>
          <w:sz w:val="18"/>
          <w:szCs w:val="18"/>
          <w:lang w:val="en-US"/>
        </w:rPr>
        <w:t xml:space="preserve"> CD79A </w:t>
      </w:r>
      <w:r w:rsidRPr="0026705F">
        <w:rPr>
          <w:sz w:val="18"/>
          <w:szCs w:val="18"/>
          <w:lang w:val="en-US"/>
        </w:rPr>
        <w:t>(MIM *112205);</w:t>
      </w:r>
      <w:r w:rsidRPr="0026705F">
        <w:rPr>
          <w:i/>
          <w:sz w:val="18"/>
          <w:szCs w:val="18"/>
          <w:lang w:val="en-US"/>
        </w:rPr>
        <w:t xml:space="preserve"> HLA-DRA</w:t>
      </w:r>
      <w:r w:rsidRPr="0026705F">
        <w:rPr>
          <w:sz w:val="18"/>
          <w:szCs w:val="18"/>
          <w:lang w:val="en-US"/>
        </w:rPr>
        <w:t xml:space="preserve"> (MIM *142860); </w:t>
      </w:r>
      <w:r w:rsidRPr="0026705F">
        <w:rPr>
          <w:i/>
          <w:sz w:val="18"/>
          <w:szCs w:val="18"/>
          <w:lang w:val="en-US"/>
        </w:rPr>
        <w:t xml:space="preserve">HLA-DRB1 </w:t>
      </w:r>
      <w:r w:rsidRPr="0026705F">
        <w:rPr>
          <w:sz w:val="18"/>
          <w:szCs w:val="18"/>
          <w:lang w:val="en-US"/>
        </w:rPr>
        <w:t>(MIM *142857);</w:t>
      </w:r>
      <w:r w:rsidRPr="0026705F">
        <w:rPr>
          <w:i/>
          <w:sz w:val="18"/>
          <w:szCs w:val="18"/>
          <w:lang w:val="en-US"/>
        </w:rPr>
        <w:t xml:space="preserve"> HLA-DRB5 </w:t>
      </w:r>
      <w:r w:rsidRPr="0026705F">
        <w:rPr>
          <w:sz w:val="18"/>
          <w:szCs w:val="18"/>
          <w:lang w:val="en-US"/>
        </w:rPr>
        <w:t>(MIM *604776);</w:t>
      </w:r>
      <w:r w:rsidRPr="0026705F">
        <w:rPr>
          <w:i/>
          <w:sz w:val="18"/>
          <w:szCs w:val="18"/>
          <w:lang w:val="en-US"/>
        </w:rPr>
        <w:t xml:space="preserve"> PECAM1</w:t>
      </w:r>
      <w:r w:rsidRPr="0026705F">
        <w:rPr>
          <w:sz w:val="18"/>
          <w:szCs w:val="18"/>
          <w:lang w:val="en-US"/>
        </w:rPr>
        <w:t xml:space="preserve"> (MIM *173445) - alternative symbol </w:t>
      </w:r>
      <w:r w:rsidRPr="0026705F">
        <w:rPr>
          <w:i/>
          <w:sz w:val="18"/>
          <w:szCs w:val="18"/>
          <w:lang w:val="en-US"/>
        </w:rPr>
        <w:t>CD31; NCAM1</w:t>
      </w:r>
      <w:r w:rsidRPr="0026705F">
        <w:rPr>
          <w:sz w:val="18"/>
          <w:szCs w:val="18"/>
          <w:lang w:val="en-US"/>
        </w:rPr>
        <w:t xml:space="preserve"> (MIM *116930) - alternative symbol </w:t>
      </w:r>
      <w:r w:rsidRPr="0026705F">
        <w:rPr>
          <w:i/>
          <w:sz w:val="18"/>
          <w:szCs w:val="18"/>
          <w:lang w:val="en-US"/>
        </w:rPr>
        <w:t>CD56; SELP</w:t>
      </w:r>
      <w:r w:rsidRPr="0026705F">
        <w:rPr>
          <w:sz w:val="18"/>
          <w:szCs w:val="18"/>
          <w:lang w:val="en-US"/>
        </w:rPr>
        <w:t xml:space="preserve"> (MIM *173610) - alternative symbol </w:t>
      </w:r>
      <w:r w:rsidRPr="0026705F">
        <w:rPr>
          <w:i/>
          <w:sz w:val="18"/>
          <w:szCs w:val="18"/>
          <w:lang w:val="en-US"/>
        </w:rPr>
        <w:t>CD62.</w:t>
      </w:r>
    </w:p>
    <w:p w14:paraId="00000242" w14:textId="77777777" w:rsidR="007F3335" w:rsidRPr="0026705F" w:rsidRDefault="007F3335" w:rsidP="009C22E4">
      <w:pPr>
        <w:spacing w:line="480" w:lineRule="auto"/>
        <w:jc w:val="both"/>
        <w:rPr>
          <w:sz w:val="20"/>
          <w:szCs w:val="20"/>
          <w:lang w:val="en-US"/>
        </w:rPr>
      </w:pPr>
    </w:p>
    <w:p w14:paraId="00000243" w14:textId="77777777" w:rsidR="007F3335" w:rsidRPr="0026705F" w:rsidRDefault="007F3335" w:rsidP="009C22E4">
      <w:pPr>
        <w:spacing w:line="480" w:lineRule="auto"/>
        <w:jc w:val="both"/>
        <w:rPr>
          <w:sz w:val="22"/>
          <w:szCs w:val="22"/>
          <w:lang w:val="en-US"/>
        </w:rPr>
      </w:pPr>
    </w:p>
    <w:p w14:paraId="15B564FA" w14:textId="77777777" w:rsidR="003B34ED" w:rsidRPr="0026705F" w:rsidRDefault="003B34ED" w:rsidP="009C22E4">
      <w:pPr>
        <w:spacing w:line="480" w:lineRule="auto"/>
        <w:jc w:val="both"/>
        <w:rPr>
          <w:sz w:val="22"/>
          <w:szCs w:val="22"/>
          <w:lang w:val="en-US"/>
        </w:rPr>
      </w:pPr>
    </w:p>
    <w:p w14:paraId="2003106D" w14:textId="77777777" w:rsidR="009C22E4" w:rsidRPr="0026705F" w:rsidRDefault="009C22E4" w:rsidP="009C22E4">
      <w:pPr>
        <w:spacing w:line="480" w:lineRule="auto"/>
        <w:jc w:val="both"/>
        <w:rPr>
          <w:sz w:val="22"/>
          <w:szCs w:val="22"/>
          <w:lang w:val="en-US"/>
        </w:rPr>
      </w:pPr>
    </w:p>
    <w:p w14:paraId="502043CD" w14:textId="77777777" w:rsidR="009C22E4" w:rsidRPr="0026705F" w:rsidRDefault="009C22E4" w:rsidP="009C22E4">
      <w:pPr>
        <w:spacing w:line="480" w:lineRule="auto"/>
        <w:jc w:val="both"/>
        <w:rPr>
          <w:sz w:val="22"/>
          <w:szCs w:val="22"/>
          <w:lang w:val="en-US"/>
        </w:rPr>
      </w:pPr>
    </w:p>
    <w:p w14:paraId="2EADE882" w14:textId="77777777" w:rsidR="009C22E4" w:rsidRPr="0026705F" w:rsidRDefault="009C22E4" w:rsidP="009C22E4">
      <w:pPr>
        <w:spacing w:line="480" w:lineRule="auto"/>
        <w:jc w:val="both"/>
        <w:rPr>
          <w:sz w:val="22"/>
          <w:szCs w:val="22"/>
          <w:lang w:val="en-US"/>
        </w:rPr>
      </w:pPr>
    </w:p>
    <w:p w14:paraId="4C488379" w14:textId="77777777" w:rsidR="009C22E4" w:rsidRPr="0026705F" w:rsidRDefault="009C22E4" w:rsidP="009C22E4">
      <w:pPr>
        <w:spacing w:line="480" w:lineRule="auto"/>
        <w:jc w:val="both"/>
        <w:rPr>
          <w:sz w:val="22"/>
          <w:szCs w:val="22"/>
          <w:lang w:val="en-US"/>
        </w:rPr>
      </w:pPr>
    </w:p>
    <w:p w14:paraId="1CD2E7DB" w14:textId="77777777" w:rsidR="009C22E4" w:rsidRPr="0026705F" w:rsidRDefault="009C22E4" w:rsidP="009C22E4">
      <w:pPr>
        <w:spacing w:line="480" w:lineRule="auto"/>
        <w:jc w:val="both"/>
        <w:rPr>
          <w:sz w:val="22"/>
          <w:szCs w:val="22"/>
          <w:lang w:val="en-US"/>
        </w:rPr>
      </w:pPr>
    </w:p>
    <w:p w14:paraId="6C92DFB7" w14:textId="77777777" w:rsidR="009C22E4" w:rsidRPr="0026705F" w:rsidRDefault="009C22E4" w:rsidP="009C22E4">
      <w:pPr>
        <w:spacing w:line="480" w:lineRule="auto"/>
        <w:jc w:val="both"/>
        <w:rPr>
          <w:sz w:val="22"/>
          <w:szCs w:val="22"/>
          <w:lang w:val="en-US"/>
        </w:rPr>
      </w:pPr>
    </w:p>
    <w:p w14:paraId="218D3A85" w14:textId="77777777" w:rsidR="009C22E4" w:rsidRPr="0026705F" w:rsidRDefault="009C22E4" w:rsidP="009C22E4">
      <w:pPr>
        <w:spacing w:line="480" w:lineRule="auto"/>
        <w:jc w:val="both"/>
        <w:rPr>
          <w:sz w:val="22"/>
          <w:szCs w:val="22"/>
          <w:lang w:val="en-US"/>
        </w:rPr>
      </w:pPr>
    </w:p>
    <w:p w14:paraId="27C75EEC" w14:textId="77777777" w:rsidR="009C22E4" w:rsidRPr="0026705F" w:rsidRDefault="009C22E4" w:rsidP="009C22E4">
      <w:pPr>
        <w:spacing w:line="480" w:lineRule="auto"/>
        <w:jc w:val="both"/>
        <w:rPr>
          <w:sz w:val="22"/>
          <w:szCs w:val="22"/>
          <w:lang w:val="en-US"/>
        </w:rPr>
      </w:pPr>
    </w:p>
    <w:p w14:paraId="789F4DBC" w14:textId="77777777" w:rsidR="009C22E4" w:rsidRPr="0026705F" w:rsidRDefault="009C22E4" w:rsidP="009C22E4">
      <w:pPr>
        <w:spacing w:line="480" w:lineRule="auto"/>
        <w:jc w:val="both"/>
        <w:rPr>
          <w:sz w:val="22"/>
          <w:szCs w:val="22"/>
          <w:lang w:val="en-US"/>
        </w:rPr>
      </w:pPr>
    </w:p>
    <w:p w14:paraId="7FFBFB9F" w14:textId="77777777" w:rsidR="009C22E4" w:rsidRPr="0026705F" w:rsidRDefault="003E2BC4" w:rsidP="009C22E4">
      <w:pPr>
        <w:pStyle w:val="Bibliografia"/>
        <w:spacing w:line="480" w:lineRule="auto"/>
        <w:jc w:val="both"/>
        <w:rPr>
          <w:b/>
          <w:sz w:val="22"/>
          <w:szCs w:val="22"/>
          <w:lang w:val="en-US"/>
        </w:rPr>
      </w:pPr>
      <w:r w:rsidRPr="0026705F">
        <w:rPr>
          <w:b/>
          <w:sz w:val="22"/>
          <w:szCs w:val="22"/>
          <w:lang w:val="en-US"/>
        </w:rPr>
        <w:lastRenderedPageBreak/>
        <w:t>References</w:t>
      </w:r>
    </w:p>
    <w:p w14:paraId="50988446" w14:textId="3AF5E043" w:rsidR="00F9284B" w:rsidRPr="0026705F" w:rsidRDefault="003E2BC4" w:rsidP="0026705F">
      <w:pPr>
        <w:pStyle w:val="Bibliografia"/>
        <w:jc w:val="both"/>
        <w:rPr>
          <w:sz w:val="22"/>
          <w:szCs w:val="22"/>
          <w:lang w:val="en-US"/>
        </w:rPr>
      </w:pPr>
      <w:r w:rsidRPr="0026705F">
        <w:rPr>
          <w:sz w:val="22"/>
          <w:szCs w:val="22"/>
          <w:lang w:val="en-US"/>
        </w:rPr>
        <w:fldChar w:fldCharType="begin"/>
      </w:r>
      <w:r w:rsidR="001B01A9" w:rsidRPr="0026705F">
        <w:rPr>
          <w:sz w:val="22"/>
          <w:szCs w:val="22"/>
          <w:lang w:val="en-US"/>
        </w:rPr>
        <w:instrText xml:space="preserve"> ADDIN ZOTERO_BIBL {"uncited":[],"omitted":[],"custom":[]} CSL_BIBLIOGRAPHY </w:instrText>
      </w:r>
      <w:r w:rsidRPr="0026705F">
        <w:rPr>
          <w:sz w:val="22"/>
          <w:szCs w:val="22"/>
          <w:lang w:val="en-US"/>
        </w:rPr>
        <w:fldChar w:fldCharType="separate"/>
      </w:r>
      <w:r w:rsidR="00873504" w:rsidRPr="0026705F">
        <w:rPr>
          <w:sz w:val="22"/>
          <w:szCs w:val="22"/>
          <w:lang w:val="en-US"/>
        </w:rPr>
        <w:t xml:space="preserve">1. </w:t>
      </w:r>
      <w:r w:rsidR="00F9284B" w:rsidRPr="0026705F">
        <w:rPr>
          <w:sz w:val="22"/>
          <w:szCs w:val="22"/>
          <w:lang w:val="en-US"/>
        </w:rPr>
        <w:t>Amin MB, Greene FL, Edge SB, Compton CC, Gershenwald JE, Brookland RK, et al. The Eighth Edition AJCC Cancer Staging Manual: Continuing to build a bridge from a population-based to a more “personalized” approach to cancer staging. CA Cancer J Clin. 2017;67:93–9.</w:t>
      </w:r>
    </w:p>
    <w:p w14:paraId="377D4328" w14:textId="00347384" w:rsidR="00873504" w:rsidRPr="0026705F" w:rsidRDefault="00F9284B" w:rsidP="0026705F">
      <w:pPr>
        <w:pStyle w:val="Bibliografia"/>
        <w:jc w:val="both"/>
        <w:rPr>
          <w:sz w:val="22"/>
          <w:szCs w:val="22"/>
          <w:lang w:val="en-US"/>
        </w:rPr>
      </w:pPr>
      <w:r w:rsidRPr="0026705F">
        <w:rPr>
          <w:sz w:val="22"/>
          <w:szCs w:val="22"/>
          <w:lang w:val="en-US"/>
        </w:rPr>
        <w:t xml:space="preserve">2. </w:t>
      </w:r>
      <w:r w:rsidR="00873504" w:rsidRPr="0026705F">
        <w:rPr>
          <w:sz w:val="22"/>
          <w:szCs w:val="22"/>
          <w:lang w:val="en-US"/>
        </w:rPr>
        <w:t xml:space="preserve">Vijay J, Gauthier M-F, Biswell RL, Louiselle DA, Johnston JJ, Cheung WA, et al. Single-cell analysis of human adipose tissue identifies depot- and disease-specific cell types. Nat Metab. 2020;2:97–109. </w:t>
      </w:r>
    </w:p>
    <w:p w14:paraId="5B861F8F" w14:textId="41E58279" w:rsidR="00873504" w:rsidRPr="0026705F" w:rsidRDefault="00F9284B" w:rsidP="0026705F">
      <w:pPr>
        <w:pStyle w:val="Bibliografia"/>
        <w:jc w:val="both"/>
        <w:rPr>
          <w:sz w:val="22"/>
          <w:szCs w:val="22"/>
          <w:lang w:val="en-US"/>
        </w:rPr>
      </w:pPr>
      <w:r w:rsidRPr="0026705F">
        <w:rPr>
          <w:sz w:val="22"/>
          <w:szCs w:val="22"/>
          <w:lang w:val="en-US"/>
        </w:rPr>
        <w:t>3</w:t>
      </w:r>
      <w:r w:rsidR="00873504" w:rsidRPr="0026705F">
        <w:rPr>
          <w:sz w:val="22"/>
          <w:szCs w:val="22"/>
          <w:lang w:val="en-US"/>
        </w:rPr>
        <w:t xml:space="preserve">. Emont MP, Jacobs C, Essene AL, Pant D, Tenen D, Colleluori G, et al. A single-cell atlas of human and mouse white adipose tissue. Nature. 2022;603:926–33. </w:t>
      </w:r>
    </w:p>
    <w:p w14:paraId="43759C79" w14:textId="00C63EBA" w:rsidR="00873504" w:rsidRPr="0026705F" w:rsidRDefault="00F9284B" w:rsidP="0026705F">
      <w:pPr>
        <w:pStyle w:val="Bibliografia"/>
        <w:jc w:val="both"/>
        <w:rPr>
          <w:sz w:val="22"/>
          <w:szCs w:val="22"/>
          <w:lang w:val="en-US"/>
        </w:rPr>
      </w:pPr>
      <w:r w:rsidRPr="0026705F">
        <w:rPr>
          <w:sz w:val="22"/>
          <w:szCs w:val="22"/>
          <w:lang w:val="en-US"/>
        </w:rPr>
        <w:t>4</w:t>
      </w:r>
      <w:r w:rsidR="00873504" w:rsidRPr="0026705F">
        <w:rPr>
          <w:sz w:val="22"/>
          <w:szCs w:val="22"/>
          <w:lang w:val="en-US"/>
        </w:rPr>
        <w:t xml:space="preserve">. Qu X, Liu H, Song X, Sun N, Zhong H, Qiu X, et al. Effective degradation of EGFRL858R+T790M mutant proteins by CRBN-based PROTACs through both proteosome and autophagy/lysosome degradation systems. Eur J Med Chem. 2021;218:113328. </w:t>
      </w:r>
    </w:p>
    <w:p w14:paraId="12009A89" w14:textId="03401F05" w:rsidR="00873504" w:rsidRPr="0026705F" w:rsidRDefault="00F9284B" w:rsidP="0026705F">
      <w:pPr>
        <w:pStyle w:val="Bibliografia"/>
        <w:jc w:val="both"/>
        <w:rPr>
          <w:sz w:val="22"/>
          <w:szCs w:val="22"/>
          <w:lang w:val="en-US"/>
        </w:rPr>
      </w:pPr>
      <w:r w:rsidRPr="0026705F">
        <w:rPr>
          <w:sz w:val="22"/>
          <w:szCs w:val="22"/>
          <w:lang w:val="en-US"/>
        </w:rPr>
        <w:t>5</w:t>
      </w:r>
      <w:r w:rsidR="00873504" w:rsidRPr="0026705F">
        <w:rPr>
          <w:sz w:val="22"/>
          <w:szCs w:val="22"/>
          <w:lang w:val="en-US"/>
        </w:rPr>
        <w:t xml:space="preserve">. Zych J, Spangenberg L, Stimamiglio MA, Abud APR, Shigunov P, Marchini FK, et al. Polysome profiling shows the identity of human adipose-derived stromal/stem cells in detail and clearly distinguishes them from dermal fibroblasts. Stem Cells Dev. 2014;23:2791–802. </w:t>
      </w:r>
    </w:p>
    <w:p w14:paraId="3C3545AC" w14:textId="2C7EB11E" w:rsidR="00873504" w:rsidRPr="0026705F" w:rsidRDefault="00F9284B" w:rsidP="0026705F">
      <w:pPr>
        <w:pStyle w:val="Bibliografia"/>
        <w:jc w:val="both"/>
        <w:rPr>
          <w:sz w:val="22"/>
          <w:szCs w:val="22"/>
          <w:lang w:val="en-US"/>
        </w:rPr>
      </w:pPr>
      <w:r w:rsidRPr="0026705F">
        <w:rPr>
          <w:sz w:val="22"/>
          <w:szCs w:val="22"/>
          <w:lang w:val="en-US"/>
        </w:rPr>
        <w:t>6</w:t>
      </w:r>
      <w:r w:rsidR="00873504" w:rsidRPr="0026705F">
        <w:rPr>
          <w:sz w:val="22"/>
          <w:szCs w:val="22"/>
          <w:lang w:val="en-US"/>
        </w:rPr>
        <w:t xml:space="preserve">. Abreu de Melo MI, da Silva Cunha P, Coutinho de Miranda M, Faraco CCF, Barbosa JL, da Fonseca Ferreira A, et al. Human adipose-derived stromal/stem cells are distinct from dermal fibroblasts as evaluated by biological characterization and RNA sequencing. Cell Biochem Funct. 2021;39:442–54. </w:t>
      </w:r>
    </w:p>
    <w:p w14:paraId="62BEB166" w14:textId="77777777" w:rsidR="00873504" w:rsidRPr="0026705F" w:rsidRDefault="00873504" w:rsidP="0026705F">
      <w:pPr>
        <w:pStyle w:val="Bibliografia"/>
        <w:jc w:val="both"/>
        <w:rPr>
          <w:sz w:val="22"/>
          <w:szCs w:val="22"/>
          <w:lang w:val="en-US"/>
        </w:rPr>
      </w:pPr>
      <w:r w:rsidRPr="0026705F">
        <w:rPr>
          <w:sz w:val="22"/>
          <w:szCs w:val="22"/>
          <w:lang w:val="en-US"/>
        </w:rPr>
        <w:t xml:space="preserve">6. Amin MB, Greene FL, Edge SB, Compton CC, Gershenwald JE, Brookland RK, et al. The Eighth Edition AJCC Cancer Staging Manual: Continuing to build a bridge from a population-based to a more “personalized” approach to cancer staging. CA Cancer J Clin. 2017;67:93–9. </w:t>
      </w:r>
    </w:p>
    <w:p w14:paraId="48A86EB2" w14:textId="77777777" w:rsidR="00873504" w:rsidRPr="0026705F" w:rsidRDefault="00873504" w:rsidP="0026705F">
      <w:pPr>
        <w:pStyle w:val="Bibliografia"/>
        <w:jc w:val="both"/>
        <w:rPr>
          <w:sz w:val="22"/>
          <w:szCs w:val="22"/>
          <w:lang w:val="en-US"/>
        </w:rPr>
      </w:pPr>
      <w:r w:rsidRPr="0026705F">
        <w:rPr>
          <w:sz w:val="22"/>
          <w:szCs w:val="22"/>
          <w:lang w:val="en-US"/>
        </w:rPr>
        <w:t xml:space="preserve">7. Hazell GGJ, Peachey AMG, Teasdale JE, Sala-Newby GB, Angelini GD, Newby AC, et al. PI16 is a shear stress and inflammation-regulated inhibitor of MMP2. Sci Rep. 2016;6:39553. </w:t>
      </w:r>
    </w:p>
    <w:p w14:paraId="00AB77F0" w14:textId="77777777" w:rsidR="00873504" w:rsidRPr="0026705F" w:rsidRDefault="00873504" w:rsidP="0026705F">
      <w:pPr>
        <w:pStyle w:val="Bibliografia"/>
        <w:jc w:val="both"/>
        <w:rPr>
          <w:sz w:val="22"/>
          <w:szCs w:val="22"/>
          <w:lang w:val="en-US"/>
        </w:rPr>
      </w:pPr>
      <w:r w:rsidRPr="0026705F">
        <w:rPr>
          <w:sz w:val="22"/>
          <w:szCs w:val="22"/>
          <w:lang w:val="en-US"/>
        </w:rPr>
        <w:t xml:space="preserve">8. Regn M, Laggerbauer B, Jentzsch C, Ramanujam D, Ahles A, Sichler S, et al. Peptidase inhibitor 16 is a membrane-tethered regulator of chemerin processing in the myocardium. Journal of Molecular and Cellular Cardiology. 2016;99:57–64. </w:t>
      </w:r>
    </w:p>
    <w:p w14:paraId="4D24DA6C" w14:textId="77777777" w:rsidR="00873504" w:rsidRPr="0026705F" w:rsidRDefault="00873504" w:rsidP="0026705F">
      <w:pPr>
        <w:pStyle w:val="Bibliografia"/>
        <w:jc w:val="both"/>
        <w:rPr>
          <w:sz w:val="22"/>
          <w:szCs w:val="22"/>
          <w:lang w:val="en-US"/>
        </w:rPr>
      </w:pPr>
      <w:r w:rsidRPr="0026705F">
        <w:rPr>
          <w:sz w:val="22"/>
          <w:szCs w:val="22"/>
          <w:lang w:val="en-US"/>
        </w:rPr>
        <w:t xml:space="preserve">9. Halász K, Kassner A, Mörgelin M, Heinegård D. COMP acts as a catalyst in collagen fibrillogenesis. J Biol Chem. 2007;282:31166–73. </w:t>
      </w:r>
    </w:p>
    <w:p w14:paraId="19DC4FD5" w14:textId="77777777" w:rsidR="00873504" w:rsidRPr="0026705F" w:rsidRDefault="00873504" w:rsidP="0026705F">
      <w:pPr>
        <w:pStyle w:val="Bibliografia"/>
        <w:jc w:val="both"/>
        <w:rPr>
          <w:sz w:val="22"/>
          <w:szCs w:val="22"/>
          <w:lang w:val="en-US"/>
        </w:rPr>
      </w:pPr>
      <w:r w:rsidRPr="0026705F">
        <w:rPr>
          <w:sz w:val="22"/>
          <w:szCs w:val="22"/>
          <w:lang w:val="en-US"/>
        </w:rPr>
        <w:t xml:space="preserve">10. Posey KL, Coustry F, Hecht JT. Cartilage oligomeric matrix protein: COMPopathies and beyond. Matrix Biol. 2018;71–72:161–73. </w:t>
      </w:r>
    </w:p>
    <w:p w14:paraId="33EF6137" w14:textId="77777777" w:rsidR="00873504" w:rsidRPr="0026705F" w:rsidRDefault="00873504" w:rsidP="0026705F">
      <w:pPr>
        <w:pStyle w:val="Bibliografia"/>
        <w:jc w:val="both"/>
        <w:rPr>
          <w:sz w:val="22"/>
          <w:szCs w:val="22"/>
          <w:lang w:val="en-US"/>
        </w:rPr>
      </w:pPr>
      <w:r w:rsidRPr="0026705F">
        <w:rPr>
          <w:sz w:val="22"/>
          <w:szCs w:val="22"/>
          <w:lang w:val="en-US"/>
        </w:rPr>
        <w:t xml:space="preserve">11. Crisponi L, Buers I, Rutsch F. CRLF1 and CLCF1 in Development, Health and Disease. International Journal of Molecular Sciences. 2022;23:992. </w:t>
      </w:r>
    </w:p>
    <w:p w14:paraId="017155B9" w14:textId="77777777" w:rsidR="00873504" w:rsidRPr="0026705F" w:rsidRDefault="00873504" w:rsidP="0026705F">
      <w:pPr>
        <w:pStyle w:val="Bibliografia"/>
        <w:jc w:val="both"/>
        <w:rPr>
          <w:sz w:val="22"/>
          <w:szCs w:val="22"/>
          <w:lang w:val="en-US"/>
        </w:rPr>
      </w:pPr>
      <w:r w:rsidRPr="0026705F">
        <w:rPr>
          <w:sz w:val="22"/>
          <w:szCs w:val="22"/>
          <w:lang w:val="en-US"/>
        </w:rPr>
        <w:t xml:space="preserve">12. Huang H-B, Luo H-T, Wei N-N, Liu M-L, He F, Yang W, et al. Integrative analysis reveals a lineage-specific circular RNA landscape for adipo-osteogenesis of human mesenchymal stem cells. Stem Cell Research &amp; Therapy. 2022;13:106. </w:t>
      </w:r>
    </w:p>
    <w:p w14:paraId="73F24C68" w14:textId="77777777" w:rsidR="00873504" w:rsidRPr="0026705F" w:rsidRDefault="00873504" w:rsidP="0026705F">
      <w:pPr>
        <w:pStyle w:val="Bibliografia"/>
        <w:jc w:val="both"/>
        <w:rPr>
          <w:sz w:val="22"/>
          <w:szCs w:val="22"/>
          <w:lang w:val="en-US"/>
        </w:rPr>
      </w:pPr>
      <w:r w:rsidRPr="0026705F">
        <w:rPr>
          <w:sz w:val="22"/>
          <w:szCs w:val="22"/>
          <w:lang w:val="en-US"/>
        </w:rPr>
        <w:t>13. Wang B, Suen CW, Ma H, Wang Y, Kong L, Qin D, et al. The Roles of H19 in Regulating Inflammation and Aging. Frontiers in Immunology [Internet]. 2020 [cited 2023 Oct 11];11. Available from: https://www.frontiersin.org/articles/10.3389/fimmu.2020.579687</w:t>
      </w:r>
    </w:p>
    <w:p w14:paraId="316A2672" w14:textId="77777777" w:rsidR="00873504" w:rsidRPr="0026705F" w:rsidRDefault="00873504" w:rsidP="0026705F">
      <w:pPr>
        <w:pStyle w:val="Bibliografia"/>
        <w:jc w:val="both"/>
        <w:rPr>
          <w:sz w:val="22"/>
          <w:szCs w:val="22"/>
          <w:lang w:val="en-US"/>
        </w:rPr>
      </w:pPr>
      <w:r w:rsidRPr="0026705F">
        <w:rPr>
          <w:sz w:val="22"/>
          <w:szCs w:val="22"/>
          <w:lang w:val="en-US"/>
        </w:rPr>
        <w:t xml:space="preserve">14. Zhou Z, Hossain MS, Liu D. Involvement of the long noncoding RNA H19 in osteogenic differentiation and bone regeneration. Stem Cell Research &amp; Therapy. 2021;12:74. </w:t>
      </w:r>
    </w:p>
    <w:p w14:paraId="5051C1C0"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15. Lescan M, Perl RM, Golombek S, Pilz M, Hann L, Yasmin M, et al. De Novo Synthesis of Elastin by Exogenous Delivery of Synthetic Modified mRNA into Skin and Elastin-Deficient Cells. Molecular Therapy - Nucleic Acids. 2018;11:475–84. </w:t>
      </w:r>
    </w:p>
    <w:p w14:paraId="6B82B086" w14:textId="77777777" w:rsidR="00873504" w:rsidRPr="0026705F" w:rsidRDefault="00873504" w:rsidP="0026705F">
      <w:pPr>
        <w:pStyle w:val="Bibliografia"/>
        <w:jc w:val="both"/>
        <w:rPr>
          <w:sz w:val="22"/>
          <w:szCs w:val="22"/>
          <w:lang w:val="en-US"/>
        </w:rPr>
      </w:pPr>
      <w:r w:rsidRPr="0026705F">
        <w:rPr>
          <w:sz w:val="22"/>
          <w:szCs w:val="22"/>
          <w:lang w:val="en-US"/>
        </w:rPr>
        <w:t>16. Ozsvar J, Yang C, Cain SA, Baldock C, Tarakanova A, Weiss AS. Tropoelastin and Elastin Assembly. Frontiers in Bioengineering and Biotechnology [Internet]. 2021 [cited 2023 Oct 11];9. Available from: https://www.frontiersin.org/articles/10.3389/fbioe.2021.643110</w:t>
      </w:r>
    </w:p>
    <w:p w14:paraId="0FBAF35A" w14:textId="77777777" w:rsidR="00873504" w:rsidRPr="0026705F" w:rsidRDefault="00873504" w:rsidP="0026705F">
      <w:pPr>
        <w:pStyle w:val="Bibliografia"/>
        <w:jc w:val="both"/>
        <w:rPr>
          <w:sz w:val="22"/>
          <w:szCs w:val="22"/>
          <w:lang w:val="en-US"/>
        </w:rPr>
      </w:pPr>
      <w:r w:rsidRPr="0026705F">
        <w:rPr>
          <w:sz w:val="22"/>
          <w:szCs w:val="22"/>
          <w:lang w:val="en-US"/>
        </w:rPr>
        <w:t xml:space="preserve">17. Li H, Zhou W, Sun S, Zhang T, Zhang T, Huang H, et al. Microfibrillar-associated protein 5 regulates osteogenic differentiation by modulating the Wnt/β-catenin and AMPK signaling pathways. Molecular Medicine. 2021;27:153. </w:t>
      </w:r>
    </w:p>
    <w:p w14:paraId="1216821D" w14:textId="77777777" w:rsidR="00873504" w:rsidRPr="0026705F" w:rsidRDefault="00873504" w:rsidP="0026705F">
      <w:pPr>
        <w:pStyle w:val="Bibliografia"/>
        <w:jc w:val="both"/>
        <w:rPr>
          <w:sz w:val="22"/>
          <w:szCs w:val="22"/>
          <w:lang w:val="en-US"/>
        </w:rPr>
      </w:pPr>
      <w:r w:rsidRPr="0026705F">
        <w:rPr>
          <w:sz w:val="22"/>
          <w:szCs w:val="22"/>
          <w:lang w:val="en-US"/>
        </w:rPr>
        <w:t xml:space="preserve">18. Vaittinen M, Kolehmainen M, Rydén M, Eskelinen M, Wabitsch M, Pihlajamäki J, et al. MFAP5 is related to obesity-associated adipose tissue and extracellular matrix remodeling and inflammation. Obesity. 2015;23:1371–8. </w:t>
      </w:r>
    </w:p>
    <w:p w14:paraId="048A51C7" w14:textId="77777777" w:rsidR="00873504" w:rsidRPr="0026705F" w:rsidRDefault="00873504" w:rsidP="0026705F">
      <w:pPr>
        <w:pStyle w:val="Bibliografia"/>
        <w:jc w:val="both"/>
        <w:rPr>
          <w:sz w:val="22"/>
          <w:szCs w:val="22"/>
          <w:lang w:val="en-US"/>
        </w:rPr>
      </w:pPr>
      <w:r w:rsidRPr="0026705F">
        <w:rPr>
          <w:sz w:val="22"/>
          <w:szCs w:val="22"/>
          <w:lang w:val="en-US"/>
        </w:rPr>
        <w:t xml:space="preserve">19. Han W, Shi J, Cao J, Dong B, Guan W. &lt;p&gt;Latest Advances of Long Non-Coding RNA SNHG5 in Human Cancers&lt;/p&gt;. OTT. 2020;13:6393–403. </w:t>
      </w:r>
    </w:p>
    <w:p w14:paraId="496FFE75" w14:textId="77777777" w:rsidR="00873504" w:rsidRPr="0026705F" w:rsidRDefault="00873504" w:rsidP="0026705F">
      <w:pPr>
        <w:pStyle w:val="Bibliografia"/>
        <w:jc w:val="both"/>
        <w:rPr>
          <w:sz w:val="22"/>
          <w:szCs w:val="22"/>
          <w:lang w:val="en-US"/>
        </w:rPr>
      </w:pPr>
      <w:r w:rsidRPr="0026705F">
        <w:rPr>
          <w:sz w:val="22"/>
          <w:szCs w:val="22"/>
          <w:lang w:val="en-US"/>
        </w:rPr>
        <w:t xml:space="preserve">20. Li Y, Guo D, Zhao Y, Ren M, Lu G, Wang Y, et al. Long non-coding RNA SNHG5 promotes human hepatocellular carcinoma progression by regulating miR-26a-5p/GSK3β signal pathway. Cell Death Dis. 2018;9:1–15. </w:t>
      </w:r>
    </w:p>
    <w:p w14:paraId="6881AD10" w14:textId="77777777" w:rsidR="00873504" w:rsidRPr="0026705F" w:rsidRDefault="00873504" w:rsidP="0026705F">
      <w:pPr>
        <w:pStyle w:val="Bibliografia"/>
        <w:jc w:val="both"/>
        <w:rPr>
          <w:sz w:val="22"/>
          <w:szCs w:val="22"/>
          <w:lang w:val="en-US"/>
        </w:rPr>
      </w:pPr>
      <w:r w:rsidRPr="0026705F">
        <w:rPr>
          <w:sz w:val="22"/>
          <w:szCs w:val="22"/>
          <w:lang w:val="en-US"/>
        </w:rPr>
        <w:t>21. González-González L, Alonso J. Periostin: A Matricellular Protein With Multiple Functions in Cancer Development and Progression. Frontiers in Oncology [Internet]. 2018 [cited 2023 Oct 11];8. Available from: https://www.frontiersin.org/articles/10.3389/fonc.2018.00225</w:t>
      </w:r>
    </w:p>
    <w:p w14:paraId="51D9217E" w14:textId="77777777" w:rsidR="00873504" w:rsidRPr="0026705F" w:rsidRDefault="00873504" w:rsidP="0026705F">
      <w:pPr>
        <w:pStyle w:val="Bibliografia"/>
        <w:jc w:val="both"/>
        <w:rPr>
          <w:sz w:val="22"/>
          <w:szCs w:val="22"/>
          <w:lang w:val="en-US"/>
        </w:rPr>
      </w:pPr>
      <w:r w:rsidRPr="0026705F">
        <w:rPr>
          <w:sz w:val="22"/>
          <w:szCs w:val="22"/>
          <w:lang w:val="en-US"/>
        </w:rPr>
        <w:t>22. Han L, Gong S, Wang R, Liu S, Wang B, Chen G, et al. Knockdown of POSTN Inhibits Osteogenic Differentiation of Mesenchymal Stem Cells From Patients With Steroid-Induced Osteonecrosis. Frontiers in Cell and Developmental Biology [Internet]. 2020 [cited 2023 Oct 11];8. Available from: https://www.frontiersin.org/articles/10.3389/fcell.2020.606289</w:t>
      </w:r>
    </w:p>
    <w:p w14:paraId="11E6C115" w14:textId="77777777" w:rsidR="00873504" w:rsidRPr="0026705F" w:rsidRDefault="00873504" w:rsidP="0026705F">
      <w:pPr>
        <w:pStyle w:val="Bibliografia"/>
        <w:jc w:val="both"/>
        <w:rPr>
          <w:sz w:val="22"/>
          <w:szCs w:val="22"/>
          <w:lang w:val="en-US"/>
        </w:rPr>
      </w:pPr>
      <w:r w:rsidRPr="0026705F">
        <w:rPr>
          <w:sz w:val="22"/>
          <w:szCs w:val="22"/>
          <w:lang w:val="en-US"/>
        </w:rPr>
        <w:t xml:space="preserve">23. Zhang F, Zhang Z, Sun D, Dong S, Xu J, Dai F. Periostin: A Downstream Mediator of EphB4-Induced Osteogenic Differentiation of Human Bone Marrow-Derived Mesenchymal Stem Cells. Stem Cells International. 2015;2016. </w:t>
      </w:r>
    </w:p>
    <w:p w14:paraId="5C8A0217" w14:textId="77777777" w:rsidR="00873504" w:rsidRPr="0026705F" w:rsidRDefault="00873504" w:rsidP="0026705F">
      <w:pPr>
        <w:pStyle w:val="Bibliografia"/>
        <w:jc w:val="both"/>
        <w:rPr>
          <w:sz w:val="22"/>
          <w:szCs w:val="22"/>
          <w:lang w:val="en-US"/>
        </w:rPr>
      </w:pPr>
      <w:r w:rsidRPr="0026705F">
        <w:rPr>
          <w:sz w:val="22"/>
          <w:szCs w:val="22"/>
          <w:lang w:val="en-US"/>
        </w:rPr>
        <w:t xml:space="preserve">24. Alfaro MP, Deskins DL, Wallus M, DasGupta J, Davidson JM, Nanney LB, et al. A physiological role for connective tissue growth factor in early wound healing. Lab Invest. 2013;93:81–95. </w:t>
      </w:r>
    </w:p>
    <w:p w14:paraId="357F26CA" w14:textId="77777777" w:rsidR="00873504" w:rsidRPr="0026705F" w:rsidRDefault="00873504" w:rsidP="0026705F">
      <w:pPr>
        <w:pStyle w:val="Bibliografia"/>
        <w:jc w:val="both"/>
        <w:rPr>
          <w:sz w:val="22"/>
          <w:szCs w:val="22"/>
          <w:lang w:val="en-US"/>
        </w:rPr>
      </w:pPr>
      <w:r w:rsidRPr="0026705F">
        <w:rPr>
          <w:sz w:val="22"/>
          <w:szCs w:val="22"/>
          <w:lang w:val="en-US"/>
        </w:rPr>
        <w:t xml:space="preserve">25. Leguit RJ, Raymakers RAP, Hebeda KM, Goldschmeding R. CCN2 (Cellular Communication Network factor 2) in the bone marrow microenvironment, normal and malignant hematopoiesis. J Cell Commun Signal. 2021;15:25–56. </w:t>
      </w:r>
    </w:p>
    <w:p w14:paraId="69FFE594" w14:textId="77777777" w:rsidR="00873504" w:rsidRPr="0026705F" w:rsidRDefault="00873504" w:rsidP="0026705F">
      <w:pPr>
        <w:pStyle w:val="Bibliografia"/>
        <w:jc w:val="both"/>
        <w:rPr>
          <w:sz w:val="22"/>
          <w:szCs w:val="22"/>
          <w:lang w:val="en-US"/>
        </w:rPr>
      </w:pPr>
      <w:r w:rsidRPr="0026705F">
        <w:rPr>
          <w:sz w:val="22"/>
          <w:szCs w:val="22"/>
          <w:lang w:val="en-US"/>
        </w:rPr>
        <w:t xml:space="preserve">26. Wu Y-L, Li H-Y, Zhao X-P, Jiao J-Y, Tang D-X, Yan L-J, et al. Mesenchymal stem cell-derived CCN2 promotes the proliferation, migration and invasion of human tongue squamous cell carcinoma cells. Cancer Sci. 2017;108:897–909. </w:t>
      </w:r>
    </w:p>
    <w:p w14:paraId="19174293" w14:textId="77777777" w:rsidR="00873504" w:rsidRPr="0026705F" w:rsidRDefault="00873504" w:rsidP="0026705F">
      <w:pPr>
        <w:pStyle w:val="Bibliografia"/>
        <w:jc w:val="both"/>
        <w:rPr>
          <w:sz w:val="22"/>
          <w:szCs w:val="22"/>
          <w:lang w:val="en-US"/>
        </w:rPr>
      </w:pPr>
      <w:r w:rsidRPr="0026705F">
        <w:rPr>
          <w:sz w:val="22"/>
          <w:szCs w:val="22"/>
          <w:lang w:val="en-US"/>
        </w:rPr>
        <w:t xml:space="preserve">27. Almalki SG, Agrawal DK. Effects of matrix metalloproteinases on the fate of mesenchymal stem cells. Stem Cell Research &amp; Therapy. 2016;7:129. </w:t>
      </w:r>
    </w:p>
    <w:p w14:paraId="2C61B2C8" w14:textId="77777777" w:rsidR="00873504" w:rsidRPr="0026705F" w:rsidRDefault="00873504" w:rsidP="0026705F">
      <w:pPr>
        <w:pStyle w:val="Bibliografia"/>
        <w:jc w:val="both"/>
        <w:rPr>
          <w:sz w:val="22"/>
          <w:szCs w:val="22"/>
          <w:lang w:val="en-US"/>
        </w:rPr>
      </w:pPr>
      <w:r w:rsidRPr="0026705F">
        <w:rPr>
          <w:sz w:val="22"/>
          <w:szCs w:val="22"/>
          <w:lang w:val="en-US"/>
        </w:rPr>
        <w:t>28. Fan D, Kassiri Z. Biology of Tissue Inhibitor of Metalloproteinase 3 (TIMP3), and Its Therapeutic Implications in Cardiovascular Pathology. Frontiers in Physiology [Internet]. 2020 [cited 2023 Oct 11];11. Available from: https://www.frontiersin.org/articles/10.3389/fphys.2020.00661</w:t>
      </w:r>
    </w:p>
    <w:p w14:paraId="3B147108"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29. Ushakov RE, Skvortsova EV, Vitte MA, Vassilieva IO, Shatrova AN, Kotova AV, et al. Chondrogenic differentiation followed IGFBP3 loss in human endometrial mesenchymal stem cells. Biochemical and Biophysical Research Communications. 2020;531:133–9. </w:t>
      </w:r>
    </w:p>
    <w:p w14:paraId="1A411999" w14:textId="77777777" w:rsidR="00873504" w:rsidRPr="0026705F" w:rsidRDefault="00873504" w:rsidP="0026705F">
      <w:pPr>
        <w:pStyle w:val="Bibliografia"/>
        <w:jc w:val="both"/>
        <w:rPr>
          <w:sz w:val="22"/>
          <w:szCs w:val="22"/>
          <w:lang w:val="en-US"/>
        </w:rPr>
      </w:pPr>
      <w:r w:rsidRPr="0026705F">
        <w:rPr>
          <w:sz w:val="22"/>
          <w:szCs w:val="22"/>
          <w:lang w:val="en-US"/>
        </w:rPr>
        <w:t>30. Varma Shrivastav S, Bhardwaj A, Pathak KA, Shrivastav A. Insulin-Like Growth Factor Binding Protein-3 (IGFBP-3): Unraveling the Role in Mediating IGF-Independent Effects Within the Cell. Frontiers in Cell and Developmental Biology [Internet]. 2020 [cited 2023 Oct 11];8. Available from: https://www.frontiersin.org/articles/10.3389/fcell.2020.00286</w:t>
      </w:r>
    </w:p>
    <w:p w14:paraId="4E7FC651" w14:textId="77777777" w:rsidR="00873504" w:rsidRPr="0026705F" w:rsidRDefault="00873504" w:rsidP="0026705F">
      <w:pPr>
        <w:pStyle w:val="Bibliografia"/>
        <w:jc w:val="both"/>
        <w:rPr>
          <w:sz w:val="22"/>
          <w:szCs w:val="22"/>
          <w:lang w:val="en-US"/>
        </w:rPr>
      </w:pPr>
      <w:r w:rsidRPr="0026705F">
        <w:rPr>
          <w:sz w:val="22"/>
          <w:szCs w:val="22"/>
          <w:lang w:val="en-US"/>
        </w:rPr>
        <w:t xml:space="preserve">31. Halle MK, Sødal M, Forsse D, Engerud H, Woie K, Lura NG, et al. A 10-gene prognostic signature points to LIMCH1 and HLA-DQB1 as important players in aggressive cervical cancer disease. Br J Cancer. 2021;124:1690–8. </w:t>
      </w:r>
    </w:p>
    <w:p w14:paraId="16E7F30F" w14:textId="77777777" w:rsidR="00873504" w:rsidRPr="0026705F" w:rsidRDefault="00873504" w:rsidP="0026705F">
      <w:pPr>
        <w:pStyle w:val="Bibliografia"/>
        <w:jc w:val="both"/>
        <w:rPr>
          <w:sz w:val="22"/>
          <w:szCs w:val="22"/>
          <w:lang w:val="en-US"/>
        </w:rPr>
      </w:pPr>
      <w:r w:rsidRPr="0026705F">
        <w:rPr>
          <w:sz w:val="22"/>
          <w:szCs w:val="22"/>
          <w:lang w:val="en-US"/>
        </w:rPr>
        <w:t xml:space="preserve">32. Tashireva L, Gerashchenko T, Alifanov V, Perelmuter V, Cherdyntseva N. 51P - LIMCH1-related genes demonstrate different invasive potential of morphological structures of breast cancer. Annals of Oncology. 2019;30:vii16. </w:t>
      </w:r>
    </w:p>
    <w:p w14:paraId="5B6453EC" w14:textId="77777777" w:rsidR="00873504" w:rsidRPr="0026705F" w:rsidRDefault="00873504" w:rsidP="0026705F">
      <w:pPr>
        <w:pStyle w:val="Bibliografia"/>
        <w:jc w:val="both"/>
        <w:rPr>
          <w:sz w:val="22"/>
          <w:szCs w:val="22"/>
          <w:lang w:val="en-US"/>
        </w:rPr>
      </w:pPr>
      <w:r w:rsidRPr="0026705F">
        <w:rPr>
          <w:sz w:val="22"/>
          <w:szCs w:val="22"/>
          <w:lang w:val="en-US"/>
        </w:rPr>
        <w:t xml:space="preserve">33. Dong D, Mu Z, Zhao C, Sun M. ZFAS1: a novel tumor-related long non-coding RNA. Cancer Cell International. 2018;18:125. </w:t>
      </w:r>
    </w:p>
    <w:p w14:paraId="32F47DE5" w14:textId="77777777" w:rsidR="00873504" w:rsidRPr="0026705F" w:rsidRDefault="00873504" w:rsidP="0026705F">
      <w:pPr>
        <w:pStyle w:val="Bibliografia"/>
        <w:jc w:val="both"/>
        <w:rPr>
          <w:sz w:val="22"/>
          <w:szCs w:val="22"/>
          <w:lang w:val="en-US"/>
        </w:rPr>
      </w:pPr>
      <w:r w:rsidRPr="0026705F">
        <w:rPr>
          <w:sz w:val="22"/>
          <w:szCs w:val="22"/>
          <w:lang w:val="en-US"/>
        </w:rPr>
        <w:t xml:space="preserve">34. O’Brien SJ, Fiechter C, Burton J, Hallion J, Paas M, Patel A, et al. Long non-coding RNA ZFAS1 is a major regulator of epithelial-mesenchymal transition through miR-200/ZEB1/E-cadherin, vimentin signaling in colon adenocarcinoma. Cell Death Discov. 2021;7:1–14. </w:t>
      </w:r>
    </w:p>
    <w:p w14:paraId="688E8904" w14:textId="77777777" w:rsidR="00873504" w:rsidRPr="0026705F" w:rsidRDefault="00873504" w:rsidP="0026705F">
      <w:pPr>
        <w:pStyle w:val="Bibliografia"/>
        <w:jc w:val="both"/>
        <w:rPr>
          <w:sz w:val="22"/>
          <w:szCs w:val="22"/>
          <w:lang w:val="en-US"/>
        </w:rPr>
      </w:pPr>
      <w:r w:rsidRPr="0026705F">
        <w:rPr>
          <w:sz w:val="22"/>
          <w:szCs w:val="22"/>
          <w:lang w:val="en-US"/>
        </w:rPr>
        <w:t xml:space="preserve">35. Galaviz-Hernandez C, Stagg C, de Ridder G, Tanaka TS, Ko MSH, Schlessinger D, et al. Plac8 and Plac9, novel placental-enriched genes identified through microarray analysis. Gene. 2003;309:81–9. </w:t>
      </w:r>
    </w:p>
    <w:p w14:paraId="3F2B3B97" w14:textId="77777777" w:rsidR="00873504" w:rsidRPr="0026705F" w:rsidRDefault="00873504" w:rsidP="0026705F">
      <w:pPr>
        <w:pStyle w:val="Bibliografia"/>
        <w:jc w:val="both"/>
        <w:rPr>
          <w:sz w:val="22"/>
          <w:szCs w:val="22"/>
          <w:lang w:val="en-US"/>
        </w:rPr>
      </w:pPr>
      <w:r w:rsidRPr="0026705F">
        <w:rPr>
          <w:sz w:val="22"/>
          <w:szCs w:val="22"/>
          <w:lang w:val="en-US"/>
        </w:rPr>
        <w:t>36. Wang H-X, Qin X-H, Shen J, Liu Q-H, Shi Y-B, Xue L. Proteomic Analysis Reveals That Placenta-Specific Protein 9 Inhibits Proliferation and Stimulates Motility of Human Bronchial Epithelial Cells. Frontiers in Oncology [Internet]. 2021 [cited 2023 Oct 11];11. Available from: https://www.frontiersin.org/articles/10.3389/fonc.2021.628480</w:t>
      </w:r>
    </w:p>
    <w:p w14:paraId="7899E139" w14:textId="77777777" w:rsidR="00873504" w:rsidRPr="0026705F" w:rsidRDefault="00873504" w:rsidP="0026705F">
      <w:pPr>
        <w:pStyle w:val="Bibliografia"/>
        <w:jc w:val="both"/>
        <w:rPr>
          <w:sz w:val="22"/>
          <w:szCs w:val="22"/>
          <w:lang w:val="en-US"/>
        </w:rPr>
      </w:pPr>
      <w:r w:rsidRPr="0026705F">
        <w:rPr>
          <w:sz w:val="22"/>
          <w:szCs w:val="22"/>
          <w:lang w:val="en-US"/>
        </w:rPr>
        <w:t xml:space="preserve">37. Wu Z, Tang Y, Niu X, Cheng Q. Expression and gene regulation network of INHBA in Head and neck squamous cell carcinoma based on data mining. Sci Rep. 2019;9:14341. </w:t>
      </w:r>
    </w:p>
    <w:p w14:paraId="426251F3" w14:textId="77777777" w:rsidR="00873504" w:rsidRPr="0026705F" w:rsidRDefault="00873504" w:rsidP="0026705F">
      <w:pPr>
        <w:pStyle w:val="Bibliografia"/>
        <w:jc w:val="both"/>
        <w:rPr>
          <w:sz w:val="22"/>
          <w:szCs w:val="22"/>
          <w:lang w:val="en-US"/>
        </w:rPr>
      </w:pPr>
      <w:r w:rsidRPr="0026705F">
        <w:rPr>
          <w:sz w:val="22"/>
          <w:szCs w:val="22"/>
          <w:lang w:val="en-US"/>
        </w:rPr>
        <w:t>38. Zhao K, Yi Y, Ma Z, Zhang W. INHBA is a Prognostic Biomarker and Correlated With Immune Cell Infiltration in Cervical Cancer. Frontiers in Genetics [Internet]. 2022 [cited 2023 Oct 11];12. Available from: https://www.frontiersin.org/articles/10.3389/fgene.2021.705512</w:t>
      </w:r>
    </w:p>
    <w:p w14:paraId="50EEB610" w14:textId="77777777" w:rsidR="00873504" w:rsidRPr="0026705F" w:rsidRDefault="00873504" w:rsidP="0026705F">
      <w:pPr>
        <w:pStyle w:val="Bibliografia"/>
        <w:jc w:val="both"/>
        <w:rPr>
          <w:sz w:val="22"/>
          <w:szCs w:val="22"/>
          <w:lang w:val="en-US"/>
        </w:rPr>
      </w:pPr>
      <w:r w:rsidRPr="0026705F">
        <w:rPr>
          <w:sz w:val="22"/>
          <w:szCs w:val="22"/>
          <w:lang w:val="en-US"/>
        </w:rPr>
        <w:t xml:space="preserve">39. Chen L, Liu J, Wang L, Yang X, Jiang Q, Ji F, et al. Up-regulated FNDC1 accelerates stemness and chemoradiation resistance in colorectal cancer cells. Biochemical and Biophysical Research Communications. 2022;602:84–90. </w:t>
      </w:r>
    </w:p>
    <w:p w14:paraId="70CB5508" w14:textId="77777777" w:rsidR="00873504" w:rsidRPr="0026705F" w:rsidRDefault="00873504" w:rsidP="0026705F">
      <w:pPr>
        <w:pStyle w:val="Bibliografia"/>
        <w:jc w:val="both"/>
        <w:rPr>
          <w:sz w:val="22"/>
          <w:szCs w:val="22"/>
          <w:lang w:val="en-US"/>
        </w:rPr>
      </w:pPr>
      <w:r w:rsidRPr="0026705F">
        <w:rPr>
          <w:sz w:val="22"/>
          <w:szCs w:val="22"/>
          <w:lang w:val="en-US"/>
        </w:rPr>
        <w:t>40. Jiang T, Gao W, Lin S, Chen H, Du B, Liu Q, et al. FNDC1 Promotes the Invasiveness of Gastric Cancer via Wnt/β-Catenin Signaling Pathway and Correlates With Peritoneal Metastasis and Prognosis. Frontiers in Oncology [Internet]. 2020 [cited 2023 Oct 11];10. Available from: https://www.frontiersin.org/articles/10.3389/fonc.2020.590492</w:t>
      </w:r>
    </w:p>
    <w:p w14:paraId="438A1036" w14:textId="77777777" w:rsidR="00873504" w:rsidRPr="0026705F" w:rsidRDefault="00873504" w:rsidP="0026705F">
      <w:pPr>
        <w:pStyle w:val="Bibliografia"/>
        <w:jc w:val="both"/>
        <w:rPr>
          <w:sz w:val="22"/>
          <w:szCs w:val="22"/>
          <w:lang w:val="en-US"/>
        </w:rPr>
      </w:pPr>
      <w:r w:rsidRPr="0026705F">
        <w:rPr>
          <w:sz w:val="22"/>
          <w:szCs w:val="22"/>
          <w:lang w:val="en-US"/>
        </w:rPr>
        <w:t>41. Chu HY, Chen Z, Wang L, Zhang Z-K, Tan X, Liu S, et al. Dickkopf-1: A Promising Target for Cancer Immunotherapy. Frontiers in Immunology [Internet]. 2021 [cited 2023 Oct 11];12. Available from: https://www.frontiersin.org/articles/10.3389/fimmu.2021.658097</w:t>
      </w:r>
    </w:p>
    <w:p w14:paraId="229CCEA5" w14:textId="77777777" w:rsidR="00873504" w:rsidRPr="0026705F" w:rsidRDefault="00873504" w:rsidP="0026705F">
      <w:pPr>
        <w:pStyle w:val="Bibliografia"/>
        <w:jc w:val="both"/>
        <w:rPr>
          <w:sz w:val="22"/>
          <w:szCs w:val="22"/>
          <w:lang w:val="en-US"/>
        </w:rPr>
      </w:pPr>
      <w:r w:rsidRPr="0026705F">
        <w:rPr>
          <w:sz w:val="22"/>
          <w:szCs w:val="22"/>
          <w:lang w:val="en-US"/>
        </w:rPr>
        <w:t xml:space="preserve">42. Niida A, Hiroko T, Kasai M, Furukawa Y, Nakamura Y, Suzuki Y, et al. DKK1, a negative regulator of Wnt signaling, is a target of the β-catenin/TCF pathway. Oncogene. 2004;23:8520–6. </w:t>
      </w:r>
    </w:p>
    <w:p w14:paraId="74B06069"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43. Tsuji-Tamura K, Morino-Koga S, Suzuki S, Ogawa M. The canonical smooth muscle cell marker TAGLN is present in endothelial cells and is involved in angiogenesis. Journal of Cell Science. 2021;134:jcs254920. </w:t>
      </w:r>
    </w:p>
    <w:p w14:paraId="2D6F9F7F" w14:textId="77777777" w:rsidR="00873504" w:rsidRPr="0026705F" w:rsidRDefault="00873504" w:rsidP="0026705F">
      <w:pPr>
        <w:pStyle w:val="Bibliografia"/>
        <w:jc w:val="both"/>
        <w:rPr>
          <w:sz w:val="22"/>
          <w:szCs w:val="22"/>
          <w:lang w:val="en-US"/>
        </w:rPr>
      </w:pPr>
      <w:r w:rsidRPr="0026705F">
        <w:rPr>
          <w:sz w:val="22"/>
          <w:szCs w:val="22"/>
          <w:lang w:val="en-US"/>
        </w:rPr>
        <w:t xml:space="preserve">44. Wei X, Lou H, Zhou D, Jia Y, Li H, Huang Q, et al. TAGLN mediated stiffness-regulated ovarian cancer progression via RhoA/ROCK pathway. Journal of Experimental &amp; Clinical Cancer Research. 2021;40:292. </w:t>
      </w:r>
    </w:p>
    <w:p w14:paraId="2E468EA6" w14:textId="77777777" w:rsidR="00873504" w:rsidRPr="0026705F" w:rsidRDefault="00873504" w:rsidP="0026705F">
      <w:pPr>
        <w:pStyle w:val="Bibliografia"/>
        <w:jc w:val="both"/>
        <w:rPr>
          <w:sz w:val="22"/>
          <w:szCs w:val="22"/>
          <w:lang w:val="en-US"/>
        </w:rPr>
      </w:pPr>
      <w:r w:rsidRPr="0026705F">
        <w:rPr>
          <w:sz w:val="22"/>
          <w:szCs w:val="22"/>
          <w:lang w:val="en-US"/>
        </w:rPr>
        <w:t xml:space="preserve">45. Bi N, Sun Y, Lei S, Zeng Z, Zhang Y, Sun C, et al. Identification of 40S ribosomal protein S8 as a novel biomarker for alcohol‑associated hepatocellular carcinoma using weighted gene co‑expression network analysis. Oncology Reports. 2020;44:611–27. </w:t>
      </w:r>
    </w:p>
    <w:p w14:paraId="63DB4308" w14:textId="77777777" w:rsidR="00873504" w:rsidRPr="0026705F" w:rsidRDefault="00873504" w:rsidP="0026705F">
      <w:pPr>
        <w:pStyle w:val="Bibliografia"/>
        <w:jc w:val="both"/>
        <w:rPr>
          <w:sz w:val="22"/>
          <w:szCs w:val="22"/>
          <w:lang w:val="en-US"/>
        </w:rPr>
      </w:pPr>
      <w:r w:rsidRPr="0026705F">
        <w:rPr>
          <w:sz w:val="22"/>
          <w:szCs w:val="22"/>
          <w:lang w:val="en-US"/>
        </w:rPr>
        <w:t xml:space="preserve">46. Luan Y, Tang N, Yang J, Liu S, Cheng C, Wang Y, et al. Deficiency of ribosomal proteins reshapes the transcriptional and translational landscape in human cells. Nucleic Acids Res. 2022;50:6601–17. </w:t>
      </w:r>
    </w:p>
    <w:p w14:paraId="6DA763BE" w14:textId="77777777" w:rsidR="00873504" w:rsidRPr="0026705F" w:rsidRDefault="00873504" w:rsidP="0026705F">
      <w:pPr>
        <w:pStyle w:val="Bibliografia"/>
        <w:jc w:val="both"/>
        <w:rPr>
          <w:sz w:val="22"/>
          <w:szCs w:val="22"/>
          <w:lang w:val="en-US"/>
        </w:rPr>
      </w:pPr>
      <w:r w:rsidRPr="0026705F">
        <w:rPr>
          <w:sz w:val="22"/>
          <w:szCs w:val="22"/>
          <w:lang w:val="en-US"/>
        </w:rPr>
        <w:t xml:space="preserve">47. Wellmann S, Truss M, Bruder E, Tornillo L, Zelmer A, Seeger K, et al. The RNA-Binding Protein RBM3 Is Required for Cell Proliferation and Protects Against Serum Deprivation-Induced Cell Death. Pediatr Res. 2010;67:35–41. </w:t>
      </w:r>
    </w:p>
    <w:p w14:paraId="49AA680F" w14:textId="77777777" w:rsidR="00873504" w:rsidRPr="0026705F" w:rsidRDefault="00873504" w:rsidP="0026705F">
      <w:pPr>
        <w:pStyle w:val="Bibliografia"/>
        <w:jc w:val="both"/>
        <w:rPr>
          <w:sz w:val="22"/>
          <w:szCs w:val="22"/>
          <w:lang w:val="en-US"/>
        </w:rPr>
      </w:pPr>
      <w:r w:rsidRPr="0026705F">
        <w:rPr>
          <w:sz w:val="22"/>
          <w:szCs w:val="22"/>
          <w:lang w:val="en-US"/>
        </w:rPr>
        <w:t>48. Yan J, Goerne T, Zelmer A, Guzman R, Kapfhammer JP, Wellmann S, et al. The RNA-Binding Protein RBM3 Promotes Neural Stem Cell (NSC) Proliferation Under Hypoxia. Frontiers in Cell and Developmental Biology [Internet]. 2019 [cited 2023 Oct 11];7. Available from: https://www.frontiersin.org/articles/10.3389/fcell.2019.00288</w:t>
      </w:r>
    </w:p>
    <w:p w14:paraId="2966E0FD" w14:textId="77777777" w:rsidR="00873504" w:rsidRPr="0026705F" w:rsidRDefault="00873504" w:rsidP="0026705F">
      <w:pPr>
        <w:pStyle w:val="Bibliografia"/>
        <w:jc w:val="both"/>
        <w:rPr>
          <w:sz w:val="22"/>
          <w:szCs w:val="22"/>
          <w:lang w:val="en-US"/>
        </w:rPr>
      </w:pPr>
      <w:r w:rsidRPr="0026705F">
        <w:rPr>
          <w:sz w:val="22"/>
          <w:szCs w:val="22"/>
          <w:lang w:val="en-US"/>
        </w:rPr>
        <w:t>49. Chen B, Xu X, Lin D, Chen X, Xu Y, Liu X, et al. KRT18 Modulates Alternative Splicing of Genes Involved in Proliferation and Apoptosis Processes in Both Gastric Cancer Cells and Clinical Samples. Frontiers in Genetics [Internet]. 2021 [cited 2023 Oct 11];12. Available from: https://www.frontiersin.org/articles/10.3389/fgene.2021.635429</w:t>
      </w:r>
    </w:p>
    <w:p w14:paraId="6AD22612" w14:textId="77777777" w:rsidR="00873504" w:rsidRPr="0026705F" w:rsidRDefault="00873504" w:rsidP="0026705F">
      <w:pPr>
        <w:pStyle w:val="Bibliografia"/>
        <w:jc w:val="both"/>
        <w:rPr>
          <w:sz w:val="22"/>
          <w:szCs w:val="22"/>
          <w:lang w:val="en-US"/>
        </w:rPr>
      </w:pPr>
      <w:r w:rsidRPr="0026705F">
        <w:rPr>
          <w:sz w:val="22"/>
          <w:szCs w:val="22"/>
          <w:lang w:val="en-US"/>
        </w:rPr>
        <w:t xml:space="preserve">50. Wang P-B, Chen Y, Ding G-R, Du H-W, Fan H-Y. Keratin 18 induces proliferation, migration, and invasion in gastric cancer via the MAPK signalling pathway. Clinical and Experimental Pharmacology and Physiology. 2021;48:147–56. </w:t>
      </w:r>
    </w:p>
    <w:p w14:paraId="1B0B6A6A" w14:textId="77777777" w:rsidR="00873504" w:rsidRPr="0026705F" w:rsidRDefault="00873504" w:rsidP="0026705F">
      <w:pPr>
        <w:pStyle w:val="Bibliografia"/>
        <w:jc w:val="both"/>
        <w:rPr>
          <w:sz w:val="22"/>
          <w:szCs w:val="22"/>
          <w:lang w:val="en-US"/>
        </w:rPr>
      </w:pPr>
      <w:r w:rsidRPr="0026705F">
        <w:rPr>
          <w:sz w:val="22"/>
          <w:szCs w:val="22"/>
          <w:lang w:val="en-US"/>
        </w:rPr>
        <w:t>51. Jin L, Shen F, Weinfeld M, Sergi C. Insulin Growth Factor Binding Protein 7 (IGFBP7)-Related Cancer and IGFBP3 and IGFBP7 Crosstalk. Frontiers in Oncology [Internet]. 2020 [cited 2023 Oct 11];10. Available from: https://www.frontiersin.org/articles/10.3389/fonc.2020.00727</w:t>
      </w:r>
    </w:p>
    <w:p w14:paraId="1FFE3150" w14:textId="77777777" w:rsidR="00873504" w:rsidRPr="0026705F" w:rsidRDefault="00873504" w:rsidP="0026705F">
      <w:pPr>
        <w:pStyle w:val="Bibliografia"/>
        <w:jc w:val="both"/>
        <w:rPr>
          <w:sz w:val="22"/>
          <w:szCs w:val="22"/>
          <w:lang w:val="en-US"/>
        </w:rPr>
      </w:pPr>
      <w:r w:rsidRPr="0026705F">
        <w:rPr>
          <w:sz w:val="22"/>
          <w:szCs w:val="22"/>
          <w:lang w:val="en-US"/>
        </w:rPr>
        <w:t xml:space="preserve">52. Zhang L, Smyth D, Al-Khalaf M, Blet A, Du Q, Bernick J, et al. Insulin-like growth factor-binding protein-7 (IGFBP7) links senescence to heart failure. Nat Cardiovasc Res. 2022;1:1195–214. </w:t>
      </w:r>
    </w:p>
    <w:p w14:paraId="75B68481" w14:textId="77777777" w:rsidR="00873504" w:rsidRPr="0026705F" w:rsidRDefault="00873504" w:rsidP="0026705F">
      <w:pPr>
        <w:pStyle w:val="Bibliografia"/>
        <w:jc w:val="both"/>
        <w:rPr>
          <w:sz w:val="22"/>
          <w:szCs w:val="22"/>
          <w:lang w:val="en-US"/>
        </w:rPr>
      </w:pPr>
      <w:r w:rsidRPr="0026705F">
        <w:rPr>
          <w:sz w:val="22"/>
          <w:szCs w:val="22"/>
          <w:lang w:val="en-US"/>
        </w:rPr>
        <w:t xml:space="preserve">53. Houtman E, Almeida RC de, Tuerlings M, Suchiman HED, Broekhuis D, Nelissen RGHH, et al. Characterization of dynamic changes in Matrix Gla Protein (MGP) gene expression as function of genetic risk alleles, osteoarthritis relevant stimuli, and the vitamin K inhibitor warfarin. Osteoarthritis and Cartilage. 2021;29:1193–202. </w:t>
      </w:r>
    </w:p>
    <w:p w14:paraId="76063CC6" w14:textId="77777777" w:rsidR="00873504" w:rsidRPr="0026705F" w:rsidRDefault="00873504" w:rsidP="0026705F">
      <w:pPr>
        <w:pStyle w:val="Bibliografia"/>
        <w:jc w:val="both"/>
        <w:rPr>
          <w:sz w:val="22"/>
          <w:szCs w:val="22"/>
          <w:lang w:val="en-US"/>
        </w:rPr>
      </w:pPr>
      <w:r w:rsidRPr="0026705F">
        <w:rPr>
          <w:sz w:val="22"/>
          <w:szCs w:val="22"/>
          <w:lang w:val="en-US"/>
        </w:rPr>
        <w:t xml:space="preserve">54. Mertsch S, Schurgers LJ, Weber K, Paulus W, Senner V. Matrix gla protein (MGP): an overexpressed and migration-promoting mesenchymal component in glioblastoma. BMC Cancer. 2009;9:302. </w:t>
      </w:r>
    </w:p>
    <w:p w14:paraId="68567821" w14:textId="77777777" w:rsidR="00873504" w:rsidRPr="0026705F" w:rsidRDefault="00873504" w:rsidP="0026705F">
      <w:pPr>
        <w:pStyle w:val="Bibliografia"/>
        <w:jc w:val="both"/>
        <w:rPr>
          <w:sz w:val="22"/>
          <w:szCs w:val="22"/>
          <w:lang w:val="en-US"/>
        </w:rPr>
      </w:pPr>
      <w:r w:rsidRPr="0026705F">
        <w:rPr>
          <w:sz w:val="22"/>
          <w:szCs w:val="22"/>
          <w:lang w:val="en-US"/>
        </w:rPr>
        <w:t xml:space="preserve">55. Kim H-T, Yin W, Jin Y-J, Panza P, Gunawan F, Grohmann B, et al. Myh10 deficiency leads to defective extracellular matrix remodeling and pulmonary disease. Nat Commun. 2018;9:4600. </w:t>
      </w:r>
    </w:p>
    <w:p w14:paraId="584B8219" w14:textId="77777777" w:rsidR="00873504" w:rsidRPr="0026705F" w:rsidRDefault="00873504" w:rsidP="0026705F">
      <w:pPr>
        <w:pStyle w:val="Bibliografia"/>
        <w:jc w:val="both"/>
        <w:rPr>
          <w:sz w:val="22"/>
          <w:szCs w:val="22"/>
          <w:lang w:val="en-US"/>
        </w:rPr>
      </w:pPr>
      <w:r w:rsidRPr="0026705F">
        <w:rPr>
          <w:sz w:val="22"/>
          <w:szCs w:val="22"/>
          <w:lang w:val="en-US"/>
        </w:rPr>
        <w:t xml:space="preserve">56. Kislev N, Mor-Yossef Moldovan L, Barak R, Egozi M, Benayahu D. MYH10 Governs Adipocyte Function and Adipogenesis through Its Interaction with GLUT4. Int J Mol Sci. 2022;23:2367. </w:t>
      </w:r>
    </w:p>
    <w:p w14:paraId="63CAD970"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57. Haraguchi R, Kitazawa R, Mori K, Tachibana R, Kiyonari H, Imai Y, et al. sFRP4-dependent Wnt signal modulation is critical for bone remodeling during postnatal development and age-related bone loss. Sci Rep. 2016;6:25198. </w:t>
      </w:r>
    </w:p>
    <w:p w14:paraId="78048E27" w14:textId="77777777" w:rsidR="00873504" w:rsidRPr="0026705F" w:rsidRDefault="00873504" w:rsidP="0026705F">
      <w:pPr>
        <w:pStyle w:val="Bibliografia"/>
        <w:jc w:val="both"/>
        <w:rPr>
          <w:sz w:val="22"/>
          <w:szCs w:val="22"/>
          <w:lang w:val="en-US"/>
        </w:rPr>
      </w:pPr>
      <w:r w:rsidRPr="0026705F">
        <w:rPr>
          <w:sz w:val="22"/>
          <w:szCs w:val="22"/>
          <w:lang w:val="en-US"/>
        </w:rPr>
        <w:t xml:space="preserve">58. Pawar NM, Rao P. Secreted frizzled related protein 4 (sFRP4) update: A brief review. Cellular Signalling. 2018;45:63–70. </w:t>
      </w:r>
    </w:p>
    <w:p w14:paraId="61CE60A8" w14:textId="77777777" w:rsidR="00873504" w:rsidRPr="0026705F" w:rsidRDefault="00873504" w:rsidP="0026705F">
      <w:pPr>
        <w:pStyle w:val="Bibliografia"/>
        <w:jc w:val="both"/>
        <w:rPr>
          <w:sz w:val="22"/>
          <w:szCs w:val="22"/>
          <w:lang w:val="en-US"/>
        </w:rPr>
      </w:pPr>
      <w:r w:rsidRPr="0026705F">
        <w:rPr>
          <w:sz w:val="22"/>
          <w:szCs w:val="22"/>
          <w:lang w:val="en-US"/>
        </w:rPr>
        <w:t xml:space="preserve">59. Kuo DS, Labelle-Dumais C, Gould DB. COL4A1 and COL4A2 mutations and disease: insights into pathogenic mechanisms and potential therapeutic targets. Human Molecular Genetics. 2012;21:R97–110. </w:t>
      </w:r>
    </w:p>
    <w:p w14:paraId="455EFBDA" w14:textId="77777777" w:rsidR="00873504" w:rsidRPr="0026705F" w:rsidRDefault="00873504" w:rsidP="0026705F">
      <w:pPr>
        <w:pStyle w:val="Bibliografia"/>
        <w:jc w:val="both"/>
        <w:rPr>
          <w:sz w:val="22"/>
          <w:szCs w:val="22"/>
          <w:lang w:val="en-US"/>
        </w:rPr>
      </w:pPr>
      <w:r w:rsidRPr="0026705F">
        <w:rPr>
          <w:sz w:val="22"/>
          <w:szCs w:val="22"/>
          <w:lang w:val="en-US"/>
        </w:rPr>
        <w:t xml:space="preserve">60. Wang T, Jin H, Hu J, Li X, Ruan H, Xu H, et al. COL4A1 promotes the growth and metastasis of hepatocellular carcinoma cells by activating FAK-Src signaling. Journal of Experimental &amp; Clinical Cancer Research. 2020;39:148. </w:t>
      </w:r>
    </w:p>
    <w:p w14:paraId="67F0A678" w14:textId="77777777" w:rsidR="00873504" w:rsidRPr="0026705F" w:rsidRDefault="00873504" w:rsidP="0026705F">
      <w:pPr>
        <w:pStyle w:val="Bibliografia"/>
        <w:jc w:val="both"/>
        <w:rPr>
          <w:sz w:val="22"/>
          <w:szCs w:val="22"/>
          <w:lang w:val="en-US"/>
        </w:rPr>
      </w:pPr>
      <w:r w:rsidRPr="0026705F">
        <w:rPr>
          <w:sz w:val="22"/>
          <w:szCs w:val="22"/>
          <w:lang w:val="en-US"/>
        </w:rPr>
        <w:t xml:space="preserve">61. Mondal M, Conole D, Nautiyal J, Tate EW. UCHL1 as a novel target in breast cancer: emerging insights from cell and chemical biology. Br J Cancer. 2022;126:24–33. </w:t>
      </w:r>
    </w:p>
    <w:p w14:paraId="162F465A" w14:textId="77777777" w:rsidR="00873504" w:rsidRPr="0026705F" w:rsidRDefault="00873504" w:rsidP="0026705F">
      <w:pPr>
        <w:pStyle w:val="Bibliografia"/>
        <w:jc w:val="both"/>
        <w:rPr>
          <w:sz w:val="22"/>
          <w:szCs w:val="22"/>
          <w:lang w:val="en-US"/>
        </w:rPr>
      </w:pPr>
      <w:r w:rsidRPr="0026705F">
        <w:rPr>
          <w:sz w:val="22"/>
          <w:szCs w:val="22"/>
          <w:lang w:val="en-US"/>
        </w:rPr>
        <w:t xml:space="preserve">62. Nawaz MS, Asghar R, Pervaiz N, Ali S, Hussain I, Xing P, et al. Molecular evolutionary and structural analysis of human UCHL1 gene demonstrates the relevant role of intragenic epistasis in Parkinson’s disease and other neurological disorders. BMC Evolutionary Biology. 2020;20:130. </w:t>
      </w:r>
    </w:p>
    <w:p w14:paraId="2EAAAEBB" w14:textId="77777777" w:rsidR="00873504" w:rsidRPr="0026705F" w:rsidRDefault="00873504" w:rsidP="0026705F">
      <w:pPr>
        <w:pStyle w:val="Bibliografia"/>
        <w:jc w:val="both"/>
        <w:rPr>
          <w:sz w:val="22"/>
          <w:szCs w:val="22"/>
          <w:lang w:val="en-US"/>
        </w:rPr>
      </w:pPr>
      <w:r w:rsidRPr="0026705F">
        <w:rPr>
          <w:sz w:val="22"/>
          <w:szCs w:val="22"/>
          <w:lang w:val="en-US"/>
        </w:rPr>
        <w:t xml:space="preserve">63. Milewicz DM, Østergaard JR, Ala-Kokko LM, Khan N, Grange DK, Mendoza-Londono R, et al. De novo ACTA2 mutation causes a novel syndrome of multisystemic smooth muscle dysfunction. American Journal of Medical Genetics Part A. 2010;152A:2437–43. </w:t>
      </w:r>
    </w:p>
    <w:p w14:paraId="64FE1313" w14:textId="77777777" w:rsidR="00873504" w:rsidRPr="0026705F" w:rsidRDefault="00873504" w:rsidP="0026705F">
      <w:pPr>
        <w:pStyle w:val="Bibliografia"/>
        <w:jc w:val="both"/>
        <w:rPr>
          <w:sz w:val="22"/>
          <w:szCs w:val="22"/>
          <w:lang w:val="en-US"/>
        </w:rPr>
      </w:pPr>
      <w:r w:rsidRPr="0026705F">
        <w:rPr>
          <w:sz w:val="22"/>
          <w:szCs w:val="22"/>
          <w:lang w:val="en-US"/>
        </w:rPr>
        <w:t xml:space="preserve">64. van de Laar IMBH, Arbustini E, Loeys B, Björck E, Murphy L, Groenink M, et al. European reference network for rare vascular diseases (VASCERN) consensus statement for the screening and management of patients with pathogenic ACTA2 variants. Orphanet Journal of Rare Diseases. 2019;14:264. </w:t>
      </w:r>
    </w:p>
    <w:p w14:paraId="022EA343" w14:textId="77777777" w:rsidR="00873504" w:rsidRPr="0026705F" w:rsidRDefault="00873504" w:rsidP="0026705F">
      <w:pPr>
        <w:pStyle w:val="Bibliografia"/>
        <w:jc w:val="both"/>
        <w:rPr>
          <w:sz w:val="22"/>
          <w:szCs w:val="22"/>
          <w:lang w:val="en-US"/>
        </w:rPr>
      </w:pPr>
      <w:r w:rsidRPr="0026705F">
        <w:rPr>
          <w:sz w:val="22"/>
          <w:szCs w:val="22"/>
          <w:lang w:val="en-US"/>
        </w:rPr>
        <w:t xml:space="preserve">65. Gao Y, Xu Q, Li X, Guo Y, Zhang B, Jin Y, et al. Heterogeneity induced GZMA-F2R communication inefficient impairs antitumor immunotherapy of PD-1 mAb through JAK2/STAT1 signal suppression in hepatocellular carcinoma. Cell Death Dis. 2022;13:1–14. </w:t>
      </w:r>
    </w:p>
    <w:p w14:paraId="5239EF45" w14:textId="77777777" w:rsidR="00873504" w:rsidRPr="0026705F" w:rsidRDefault="00873504" w:rsidP="0026705F">
      <w:pPr>
        <w:pStyle w:val="Bibliografia"/>
        <w:jc w:val="both"/>
        <w:rPr>
          <w:sz w:val="22"/>
          <w:szCs w:val="22"/>
          <w:lang w:val="en-US"/>
        </w:rPr>
      </w:pPr>
      <w:r w:rsidRPr="0026705F">
        <w:rPr>
          <w:sz w:val="22"/>
          <w:szCs w:val="22"/>
          <w:lang w:val="en-US"/>
        </w:rPr>
        <w:t xml:space="preserve">66. Gigante B, Bellis A, Visconti R, Marino M, Morisco C, Trimarco V, et al. Retrospective Analysis of Coagulation Factor II Receptor (F2R) Sequence Variation and Coronary Heart Disease in Hypertensive Patients. Arteriosclerosis, Thrombosis, and Vascular Biology. 2007;27:1213–9. </w:t>
      </w:r>
    </w:p>
    <w:p w14:paraId="139D112C" w14:textId="77777777" w:rsidR="00873504" w:rsidRPr="0026705F" w:rsidRDefault="00873504" w:rsidP="0026705F">
      <w:pPr>
        <w:pStyle w:val="Bibliografia"/>
        <w:jc w:val="both"/>
        <w:rPr>
          <w:sz w:val="22"/>
          <w:szCs w:val="22"/>
          <w:lang w:val="en-US"/>
        </w:rPr>
      </w:pPr>
      <w:r w:rsidRPr="0026705F">
        <w:rPr>
          <w:sz w:val="22"/>
          <w:szCs w:val="22"/>
          <w:lang w:val="en-US"/>
        </w:rPr>
        <w:t>67. Duan C, Allard JB. Insulin-Like Growth Factor Binding Protein-5 in Physiology and Disease. Frontiers in Endocrinology [Internet]. 2020 [cited 2023 Oct 11];11. Available from: https://www.frontiersin.org/articles/10.3389/fendo.2020.00100</w:t>
      </w:r>
    </w:p>
    <w:p w14:paraId="0BA88D12" w14:textId="77777777" w:rsidR="00873504" w:rsidRPr="0026705F" w:rsidRDefault="00873504" w:rsidP="0026705F">
      <w:pPr>
        <w:pStyle w:val="Bibliografia"/>
        <w:jc w:val="both"/>
        <w:rPr>
          <w:sz w:val="22"/>
          <w:szCs w:val="22"/>
          <w:lang w:val="en-US"/>
        </w:rPr>
      </w:pPr>
      <w:r w:rsidRPr="0026705F">
        <w:rPr>
          <w:sz w:val="22"/>
          <w:szCs w:val="22"/>
          <w:lang w:val="en-US"/>
        </w:rPr>
        <w:t xml:space="preserve">68. Song C, Wang S, Fu Z, Chi K, Geng X, Liu C, et al. IGFBP5 promotes diabetic kidney disease progression by enhancing PFKFB3-mediated endothelial glycolysis. Cell Death Dis. 2022;13:1–12. </w:t>
      </w:r>
    </w:p>
    <w:p w14:paraId="5C3894F9" w14:textId="77777777" w:rsidR="00873504" w:rsidRPr="0026705F" w:rsidRDefault="00873504" w:rsidP="0026705F">
      <w:pPr>
        <w:pStyle w:val="Bibliografia"/>
        <w:jc w:val="both"/>
        <w:rPr>
          <w:sz w:val="22"/>
          <w:szCs w:val="22"/>
          <w:lang w:val="en-US"/>
        </w:rPr>
      </w:pPr>
      <w:r w:rsidRPr="0026705F">
        <w:rPr>
          <w:sz w:val="22"/>
          <w:szCs w:val="22"/>
          <w:lang w:val="en-US"/>
        </w:rPr>
        <w:t xml:space="preserve">69. Osorio-Conles Ó, Guitart M, Moreno-Navarrete JM, Escoté X, Duran X, Fernandez-Real JM, et al. Adipose Tissue and Serum CCDC80 in Obesity and Its Association with Related Metabolic Disease. Mol Med. 2017;23:225–34. </w:t>
      </w:r>
    </w:p>
    <w:p w14:paraId="01B7FF75" w14:textId="77777777" w:rsidR="00873504" w:rsidRPr="0026705F" w:rsidRDefault="00873504" w:rsidP="0026705F">
      <w:pPr>
        <w:pStyle w:val="Bibliografia"/>
        <w:jc w:val="both"/>
        <w:rPr>
          <w:sz w:val="22"/>
          <w:szCs w:val="22"/>
          <w:lang w:val="en-US"/>
        </w:rPr>
      </w:pPr>
      <w:r w:rsidRPr="0026705F">
        <w:rPr>
          <w:sz w:val="22"/>
          <w:szCs w:val="22"/>
          <w:lang w:val="en-US"/>
        </w:rPr>
        <w:t>70. Sasagawa S, Nishimura Y, Sawada H, Zhang E, Okabe S, Murakami S, et al. Comparative Transcriptome Analysis Identifies CCDC80 as a Novel Gene Associated with Pulmonary Arterial Hypertension. Frontiers in Pharmacology [Internet]. 2016 [cited 2023 Oct 11];7. Available from: https://www.frontiersin.org/articles/10.3389/fphar.2016.00142</w:t>
      </w:r>
    </w:p>
    <w:p w14:paraId="0ACFEDAB"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71. An Q, Liu T, Wang M-Y, Yang Y-J, Zhang Z-D, Liu Z-J, et al. KRT7 promotes epithelial‑mesenchymal transition in ovarian cancer via the TGF‑β/Smad2/3 signaling pathway. Oncology Reports. 2021;45:481–92. </w:t>
      </w:r>
    </w:p>
    <w:p w14:paraId="65DD7B82" w14:textId="77777777" w:rsidR="00873504" w:rsidRPr="0026705F" w:rsidRDefault="00873504" w:rsidP="0026705F">
      <w:pPr>
        <w:pStyle w:val="Bibliografia"/>
        <w:jc w:val="both"/>
        <w:rPr>
          <w:sz w:val="22"/>
          <w:szCs w:val="22"/>
          <w:lang w:val="en-US"/>
        </w:rPr>
      </w:pPr>
      <w:r w:rsidRPr="0026705F">
        <w:rPr>
          <w:sz w:val="22"/>
          <w:szCs w:val="22"/>
          <w:lang w:val="en-US"/>
        </w:rPr>
        <w:t xml:space="preserve">72. Polari L, Tenhami M, Anttila S, Helenius T, Kujari H, Kallajoki M, et al. Colonocyte keratin 7 is expressed de novo in inflammatory bowel diseases and associated with pathological changes and drug-resistance. Sci Rep. 2022;12:22213. </w:t>
      </w:r>
    </w:p>
    <w:p w14:paraId="7CD81882" w14:textId="77777777" w:rsidR="00873504" w:rsidRPr="0026705F" w:rsidRDefault="00873504" w:rsidP="0026705F">
      <w:pPr>
        <w:pStyle w:val="Bibliografia"/>
        <w:jc w:val="both"/>
        <w:rPr>
          <w:sz w:val="22"/>
          <w:szCs w:val="22"/>
          <w:lang w:val="en-US"/>
        </w:rPr>
      </w:pPr>
      <w:r w:rsidRPr="0026705F">
        <w:rPr>
          <w:sz w:val="22"/>
          <w:szCs w:val="22"/>
          <w:lang w:val="en-US"/>
        </w:rPr>
        <w:t xml:space="preserve">73. Wang C-S, Lin K-H, Chen S-L, Chan Y-F, Hsueh S. Overexpression of SPARC gene in human gastric carcinoma and its clinic–pathologic significance. Br J Cancer. 2004;91:1924–30. </w:t>
      </w:r>
    </w:p>
    <w:p w14:paraId="09313289" w14:textId="77777777" w:rsidR="00873504" w:rsidRPr="0026705F" w:rsidRDefault="00873504" w:rsidP="0026705F">
      <w:pPr>
        <w:pStyle w:val="Bibliografia"/>
        <w:jc w:val="both"/>
        <w:rPr>
          <w:sz w:val="22"/>
          <w:szCs w:val="22"/>
          <w:lang w:val="en-US"/>
        </w:rPr>
      </w:pPr>
      <w:r w:rsidRPr="0026705F">
        <w:rPr>
          <w:sz w:val="22"/>
          <w:szCs w:val="22"/>
          <w:lang w:val="en-US"/>
        </w:rPr>
        <w:t xml:space="preserve">74. Xu YZ, Heravi M, Thuraisingam T, Marco SD, Muanza T, Radzioch D. Brg-1 mediates the constitutive and fenretinide-induced expression of SPARC in mammary carcinoma cells via its interaction with transcription factor Sp1. Molecular Cancer. 2010;9:210. </w:t>
      </w:r>
    </w:p>
    <w:p w14:paraId="3F6C5643" w14:textId="77777777" w:rsidR="00873504" w:rsidRPr="0026705F" w:rsidRDefault="00873504" w:rsidP="0026705F">
      <w:pPr>
        <w:pStyle w:val="Bibliografia"/>
        <w:jc w:val="both"/>
        <w:rPr>
          <w:sz w:val="22"/>
          <w:szCs w:val="22"/>
          <w:lang w:val="en-US"/>
        </w:rPr>
      </w:pPr>
      <w:r w:rsidRPr="0026705F">
        <w:rPr>
          <w:sz w:val="22"/>
          <w:szCs w:val="22"/>
          <w:lang w:val="en-US"/>
        </w:rPr>
        <w:t xml:space="preserve">75. Sah SK, Agrahari G, Kim T-Y. Insights into superoxide dismutase 3 in regulating biological and functional properties of mesenchymal stem cells. Cell &amp; Bioscience. 2020;10:22. </w:t>
      </w:r>
    </w:p>
    <w:p w14:paraId="3A360D6D" w14:textId="77777777" w:rsidR="00873504" w:rsidRPr="0026705F" w:rsidRDefault="00873504" w:rsidP="0026705F">
      <w:pPr>
        <w:pStyle w:val="Bibliografia"/>
        <w:jc w:val="both"/>
        <w:rPr>
          <w:sz w:val="22"/>
          <w:szCs w:val="22"/>
          <w:lang w:val="en-US"/>
        </w:rPr>
      </w:pPr>
      <w:r w:rsidRPr="0026705F">
        <w:rPr>
          <w:sz w:val="22"/>
          <w:szCs w:val="22"/>
          <w:lang w:val="en-US"/>
        </w:rPr>
        <w:t>76. Zachariae EDF, Hu L, Petersen SV. Chapter 12 - Extracellular superoxide dismutase (SOD3): An antioxidant or prooxidant in the extracellular space? In: Sies H, editor. Oxidative Stress [Internet]. Academic Press; 2020 [cited 2023 Oct 12]. p. 183–215. Available from: https://www.sciencedirect.com/science/article/pii/B9780128186060000122</w:t>
      </w:r>
    </w:p>
    <w:p w14:paraId="46ADD435" w14:textId="77777777" w:rsidR="00873504" w:rsidRPr="0026705F" w:rsidRDefault="00873504" w:rsidP="0026705F">
      <w:pPr>
        <w:pStyle w:val="Bibliografia"/>
        <w:jc w:val="both"/>
        <w:rPr>
          <w:sz w:val="22"/>
          <w:szCs w:val="22"/>
          <w:lang w:val="en-US"/>
        </w:rPr>
      </w:pPr>
      <w:r w:rsidRPr="0026705F">
        <w:rPr>
          <w:sz w:val="22"/>
          <w:szCs w:val="22"/>
          <w:lang w:val="en-US"/>
        </w:rPr>
        <w:t>77. Knight BE, Kozlowski N, Havelin J, King T, Crocker SJ, Young EE, et al. TIMP-1 Attenuates the Development of Inflammatory Pain Through MMP-Dependent and Receptor-Mediated Cell Signaling Mechanisms. Frontiers in Molecular Neuroscience [Internet]. 2019 [cited 2023 Oct 12];12. Available from: https://www.frontiersin.org/articles/10.3389/fnmol.2019.00220</w:t>
      </w:r>
    </w:p>
    <w:p w14:paraId="15B2C548" w14:textId="77777777" w:rsidR="00873504" w:rsidRPr="0026705F" w:rsidRDefault="00873504" w:rsidP="0026705F">
      <w:pPr>
        <w:pStyle w:val="Bibliografia"/>
        <w:jc w:val="both"/>
        <w:rPr>
          <w:sz w:val="22"/>
          <w:szCs w:val="22"/>
          <w:lang w:val="en-US"/>
        </w:rPr>
      </w:pPr>
      <w:r w:rsidRPr="0026705F">
        <w:rPr>
          <w:sz w:val="22"/>
          <w:szCs w:val="22"/>
          <w:lang w:val="en-US"/>
        </w:rPr>
        <w:t xml:space="preserve">78. Song G, Xu S, Zhang H, Wang Y, Xiao C, Jiang T, et al. TIMP1 is a prognostic marker for the progression and metastasis of colon cancer through FAK-PI3K/AKT and MAPK pathway. Journal of Experimental &amp; Clinical Cancer Research. 2016;35:148. </w:t>
      </w:r>
    </w:p>
    <w:p w14:paraId="06470E56" w14:textId="77777777" w:rsidR="00873504" w:rsidRPr="0026705F" w:rsidRDefault="00873504" w:rsidP="0026705F">
      <w:pPr>
        <w:pStyle w:val="Bibliografia"/>
        <w:jc w:val="both"/>
        <w:rPr>
          <w:sz w:val="22"/>
          <w:szCs w:val="22"/>
          <w:lang w:val="en-US"/>
        </w:rPr>
      </w:pPr>
      <w:r w:rsidRPr="0026705F">
        <w:rPr>
          <w:sz w:val="22"/>
          <w:szCs w:val="22"/>
          <w:lang w:val="en-US"/>
        </w:rPr>
        <w:t xml:space="preserve">79. Guvakova MA, Prabakaran I, Wu Z, Hoffman DI, Huang Y, Tchou J, et al. CDH2/N-cadherin and early diagnosis of invasion in patients with ductal carcinoma in situ. Breast Cancer Res Treat. 2020;183:333–46. </w:t>
      </w:r>
    </w:p>
    <w:p w14:paraId="6EFDAF0A" w14:textId="77777777" w:rsidR="00873504" w:rsidRPr="0026705F" w:rsidRDefault="00873504" w:rsidP="0026705F">
      <w:pPr>
        <w:pStyle w:val="Bibliografia"/>
        <w:jc w:val="both"/>
        <w:rPr>
          <w:sz w:val="22"/>
          <w:szCs w:val="22"/>
          <w:lang w:val="en-US"/>
        </w:rPr>
      </w:pPr>
      <w:r w:rsidRPr="0026705F">
        <w:rPr>
          <w:sz w:val="22"/>
          <w:szCs w:val="22"/>
          <w:lang w:val="en-US"/>
        </w:rPr>
        <w:t>80. László ZI, Lele Z. Flying under the radar: CDH2 (N-cadherin), an important hub molecule in neurodevelopmental and neurodegenerative diseases. Frontiers in Neuroscience [Internet]. 2022 [cited 2023 Oct 12];16. Available from: https://www.frontiersin.org/articles/10.3389/fnins.2022.972059</w:t>
      </w:r>
    </w:p>
    <w:p w14:paraId="1530FC82" w14:textId="77777777" w:rsidR="00873504" w:rsidRPr="0026705F" w:rsidRDefault="00873504" w:rsidP="0026705F">
      <w:pPr>
        <w:pStyle w:val="Bibliografia"/>
        <w:jc w:val="both"/>
        <w:rPr>
          <w:sz w:val="22"/>
          <w:szCs w:val="22"/>
          <w:lang w:val="en-US"/>
        </w:rPr>
      </w:pPr>
      <w:r w:rsidRPr="0026705F">
        <w:rPr>
          <w:sz w:val="22"/>
          <w:szCs w:val="22"/>
          <w:lang w:val="en-US"/>
        </w:rPr>
        <w:t xml:space="preserve">81. Ershov PV, Mezentsev YV, Kopylov AT, Yablokov EO, Svirid AV, Lushchyk AYa, et al. Affinity Isolation and Mass Spectrometry Identification of Prostacyclin Synthase (PTGIS) Subinteractome. Biology (Basel). 2019;8:49. </w:t>
      </w:r>
    </w:p>
    <w:p w14:paraId="1353D408" w14:textId="77777777" w:rsidR="00873504" w:rsidRPr="0026705F" w:rsidRDefault="00873504" w:rsidP="0026705F">
      <w:pPr>
        <w:pStyle w:val="Bibliografia"/>
        <w:jc w:val="both"/>
        <w:rPr>
          <w:sz w:val="22"/>
          <w:szCs w:val="22"/>
          <w:lang w:val="en-US"/>
        </w:rPr>
      </w:pPr>
      <w:r w:rsidRPr="0026705F">
        <w:rPr>
          <w:sz w:val="22"/>
          <w:szCs w:val="22"/>
          <w:lang w:val="en-US"/>
        </w:rPr>
        <w:t>82. Pan X, Yang Y, Meng H, Li H, Chen X, Huang H, et al. DNA Methylation of PTGIS Enhances Hepatic Stellate Cells Activation and Liver Fibrogenesis. Frontiers in Pharmacology [Internet]. 2018 [cited 2023 Oct 12];9. Available from: https://www.frontiersin.org/articles/10.3389/fphar.2018.00553</w:t>
      </w:r>
    </w:p>
    <w:p w14:paraId="11F9F15A" w14:textId="77777777" w:rsidR="00873504" w:rsidRPr="0026705F" w:rsidRDefault="00873504" w:rsidP="0026705F">
      <w:pPr>
        <w:pStyle w:val="Bibliografia"/>
        <w:jc w:val="both"/>
        <w:rPr>
          <w:sz w:val="22"/>
          <w:szCs w:val="22"/>
          <w:lang w:val="en-US"/>
        </w:rPr>
      </w:pPr>
      <w:r w:rsidRPr="0026705F">
        <w:rPr>
          <w:sz w:val="22"/>
          <w:szCs w:val="22"/>
          <w:lang w:val="en-US"/>
        </w:rPr>
        <w:t xml:space="preserve">83. Li X, Zhao D, Guo Z, Li T, Qili M, Xu B, et al. Overexpression of SerpinE2/protease nexin-1 Contribute to Pathological Cardiac Fibrosis via increasing Collagen Deposition. Sci Rep. 2016;6:37635. </w:t>
      </w:r>
    </w:p>
    <w:p w14:paraId="3CACD73F" w14:textId="77777777" w:rsidR="00873504" w:rsidRPr="0026705F" w:rsidRDefault="00873504" w:rsidP="0026705F">
      <w:pPr>
        <w:pStyle w:val="Bibliografia"/>
        <w:jc w:val="both"/>
        <w:rPr>
          <w:sz w:val="22"/>
          <w:szCs w:val="22"/>
          <w:lang w:val="en-US"/>
        </w:rPr>
      </w:pPr>
      <w:r w:rsidRPr="0026705F">
        <w:rPr>
          <w:sz w:val="22"/>
          <w:szCs w:val="22"/>
          <w:lang w:val="en-US"/>
        </w:rPr>
        <w:t xml:space="preserve">84. Yang Y, Xin X, Fu X, Xu D. Expression pattern of human SERPINE2 in a variety of human tumors. Oncology Letters. 2018;15:4523–30. </w:t>
      </w:r>
    </w:p>
    <w:p w14:paraId="4DCA65A6"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85. Xu X, Lu X, Chen L, Peng K, Ji F. Downregulation of MMP1 functions in preventing perineural invasion of pancreatic cancer through blocking the NT‐3/TrkC signaling pathway. J Clin Lab Anal. 2022;36:e24719. </w:t>
      </w:r>
    </w:p>
    <w:p w14:paraId="68AA825F" w14:textId="77777777" w:rsidR="00873504" w:rsidRPr="0026705F" w:rsidRDefault="00873504" w:rsidP="0026705F">
      <w:pPr>
        <w:pStyle w:val="Bibliografia"/>
        <w:jc w:val="both"/>
        <w:rPr>
          <w:sz w:val="22"/>
          <w:szCs w:val="22"/>
          <w:lang w:val="en-US"/>
        </w:rPr>
      </w:pPr>
      <w:r w:rsidRPr="0026705F">
        <w:rPr>
          <w:sz w:val="22"/>
          <w:szCs w:val="22"/>
          <w:lang w:val="en-US"/>
        </w:rPr>
        <w:t>86. Zhou J, Xu M, Tan J, Zhou L, Dong F, Huang T. MMP1 acts as a potential regulator of tumor progression and dedifferentiation in papillary thyroid cancer. Frontiers in Oncology [Internet]. 2022 [cited 2023 Oct 12];12. Available from: https://www.frontiersin.org/articles/10.3389/fonc.2022.1030590</w:t>
      </w:r>
    </w:p>
    <w:p w14:paraId="70585405" w14:textId="77777777" w:rsidR="00873504" w:rsidRPr="0026705F" w:rsidRDefault="00873504" w:rsidP="0026705F">
      <w:pPr>
        <w:pStyle w:val="Bibliografia"/>
        <w:jc w:val="both"/>
        <w:rPr>
          <w:sz w:val="22"/>
          <w:szCs w:val="22"/>
          <w:lang w:val="en-US"/>
        </w:rPr>
      </w:pPr>
      <w:r w:rsidRPr="0026705F">
        <w:rPr>
          <w:sz w:val="22"/>
          <w:szCs w:val="22"/>
          <w:lang w:val="en-US"/>
        </w:rPr>
        <w:t xml:space="preserve">87. Kim E-M, Hwang O. Role of matrix metalloproteinase-3 in neurodegeneration. Journal of Neurochemistry. 2011;116:22–32. </w:t>
      </w:r>
    </w:p>
    <w:p w14:paraId="079C3809" w14:textId="77777777" w:rsidR="00873504" w:rsidRPr="0026705F" w:rsidRDefault="00873504" w:rsidP="0026705F">
      <w:pPr>
        <w:pStyle w:val="Bibliografia"/>
        <w:jc w:val="both"/>
        <w:rPr>
          <w:sz w:val="22"/>
          <w:szCs w:val="22"/>
          <w:lang w:val="en-US"/>
        </w:rPr>
      </w:pPr>
      <w:r w:rsidRPr="0026705F">
        <w:rPr>
          <w:sz w:val="22"/>
          <w:szCs w:val="22"/>
          <w:lang w:val="en-US"/>
        </w:rPr>
        <w:t>88. Wan J, Zhang G, Li X, Qiu X, Ouyang J, Dai J, et al. Matrix Metalloproteinase 3: A Promoting and Destabilizing Factor in the Pathogenesis of Disease and Cell Differentiation. Frontiers in Physiology [Internet]. 2021 [cited 2023 Oct 12];12. Available from: https://www.frontiersin.org/articles/10.3389/fphys.2021.663978</w:t>
      </w:r>
    </w:p>
    <w:p w14:paraId="0F1E5A42" w14:textId="77777777" w:rsidR="00873504" w:rsidRPr="0026705F" w:rsidRDefault="00873504" w:rsidP="0026705F">
      <w:pPr>
        <w:pStyle w:val="Bibliografia"/>
        <w:jc w:val="both"/>
        <w:rPr>
          <w:sz w:val="22"/>
          <w:szCs w:val="22"/>
          <w:lang w:val="en-US"/>
        </w:rPr>
      </w:pPr>
      <w:r w:rsidRPr="0026705F">
        <w:rPr>
          <w:sz w:val="22"/>
          <w:szCs w:val="22"/>
          <w:lang w:val="en-US"/>
        </w:rPr>
        <w:t xml:space="preserve">89. Alateyah N, Gupta I, Rusyniak RS, Ouhtit A. SOD2, a Potential Transcriptional Target Underpinning CD44-Promoted Breast Cancer Progression. Molecules. 2022;27:811. </w:t>
      </w:r>
    </w:p>
    <w:p w14:paraId="1A79572B" w14:textId="77777777" w:rsidR="00873504" w:rsidRPr="0026705F" w:rsidRDefault="00873504" w:rsidP="0026705F">
      <w:pPr>
        <w:pStyle w:val="Bibliografia"/>
        <w:jc w:val="both"/>
        <w:rPr>
          <w:sz w:val="22"/>
          <w:szCs w:val="22"/>
          <w:lang w:val="en-US"/>
        </w:rPr>
      </w:pPr>
      <w:r w:rsidRPr="0026705F">
        <w:rPr>
          <w:sz w:val="22"/>
          <w:szCs w:val="22"/>
          <w:lang w:val="en-US"/>
        </w:rPr>
        <w:t xml:space="preserve">90. Song J, Jiang L, Fu C, Wu X, Liu Z, Xie L, et al. Heterozygous SOD2 deletion deteriorated chronic intermittent hypoxia-induced lung inflammation and vascular remodeling through mtROS-NLRP3 signaling pathway. Acta Pharmacol Sin. 2020;41:1197–207. </w:t>
      </w:r>
    </w:p>
    <w:p w14:paraId="3C11C125" w14:textId="77777777" w:rsidR="00873504" w:rsidRPr="0026705F" w:rsidRDefault="00873504" w:rsidP="0026705F">
      <w:pPr>
        <w:pStyle w:val="Bibliografia"/>
        <w:jc w:val="both"/>
        <w:rPr>
          <w:sz w:val="22"/>
          <w:szCs w:val="22"/>
          <w:lang w:val="en-US"/>
        </w:rPr>
      </w:pPr>
      <w:r w:rsidRPr="0026705F">
        <w:rPr>
          <w:sz w:val="22"/>
          <w:szCs w:val="22"/>
          <w:lang w:val="en-US"/>
        </w:rPr>
        <w:t xml:space="preserve">91. Fei F, Qu J, Li C, Wang X, Li Y, Zhang S. Role of metastasis-induced protein S100A4 in human non-tumor pathophysiologies. Cell &amp; Bioscience. 2017;7:64. </w:t>
      </w:r>
    </w:p>
    <w:p w14:paraId="102B8EF2" w14:textId="77777777" w:rsidR="00873504" w:rsidRPr="0026705F" w:rsidRDefault="00873504" w:rsidP="0026705F">
      <w:pPr>
        <w:pStyle w:val="Bibliografia"/>
        <w:jc w:val="both"/>
        <w:rPr>
          <w:sz w:val="22"/>
          <w:szCs w:val="22"/>
          <w:lang w:val="en-US"/>
        </w:rPr>
      </w:pPr>
      <w:r w:rsidRPr="0026705F">
        <w:rPr>
          <w:sz w:val="22"/>
          <w:szCs w:val="22"/>
          <w:lang w:val="en-US"/>
        </w:rPr>
        <w:t xml:space="preserve">92. Helfman DM, Kim EJ, Lukanidin E, Grigorian M. The metastasis associated protein S100A4: role in tumour progression and metastasis. Br J Cancer. 2005;92:1955–8. </w:t>
      </w:r>
    </w:p>
    <w:p w14:paraId="72179FF8" w14:textId="77777777" w:rsidR="00873504" w:rsidRPr="0026705F" w:rsidRDefault="00873504" w:rsidP="0026705F">
      <w:pPr>
        <w:pStyle w:val="Bibliografia"/>
        <w:jc w:val="both"/>
        <w:rPr>
          <w:sz w:val="22"/>
          <w:szCs w:val="22"/>
          <w:lang w:val="en-US"/>
        </w:rPr>
      </w:pPr>
      <w:r w:rsidRPr="0026705F">
        <w:rPr>
          <w:sz w:val="22"/>
          <w:szCs w:val="22"/>
          <w:lang w:val="en-US"/>
        </w:rPr>
        <w:t xml:space="preserve">93. Liu Z, Gu S, Lu T, Wu K, Li L, Dong C, et al. IFI6 depletion inhibits esophageal squamous cell carcinoma progression through reactive oxygen species accumulation via mitochondrial dysfunction and endoplasmic reticulum stress. Journal of Experimental &amp; Clinical Cancer Research. 2020;39:144. </w:t>
      </w:r>
    </w:p>
    <w:p w14:paraId="0F60E6EE" w14:textId="77777777" w:rsidR="00873504" w:rsidRPr="0026705F" w:rsidRDefault="00873504" w:rsidP="0026705F">
      <w:pPr>
        <w:pStyle w:val="Bibliografia"/>
        <w:jc w:val="both"/>
        <w:rPr>
          <w:sz w:val="22"/>
          <w:szCs w:val="22"/>
          <w:lang w:val="en-US"/>
        </w:rPr>
      </w:pPr>
      <w:r w:rsidRPr="0026705F">
        <w:rPr>
          <w:sz w:val="22"/>
          <w:szCs w:val="22"/>
          <w:lang w:val="en-US"/>
        </w:rPr>
        <w:t xml:space="preserve">94. Sajid M, Ullah H, Yan K, He M, Feng J, Shereen MA, et al. The Functional and Antiviral Activity of Interferon Alpha-Inducible IFI6 Against Hepatitis B Virus Replication and Gene Expression. Front Immunol. 2021;12:634937. </w:t>
      </w:r>
    </w:p>
    <w:p w14:paraId="1387F96D" w14:textId="77777777" w:rsidR="00873504" w:rsidRPr="0026705F" w:rsidRDefault="00873504" w:rsidP="0026705F">
      <w:pPr>
        <w:pStyle w:val="Bibliografia"/>
        <w:jc w:val="both"/>
        <w:rPr>
          <w:sz w:val="22"/>
          <w:szCs w:val="22"/>
          <w:lang w:val="en-US"/>
        </w:rPr>
      </w:pPr>
      <w:r w:rsidRPr="0026705F">
        <w:rPr>
          <w:sz w:val="22"/>
          <w:szCs w:val="22"/>
          <w:lang w:val="en-US"/>
        </w:rPr>
        <w:t>95. Geven C, Kox M, Pickkers P. Adrenomedullin and Adrenomedullin-Targeted Therapy As Treatment Strategies Relevant for Sepsis. Frontiers in Immunology [Internet]. 2018 [cited 2023 Oct 12];9. Available from: https://www.frontiersin.org/articles/10.3389/fimmu.2018.00292</w:t>
      </w:r>
    </w:p>
    <w:p w14:paraId="62789094" w14:textId="77777777" w:rsidR="00873504" w:rsidRPr="0026705F" w:rsidRDefault="00873504" w:rsidP="0026705F">
      <w:pPr>
        <w:pStyle w:val="Bibliografia"/>
        <w:jc w:val="both"/>
        <w:rPr>
          <w:sz w:val="22"/>
          <w:szCs w:val="22"/>
          <w:lang w:val="en-US"/>
        </w:rPr>
      </w:pPr>
      <w:r w:rsidRPr="0026705F">
        <w:rPr>
          <w:sz w:val="22"/>
          <w:szCs w:val="22"/>
          <w:lang w:val="en-US"/>
        </w:rPr>
        <w:t xml:space="preserve">96. Simonyte S, Kuciene R, Dulskiene V, Lesauskaite V. Associations of the adrenomedullin gene polymorphism with prehypertension and hypertension in Lithuanian children and adolescents: a cross-sectional study. Sci Rep. 2019;9:6807. </w:t>
      </w:r>
    </w:p>
    <w:p w14:paraId="464F70A1" w14:textId="77777777" w:rsidR="00873504" w:rsidRPr="0026705F" w:rsidRDefault="00873504" w:rsidP="0026705F">
      <w:pPr>
        <w:pStyle w:val="Bibliografia"/>
        <w:jc w:val="both"/>
        <w:rPr>
          <w:sz w:val="22"/>
          <w:szCs w:val="22"/>
          <w:lang w:val="en-US"/>
        </w:rPr>
      </w:pPr>
      <w:r w:rsidRPr="0026705F">
        <w:rPr>
          <w:sz w:val="22"/>
          <w:szCs w:val="22"/>
          <w:lang w:val="en-US"/>
        </w:rPr>
        <w:t xml:space="preserve">97. Vorkapic E, Kunath A, Wågsäter D. Effects of osteoprotegerin/TNFRSF11B in two models of abdominal aortic aneurysms. Molecular Medicine Reports. 2018;18:41–8. </w:t>
      </w:r>
    </w:p>
    <w:p w14:paraId="70A0BBC8" w14:textId="77777777" w:rsidR="00873504" w:rsidRPr="0026705F" w:rsidRDefault="00873504" w:rsidP="0026705F">
      <w:pPr>
        <w:pStyle w:val="Bibliografia"/>
        <w:jc w:val="both"/>
        <w:rPr>
          <w:sz w:val="22"/>
          <w:szCs w:val="22"/>
          <w:lang w:val="en-US"/>
        </w:rPr>
      </w:pPr>
      <w:r w:rsidRPr="0026705F">
        <w:rPr>
          <w:sz w:val="22"/>
          <w:szCs w:val="22"/>
          <w:lang w:val="en-US"/>
        </w:rPr>
        <w:t xml:space="preserve">98. Xu M, Zhang C, Han Y, Yue Z, Shu C, Hou J. Association between Osteoprotegerin rs2073618 polymorphism and peri-implantitis susceptibility: a meta-analysis. BMC Oral Health. 2022;22:598. </w:t>
      </w:r>
    </w:p>
    <w:p w14:paraId="6150EC0E" w14:textId="77777777" w:rsidR="00873504" w:rsidRPr="0026705F" w:rsidRDefault="00873504" w:rsidP="0026705F">
      <w:pPr>
        <w:pStyle w:val="Bibliografia"/>
        <w:jc w:val="both"/>
        <w:rPr>
          <w:sz w:val="22"/>
          <w:szCs w:val="22"/>
          <w:lang w:val="en-US"/>
        </w:rPr>
      </w:pPr>
      <w:r w:rsidRPr="0026705F">
        <w:rPr>
          <w:sz w:val="22"/>
          <w:szCs w:val="22"/>
          <w:lang w:val="en-US"/>
        </w:rPr>
        <w:t>99. Gao L, Li S, Yue H, Zhang Z. Associations of Serum Cathepsin K and Polymorphisms in CTSK Gene With Bone Mineral Density and Bone Metabolism Markers in Postmenopausal Chinese Women. Frontiers in Endocrinology [Internet]. 2020 [cited 2023 Oct 12];11. Available from: https://www.frontiersin.org/articles/10.3389/fendo.2020.00048</w:t>
      </w:r>
    </w:p>
    <w:p w14:paraId="787CAD6C"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100. Ho N, Punturieri A, Wilkin D, Szabo J, Johnson M, Whaley J, et al. Mutations of CTSK Result in Pycnodysostosis via a Reduction in Cathepsin K Protein. Journal of Bone and Mineral Research. 1999;14:1649–53. </w:t>
      </w:r>
    </w:p>
    <w:p w14:paraId="62160E5B" w14:textId="77777777" w:rsidR="00873504" w:rsidRPr="0026705F" w:rsidRDefault="00873504" w:rsidP="0026705F">
      <w:pPr>
        <w:pStyle w:val="Bibliografia"/>
        <w:jc w:val="both"/>
        <w:rPr>
          <w:sz w:val="22"/>
          <w:szCs w:val="22"/>
          <w:lang w:val="en-US"/>
        </w:rPr>
      </w:pPr>
      <w:r w:rsidRPr="0026705F">
        <w:rPr>
          <w:sz w:val="22"/>
          <w:szCs w:val="22"/>
          <w:lang w:val="en-US"/>
        </w:rPr>
        <w:t>101. Guyon A. CXCL12 chemokine and its receptors as major players in the interactions between immune and nervous systems. Frontiers in Cellular Neuroscience [Internet]. 2014 [cited 2023 Oct 12];8. Available from: https://www.frontiersin.org/articles/10.3389/fncel.2014.00065</w:t>
      </w:r>
    </w:p>
    <w:p w14:paraId="0331984C" w14:textId="77777777" w:rsidR="00873504" w:rsidRPr="0026705F" w:rsidRDefault="00873504" w:rsidP="0026705F">
      <w:pPr>
        <w:pStyle w:val="Bibliografia"/>
        <w:jc w:val="both"/>
        <w:rPr>
          <w:sz w:val="22"/>
          <w:szCs w:val="22"/>
          <w:lang w:val="en-US"/>
        </w:rPr>
      </w:pPr>
      <w:r w:rsidRPr="0026705F">
        <w:rPr>
          <w:sz w:val="22"/>
          <w:szCs w:val="22"/>
          <w:lang w:val="en-US"/>
        </w:rPr>
        <w:t xml:space="preserve">102. Janssens R, Struyf S, Proost P. The unique structural and functional features of CXCL12. Cell Mol Immunol. 2018;15:299–311. </w:t>
      </w:r>
    </w:p>
    <w:p w14:paraId="20AC49EB" w14:textId="77777777" w:rsidR="00873504" w:rsidRPr="0026705F" w:rsidRDefault="00873504" w:rsidP="0026705F">
      <w:pPr>
        <w:pStyle w:val="Bibliografia"/>
        <w:jc w:val="both"/>
        <w:rPr>
          <w:sz w:val="22"/>
          <w:szCs w:val="22"/>
          <w:lang w:val="en-US"/>
        </w:rPr>
      </w:pPr>
      <w:r w:rsidRPr="0026705F">
        <w:rPr>
          <w:sz w:val="22"/>
          <w:szCs w:val="22"/>
          <w:lang w:val="en-US"/>
        </w:rPr>
        <w:t xml:space="preserve">103. Karnaukhov V, Paes W, Woodhouse IB, Partridge T, Nicastri A, Brackenridge S, et al. HLA variants have different preferences to present proteins with specific molecular functions which are complemented in frequent haplotypes. Front Immunol. 2022;13:1067463. </w:t>
      </w:r>
    </w:p>
    <w:p w14:paraId="0C9C7998" w14:textId="77777777" w:rsidR="00873504" w:rsidRPr="0026705F" w:rsidRDefault="00873504" w:rsidP="0026705F">
      <w:pPr>
        <w:pStyle w:val="Bibliografia"/>
        <w:jc w:val="both"/>
        <w:rPr>
          <w:sz w:val="22"/>
          <w:szCs w:val="22"/>
          <w:lang w:val="en-US"/>
        </w:rPr>
      </w:pPr>
      <w:r w:rsidRPr="0026705F">
        <w:rPr>
          <w:sz w:val="22"/>
          <w:szCs w:val="22"/>
          <w:lang w:val="en-US"/>
        </w:rPr>
        <w:t xml:space="preserve">104. Yang X, Garner LI, Zvyagin IV, Paley MA, Komech EA, Jude KM, et al. Autoimmunity-associated T cell receptors recognize HLA-B*27-bound peptides. Nature. 2022;612:771–7. </w:t>
      </w:r>
    </w:p>
    <w:p w14:paraId="69F16FB1" w14:textId="77777777" w:rsidR="00873504" w:rsidRPr="0026705F" w:rsidRDefault="00873504" w:rsidP="0026705F">
      <w:pPr>
        <w:pStyle w:val="Bibliografia"/>
        <w:jc w:val="both"/>
        <w:rPr>
          <w:sz w:val="22"/>
          <w:szCs w:val="22"/>
          <w:lang w:val="en-US"/>
        </w:rPr>
      </w:pPr>
      <w:r w:rsidRPr="0026705F">
        <w:rPr>
          <w:sz w:val="22"/>
          <w:szCs w:val="22"/>
          <w:lang w:val="en-US"/>
        </w:rPr>
        <w:t xml:space="preserve">105. Dzimianski JV, Scholte FEM, Bergeron É, Pegan SD. ISG15: It’s Complicated. Journal of Molecular Biology. 2019;431:4203–16. </w:t>
      </w:r>
    </w:p>
    <w:p w14:paraId="6E56D155" w14:textId="77777777" w:rsidR="00873504" w:rsidRPr="0026705F" w:rsidRDefault="00873504" w:rsidP="0026705F">
      <w:pPr>
        <w:pStyle w:val="Bibliografia"/>
        <w:jc w:val="both"/>
        <w:rPr>
          <w:sz w:val="22"/>
          <w:szCs w:val="22"/>
          <w:lang w:val="en-US"/>
        </w:rPr>
      </w:pPr>
      <w:r w:rsidRPr="0026705F">
        <w:rPr>
          <w:sz w:val="22"/>
          <w:szCs w:val="22"/>
          <w:lang w:val="en-US"/>
        </w:rPr>
        <w:t xml:space="preserve">106. Perng Y-C, Lenschow DJ. ISG15 in antiviral immunity and beyond. Nat Rev Microbiol. 2018;16:423–39. </w:t>
      </w:r>
    </w:p>
    <w:p w14:paraId="13A9A9A2" w14:textId="77777777" w:rsidR="00873504" w:rsidRPr="0026705F" w:rsidRDefault="00873504" w:rsidP="0026705F">
      <w:pPr>
        <w:pStyle w:val="Bibliografia"/>
        <w:jc w:val="both"/>
        <w:rPr>
          <w:sz w:val="22"/>
          <w:szCs w:val="22"/>
          <w:lang w:val="en-US"/>
        </w:rPr>
      </w:pPr>
      <w:r w:rsidRPr="0026705F">
        <w:rPr>
          <w:sz w:val="22"/>
          <w:szCs w:val="22"/>
          <w:lang w:val="en-US"/>
        </w:rPr>
        <w:t xml:space="preserve">107. Cheng C-Y, Zhou Z, Stone M, Lu B, Flesken-Nikitin A, Nanus DM, et al. Membrane metalloendopeptidase suppresses prostate carcinogenesis by attenuating effects of gastrin-releasing peptide on stem/progenitor cells. Oncogenesis. 2020;9:1–14. </w:t>
      </w:r>
    </w:p>
    <w:p w14:paraId="6EDD7A26" w14:textId="77777777" w:rsidR="00873504" w:rsidRPr="0026705F" w:rsidRDefault="00873504" w:rsidP="0026705F">
      <w:pPr>
        <w:pStyle w:val="Bibliografia"/>
        <w:jc w:val="both"/>
        <w:rPr>
          <w:sz w:val="22"/>
          <w:szCs w:val="22"/>
          <w:lang w:val="en-US"/>
        </w:rPr>
      </w:pPr>
      <w:r w:rsidRPr="0026705F">
        <w:rPr>
          <w:sz w:val="22"/>
          <w:szCs w:val="22"/>
          <w:lang w:val="en-US"/>
        </w:rPr>
        <w:t xml:space="preserve">108. Prausmüller S, Spinka G, Arfsten H, Stasek S, Rettl R, Bartko PE, et al. Relevance of Neutrophil Neprilysin in Heart Failure. Cells. 2021;10:2922. </w:t>
      </w:r>
    </w:p>
    <w:p w14:paraId="41A3FCE4" w14:textId="77777777" w:rsidR="00873504" w:rsidRPr="0026705F" w:rsidRDefault="00873504" w:rsidP="0026705F">
      <w:pPr>
        <w:pStyle w:val="Bibliografia"/>
        <w:jc w:val="both"/>
        <w:rPr>
          <w:sz w:val="22"/>
          <w:szCs w:val="22"/>
          <w:lang w:val="en-US"/>
        </w:rPr>
      </w:pPr>
      <w:r w:rsidRPr="0026705F">
        <w:rPr>
          <w:sz w:val="22"/>
          <w:szCs w:val="22"/>
          <w:lang w:val="en-US"/>
        </w:rPr>
        <w:t xml:space="preserve">109. Almarán B, Ramis G, Fernández de Mattos S, Villalonga P. Rnd3 Is a Crucial Mediator of the Invasive Phenotype of Glioblastoma Cells Downstream of Receptor Tyrosine Kinase Signalling. Cells. 2022;11:3716. </w:t>
      </w:r>
    </w:p>
    <w:p w14:paraId="4B297EAF" w14:textId="77777777" w:rsidR="00873504" w:rsidRPr="0026705F" w:rsidRDefault="00873504" w:rsidP="0026705F">
      <w:pPr>
        <w:pStyle w:val="Bibliografia"/>
        <w:jc w:val="both"/>
        <w:rPr>
          <w:sz w:val="22"/>
          <w:szCs w:val="22"/>
          <w:lang w:val="en-US"/>
        </w:rPr>
      </w:pPr>
      <w:r w:rsidRPr="0026705F">
        <w:rPr>
          <w:sz w:val="22"/>
          <w:szCs w:val="22"/>
          <w:lang w:val="en-US"/>
        </w:rPr>
        <w:t>110. Dankel SN, Røst TH, Kulyté A, Fandalyuk Z, Skurk T, Hauner H, et al. The Rho GTPase RND3 regulates adipocyte lipolysis. Metabolism - Clinical and Experimental [Internet]. 2019 [cited 2023 Oct 12];101. Available from: https://www.metabolismjournal.com/article/S0026-0495(19)30214-8/fulltext</w:t>
      </w:r>
    </w:p>
    <w:p w14:paraId="11EDE0D6" w14:textId="77777777" w:rsidR="00873504" w:rsidRPr="0026705F" w:rsidRDefault="00873504" w:rsidP="0026705F">
      <w:pPr>
        <w:pStyle w:val="Bibliografia"/>
        <w:jc w:val="both"/>
        <w:rPr>
          <w:sz w:val="22"/>
          <w:szCs w:val="22"/>
          <w:lang w:val="en-US"/>
        </w:rPr>
      </w:pPr>
      <w:r w:rsidRPr="0026705F">
        <w:rPr>
          <w:sz w:val="22"/>
          <w:szCs w:val="22"/>
          <w:lang w:val="en-US"/>
        </w:rPr>
        <w:t xml:space="preserve">111. Krishnaswamy VR, Korrapati PS. Role of Dermatopontin in re-epithelialization: Implications on keratinocyte migration and proliferation. Sci Rep. 2014;4:7385. </w:t>
      </w:r>
    </w:p>
    <w:p w14:paraId="6DD71C60" w14:textId="77777777" w:rsidR="00873504" w:rsidRPr="0026705F" w:rsidRDefault="00873504" w:rsidP="0026705F">
      <w:pPr>
        <w:pStyle w:val="Bibliografia"/>
        <w:jc w:val="both"/>
        <w:rPr>
          <w:sz w:val="22"/>
          <w:szCs w:val="22"/>
          <w:lang w:val="en-US"/>
        </w:rPr>
      </w:pPr>
      <w:r w:rsidRPr="0026705F">
        <w:rPr>
          <w:sz w:val="22"/>
          <w:szCs w:val="22"/>
          <w:lang w:val="en-US"/>
        </w:rPr>
        <w:t xml:space="preserve">112. Xi L-C, Ji Y-X, Yin D, Zhao Z-X, Huang S-C, Yu S-L, et al. Effects of Dermatopontin gene silencing on apoptosis and proliferation of osteosarcoma MG‑63 cells. Molecular Medicine Reports. 2018;17:422–7. </w:t>
      </w:r>
    </w:p>
    <w:p w14:paraId="70687646" w14:textId="77777777" w:rsidR="00873504" w:rsidRPr="0026705F" w:rsidRDefault="00873504" w:rsidP="0026705F">
      <w:pPr>
        <w:pStyle w:val="Bibliografia"/>
        <w:jc w:val="both"/>
        <w:rPr>
          <w:sz w:val="22"/>
          <w:szCs w:val="22"/>
          <w:lang w:val="en-US"/>
        </w:rPr>
      </w:pPr>
      <w:r w:rsidRPr="0026705F">
        <w:rPr>
          <w:sz w:val="22"/>
          <w:szCs w:val="22"/>
          <w:lang w:val="en-US"/>
        </w:rPr>
        <w:t xml:space="preserve">113. Li X, Tao X, Ding X. An integrative analysis to reveal that CLEC2B and ferroptosis may bridge the gap between psoriatic arthritis and cancer development. Sci Rep. 2022;12:14653. </w:t>
      </w:r>
    </w:p>
    <w:p w14:paraId="728E4EBE" w14:textId="77777777" w:rsidR="00873504" w:rsidRPr="0026705F" w:rsidRDefault="00873504" w:rsidP="0026705F">
      <w:pPr>
        <w:pStyle w:val="Bibliografia"/>
        <w:jc w:val="both"/>
        <w:rPr>
          <w:sz w:val="22"/>
          <w:szCs w:val="22"/>
          <w:lang w:val="en-US"/>
        </w:rPr>
      </w:pPr>
      <w:r w:rsidRPr="0026705F">
        <w:rPr>
          <w:sz w:val="22"/>
          <w:szCs w:val="22"/>
          <w:lang w:val="en-US"/>
        </w:rPr>
        <w:t xml:space="preserve">114. Zhang X, Yuan J, Wang X, Fu S, Wang R, Wang G. Association between c-type lectin-like receptor 2 and microsatellite instability in colorectal cancer: a cross-sectional study. BMC Cancer. 2022;22:823. </w:t>
      </w:r>
    </w:p>
    <w:p w14:paraId="586FBDD7" w14:textId="77777777" w:rsidR="00873504" w:rsidRPr="0026705F" w:rsidRDefault="00873504" w:rsidP="0026705F">
      <w:pPr>
        <w:pStyle w:val="Bibliografia"/>
        <w:jc w:val="both"/>
        <w:rPr>
          <w:sz w:val="22"/>
          <w:szCs w:val="22"/>
          <w:lang w:val="en-US"/>
        </w:rPr>
      </w:pPr>
      <w:r w:rsidRPr="0026705F">
        <w:rPr>
          <w:sz w:val="22"/>
          <w:szCs w:val="22"/>
          <w:lang w:val="en-US"/>
        </w:rPr>
        <w:t xml:space="preserve">115. Goizet C, Boukhris A, Durr A, Beetz C, Truchetto J, Tesson C, et al. CYP7B1 mutations in pure and complex forms of hereditary spastic paraplegia type 5. Brain. 2009;132:1589–600. </w:t>
      </w:r>
    </w:p>
    <w:p w14:paraId="51D2D3D2"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116. Yantsevich AV, Dichenko YV, MacKenzie F, Mukha DV, Baranovsky AV, Gilep AA, et al. Human steroid and oxysterol 7α-hydroxylase CYP7B1: substrate specificity, azole binding and misfolding of clinically relevant mutants. The FEBS Journal. 2014;281:1700–13. </w:t>
      </w:r>
    </w:p>
    <w:p w14:paraId="2014FCA7" w14:textId="77777777" w:rsidR="00873504" w:rsidRPr="0026705F" w:rsidRDefault="00873504" w:rsidP="0026705F">
      <w:pPr>
        <w:pStyle w:val="Bibliografia"/>
        <w:jc w:val="both"/>
        <w:rPr>
          <w:sz w:val="22"/>
          <w:szCs w:val="22"/>
          <w:lang w:val="en-US"/>
        </w:rPr>
      </w:pPr>
      <w:r w:rsidRPr="0026705F">
        <w:rPr>
          <w:sz w:val="22"/>
          <w:szCs w:val="22"/>
          <w:lang w:val="en-US"/>
        </w:rPr>
        <w:t xml:space="preserve">117. Franco HL, Casasnovas J, Rodríguez-Medina JR, Cadilla CL. Redundant or separate entities?—roles of Twist1 and Twist2 as molecular switches during gene transcription. Nucleic Acids Research. 2011;39:1177–86. </w:t>
      </w:r>
    </w:p>
    <w:p w14:paraId="602D5295" w14:textId="77777777" w:rsidR="00873504" w:rsidRPr="0026705F" w:rsidRDefault="00873504" w:rsidP="0026705F">
      <w:pPr>
        <w:pStyle w:val="Bibliografia"/>
        <w:jc w:val="both"/>
        <w:rPr>
          <w:sz w:val="22"/>
          <w:szCs w:val="22"/>
          <w:lang w:val="en-US"/>
        </w:rPr>
      </w:pPr>
      <w:r w:rsidRPr="0026705F">
        <w:rPr>
          <w:sz w:val="22"/>
          <w:szCs w:val="22"/>
          <w:lang w:val="en-US"/>
        </w:rPr>
        <w:t xml:space="preserve">118. Gaulton N, Wakelin G, Young LV, Wotherspoon S, Kamal M, Parise G, et al. Twist2-expressing cells reside in human skeletal muscle and are responsive to aging and resistance exercise training. The FASEB Journal. 2022;36:e22642. </w:t>
      </w:r>
    </w:p>
    <w:p w14:paraId="45C5F5A5" w14:textId="77777777" w:rsidR="00873504" w:rsidRPr="0026705F" w:rsidRDefault="00873504" w:rsidP="0026705F">
      <w:pPr>
        <w:pStyle w:val="Bibliografia"/>
        <w:jc w:val="both"/>
        <w:rPr>
          <w:sz w:val="22"/>
          <w:szCs w:val="22"/>
          <w:lang w:val="en-US"/>
        </w:rPr>
      </w:pPr>
      <w:r w:rsidRPr="0026705F">
        <w:rPr>
          <w:sz w:val="22"/>
          <w:szCs w:val="22"/>
          <w:lang w:val="en-US"/>
        </w:rPr>
        <w:t>119. Gschwandtner M, Derler R, Midwood KS. More Than Just Attractive: How CCL2 Influences Myeloid Cell Behavior Beyond Chemotaxis. Frontiers in Immunology [Internet]. 2019 [cited 2023 Oct 11];10. Available from: https://www.frontiersin.org/articles/10.3389/fimmu.2019.02759</w:t>
      </w:r>
    </w:p>
    <w:p w14:paraId="566D9AC6" w14:textId="77777777" w:rsidR="00873504" w:rsidRPr="0026705F" w:rsidRDefault="00873504" w:rsidP="0026705F">
      <w:pPr>
        <w:pStyle w:val="Bibliografia"/>
        <w:jc w:val="both"/>
        <w:rPr>
          <w:sz w:val="22"/>
          <w:szCs w:val="22"/>
          <w:lang w:val="en-US"/>
        </w:rPr>
      </w:pPr>
      <w:r w:rsidRPr="0026705F">
        <w:rPr>
          <w:sz w:val="22"/>
          <w:szCs w:val="22"/>
          <w:lang w:val="en-US"/>
        </w:rPr>
        <w:t xml:space="preserve">120. Hao Q, Vadgama JV, Wang P. CCL2/CCR2 signaling in cancer pathogenesis. Cell Communication and Signaling. 2020;18:82. </w:t>
      </w:r>
    </w:p>
    <w:p w14:paraId="45D783FB" w14:textId="77777777" w:rsidR="00873504" w:rsidRPr="0026705F" w:rsidRDefault="00873504" w:rsidP="0026705F">
      <w:pPr>
        <w:pStyle w:val="Bibliografia"/>
        <w:jc w:val="both"/>
        <w:rPr>
          <w:sz w:val="22"/>
          <w:szCs w:val="22"/>
          <w:lang w:val="en-US"/>
        </w:rPr>
      </w:pPr>
      <w:r w:rsidRPr="0026705F">
        <w:rPr>
          <w:sz w:val="22"/>
          <w:szCs w:val="22"/>
          <w:lang w:val="en-US"/>
        </w:rPr>
        <w:t xml:space="preserve">121. Pantazatos SP, Huang Y, Rosoklija GB, Dwork AJ, Arango V, Mann JJ. Whole-transcriptome brain expression and exon-usage profiling in major depression and suicide: evidence for altered glial, endothelial and ATPase activity. Mol Psychiatry. 2017;22:760–73. </w:t>
      </w:r>
    </w:p>
    <w:p w14:paraId="77EF1D28" w14:textId="77777777" w:rsidR="00873504" w:rsidRPr="0026705F" w:rsidRDefault="00873504" w:rsidP="0026705F">
      <w:pPr>
        <w:pStyle w:val="Bibliografia"/>
        <w:jc w:val="both"/>
        <w:rPr>
          <w:sz w:val="22"/>
          <w:szCs w:val="22"/>
          <w:lang w:val="en-US"/>
        </w:rPr>
      </w:pPr>
      <w:r w:rsidRPr="0026705F">
        <w:rPr>
          <w:sz w:val="22"/>
          <w:szCs w:val="22"/>
          <w:lang w:val="en-US"/>
        </w:rPr>
        <w:t xml:space="preserve">122. Shen Y, Peng C, Bai Q, Ding Y, Yi X, Du H, et al. Epigenome-Wide Association Study Indicates Hypomethylation of MTRNR2L8 in Large-Artery Atherosclerosis Stroke. Stroke. 2019;50:1330–8. </w:t>
      </w:r>
    </w:p>
    <w:p w14:paraId="2B3E73BB" w14:textId="77777777" w:rsidR="00873504" w:rsidRPr="0026705F" w:rsidRDefault="00873504" w:rsidP="0026705F">
      <w:pPr>
        <w:pStyle w:val="Bibliografia"/>
        <w:jc w:val="both"/>
        <w:rPr>
          <w:sz w:val="22"/>
          <w:szCs w:val="22"/>
          <w:lang w:val="en-US"/>
        </w:rPr>
      </w:pPr>
      <w:r w:rsidRPr="0026705F">
        <w:rPr>
          <w:sz w:val="22"/>
          <w:szCs w:val="22"/>
          <w:lang w:val="en-US"/>
        </w:rPr>
        <w:t xml:space="preserve">123. Bourin P, Bunnell BA, Casteilla L, Dominici M, Katz AJ, March KL, et al. Stromal cells from the adipose tissue-derived stromal vascular fraction and culture expanded adipose tissue-derived stromal/stem cells: a joint statement of the International Federation for Adipose Therapeutics and Science (IFATS) and the International Society for Cellular Therapy (ISCT). Cytotherapy. 2013;15:641–8. </w:t>
      </w:r>
    </w:p>
    <w:p w14:paraId="15EA8B80" w14:textId="77777777" w:rsidR="00873504" w:rsidRPr="0026705F" w:rsidRDefault="00873504" w:rsidP="0026705F">
      <w:pPr>
        <w:pStyle w:val="Bibliografia"/>
        <w:jc w:val="both"/>
        <w:rPr>
          <w:sz w:val="22"/>
          <w:szCs w:val="22"/>
          <w:lang w:val="en-US"/>
        </w:rPr>
      </w:pPr>
      <w:r w:rsidRPr="0026705F">
        <w:rPr>
          <w:sz w:val="22"/>
          <w:szCs w:val="22"/>
          <w:lang w:val="en-US"/>
        </w:rPr>
        <w:t xml:space="preserve">124. Dominici M, Le Blanc K, Mueller I, Slaper-Cortenbach I, Marini F, Krause D, et al. Minimal criteria for defining multipotent mesenchymal stromal cells. The International Society for Cellular Therapy position statement. Cytotherapy. 2006;8:315–7. </w:t>
      </w:r>
    </w:p>
    <w:p w14:paraId="61F67AAD" w14:textId="77777777" w:rsidR="00873504" w:rsidRPr="0026705F" w:rsidRDefault="00873504" w:rsidP="0026705F">
      <w:pPr>
        <w:pStyle w:val="Bibliografia"/>
        <w:jc w:val="both"/>
        <w:rPr>
          <w:sz w:val="22"/>
          <w:szCs w:val="22"/>
          <w:lang w:val="en-US"/>
        </w:rPr>
      </w:pPr>
      <w:r w:rsidRPr="0026705F">
        <w:rPr>
          <w:sz w:val="22"/>
          <w:szCs w:val="22"/>
          <w:lang w:val="en-US"/>
        </w:rPr>
        <w:t xml:space="preserve">125. Krampera M, Galipeau J, Shi Y, Tarte K, Sensebe L, MSC Committee of the International Society for Cellular Therapy (ISCT). Immunological characterization of multipotent mesenchymal stromal cells--The International Society for Cellular Therapy (ISCT) working proposal. Cytotherapy. 2013;15:1054–61. </w:t>
      </w:r>
    </w:p>
    <w:p w14:paraId="47CD1C22" w14:textId="77777777" w:rsidR="00873504" w:rsidRPr="0026705F" w:rsidRDefault="00873504" w:rsidP="0026705F">
      <w:pPr>
        <w:pStyle w:val="Bibliografia"/>
        <w:jc w:val="both"/>
        <w:rPr>
          <w:sz w:val="22"/>
          <w:szCs w:val="22"/>
          <w:lang w:val="en-US"/>
        </w:rPr>
      </w:pPr>
      <w:r w:rsidRPr="0026705F">
        <w:rPr>
          <w:sz w:val="22"/>
          <w:szCs w:val="22"/>
          <w:lang w:val="en-US"/>
        </w:rPr>
        <w:t xml:space="preserve">126. Viswanathan S, Shi Y, Galipeau J, Krampera M, Leblanc K, Martin I, et al. Mesenchymal stem versus stromal cells: International Society for Cell &amp; Gene Therapy (ISCT®) Mesenchymal Stromal Cell committee position statement on nomenclature. Cytotherapy. 2019;21:1019–24. </w:t>
      </w:r>
    </w:p>
    <w:p w14:paraId="22BD23AA" w14:textId="77777777" w:rsidR="00873504" w:rsidRPr="0026705F" w:rsidRDefault="00873504" w:rsidP="0026705F">
      <w:pPr>
        <w:pStyle w:val="Bibliografia"/>
        <w:jc w:val="both"/>
        <w:rPr>
          <w:sz w:val="22"/>
          <w:szCs w:val="22"/>
          <w:lang w:val="en-US"/>
        </w:rPr>
      </w:pPr>
      <w:r w:rsidRPr="0026705F">
        <w:rPr>
          <w:sz w:val="22"/>
          <w:szCs w:val="22"/>
          <w:lang w:val="en-US"/>
        </w:rPr>
        <w:t xml:space="preserve">127. Ascensión AM, Fuertes-Álvarez S, Ibañez-Solé O, Izeta A, Araúzo-Bravo MJ. Human Dermal Fibroblast Subpopulations Are Conserved across Single-Cell RNA Sequencing Studies. Journal of Investigative Dermatology. 2021;141:1735-1744.e35. </w:t>
      </w:r>
    </w:p>
    <w:p w14:paraId="4D0DE608" w14:textId="77777777" w:rsidR="00873504" w:rsidRPr="0026705F" w:rsidRDefault="00873504" w:rsidP="0026705F">
      <w:pPr>
        <w:pStyle w:val="Bibliografia"/>
        <w:jc w:val="both"/>
        <w:rPr>
          <w:sz w:val="22"/>
          <w:szCs w:val="22"/>
          <w:lang w:val="en-US"/>
        </w:rPr>
      </w:pPr>
      <w:r w:rsidRPr="0026705F">
        <w:rPr>
          <w:sz w:val="22"/>
          <w:szCs w:val="22"/>
          <w:lang w:val="en-US"/>
        </w:rPr>
        <w:t xml:space="preserve">128. Lendahl U, Muhl L, Betsholtz C. Identification, discrimination and heterogeneity of fibroblasts. Nat Commun. 2022;13:3409. </w:t>
      </w:r>
    </w:p>
    <w:p w14:paraId="293EA05E" w14:textId="77777777" w:rsidR="00873504" w:rsidRPr="0026705F" w:rsidRDefault="00873504" w:rsidP="0026705F">
      <w:pPr>
        <w:pStyle w:val="Bibliografia"/>
        <w:jc w:val="both"/>
        <w:rPr>
          <w:sz w:val="22"/>
          <w:szCs w:val="22"/>
          <w:lang w:val="en-US"/>
        </w:rPr>
      </w:pPr>
      <w:r w:rsidRPr="0026705F">
        <w:rPr>
          <w:sz w:val="22"/>
          <w:szCs w:val="22"/>
          <w:lang w:val="en-US"/>
        </w:rPr>
        <w:t xml:space="preserve">129. Lupatov AYu, Vdovin AS, Vakhrushev IV, Poltavtseva RA, Yarygin KN. Comparative Analysis of the Expression of Surface Markers on Fibroblasts and Fibroblast-Like Cells Isolated from Different Human Tissues. Bull Exp Biol Med. 2015;158:537–43. </w:t>
      </w:r>
    </w:p>
    <w:p w14:paraId="629AF95B" w14:textId="77777777" w:rsidR="00873504" w:rsidRPr="0026705F" w:rsidRDefault="00873504" w:rsidP="0026705F">
      <w:pPr>
        <w:pStyle w:val="Bibliografia"/>
        <w:jc w:val="both"/>
        <w:rPr>
          <w:sz w:val="22"/>
          <w:szCs w:val="22"/>
          <w:lang w:val="en-US"/>
        </w:rPr>
      </w:pPr>
      <w:r w:rsidRPr="0026705F">
        <w:rPr>
          <w:sz w:val="22"/>
          <w:szCs w:val="22"/>
          <w:lang w:val="en-US"/>
        </w:rPr>
        <w:lastRenderedPageBreak/>
        <w:t xml:space="preserve">130. Plikus MV, Wang X, Sinha S, Forte E, Thompson SM, Herzog EL, et al. Fibroblasts: origins, definitions, and functions in health and disease. Cell. 2021;184:3852–72. </w:t>
      </w:r>
    </w:p>
    <w:p w14:paraId="00000249" w14:textId="0413F88B" w:rsidR="007F3335" w:rsidRPr="0026705F" w:rsidRDefault="003E2BC4" w:rsidP="00EB3D18">
      <w:pPr>
        <w:spacing w:line="480" w:lineRule="auto"/>
        <w:jc w:val="both"/>
        <w:rPr>
          <w:sz w:val="22"/>
          <w:szCs w:val="22"/>
          <w:lang w:val="en-US"/>
        </w:rPr>
      </w:pPr>
      <w:r w:rsidRPr="0026705F">
        <w:rPr>
          <w:sz w:val="22"/>
          <w:szCs w:val="22"/>
          <w:lang w:val="en-US"/>
        </w:rPr>
        <w:fldChar w:fldCharType="end"/>
      </w:r>
      <w:r w:rsidR="00BA3DF1" w:rsidRPr="0026705F">
        <w:rPr>
          <w:sz w:val="22"/>
          <w:szCs w:val="22"/>
          <w:lang w:val="en-US"/>
        </w:rPr>
        <w:tab/>
      </w:r>
    </w:p>
    <w:sectPr w:rsidR="007F3335" w:rsidRPr="0026705F" w:rsidSect="0026705F">
      <w:pgSz w:w="11906" w:h="16838"/>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AE364" w14:textId="77777777" w:rsidR="000B645D" w:rsidRDefault="000B645D">
      <w:r>
        <w:separator/>
      </w:r>
    </w:p>
  </w:endnote>
  <w:endnote w:type="continuationSeparator" w:id="0">
    <w:p w14:paraId="76535942" w14:textId="77777777" w:rsidR="000B645D" w:rsidRDefault="000B6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4C" w14:textId="77777777" w:rsidR="00EB3D18" w:rsidRDefault="00EB3D1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0000024D" w14:textId="77777777" w:rsidR="00EB3D18" w:rsidRDefault="00EB3D18">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4A" w14:textId="7588D589" w:rsidR="00EB3D18" w:rsidRDefault="00EB3D18">
    <w:pPr>
      <w:pBdr>
        <w:top w:val="nil"/>
        <w:left w:val="nil"/>
        <w:bottom w:val="nil"/>
        <w:right w:val="nil"/>
        <w:between w:val="nil"/>
      </w:pBdr>
      <w:tabs>
        <w:tab w:val="center" w:pos="4536"/>
        <w:tab w:val="right" w:pos="9072"/>
      </w:tabs>
      <w:jc w:val="right"/>
      <w:rPr>
        <w:b/>
        <w:color w:val="000000"/>
        <w:sz w:val="20"/>
        <w:szCs w:val="20"/>
      </w:rPr>
    </w:pPr>
    <w:r>
      <w:rPr>
        <w:b/>
        <w:color w:val="000000"/>
        <w:sz w:val="20"/>
        <w:szCs w:val="20"/>
      </w:rPr>
      <w:fldChar w:fldCharType="begin"/>
    </w:r>
    <w:r>
      <w:rPr>
        <w:b/>
        <w:color w:val="000000"/>
        <w:sz w:val="20"/>
        <w:szCs w:val="20"/>
      </w:rPr>
      <w:instrText>PAGE</w:instrText>
    </w:r>
    <w:r>
      <w:rPr>
        <w:b/>
        <w:color w:val="000000"/>
        <w:sz w:val="20"/>
        <w:szCs w:val="20"/>
      </w:rPr>
      <w:fldChar w:fldCharType="separate"/>
    </w:r>
    <w:r w:rsidR="001051D0">
      <w:rPr>
        <w:b/>
        <w:noProof/>
        <w:color w:val="000000"/>
        <w:sz w:val="20"/>
        <w:szCs w:val="20"/>
      </w:rPr>
      <w:t>35</w:t>
    </w:r>
    <w:r>
      <w:rPr>
        <w:b/>
        <w:color w:val="000000"/>
        <w:sz w:val="20"/>
        <w:szCs w:val="20"/>
      </w:rPr>
      <w:fldChar w:fldCharType="end"/>
    </w:r>
  </w:p>
  <w:p w14:paraId="0000024B" w14:textId="77777777" w:rsidR="00EB3D18" w:rsidRDefault="00EB3D18">
    <w:pPr>
      <w:pBdr>
        <w:top w:val="nil"/>
        <w:left w:val="nil"/>
        <w:bottom w:val="nil"/>
        <w:right w:val="nil"/>
        <w:between w:val="nil"/>
      </w:pBdr>
      <w:tabs>
        <w:tab w:val="center" w:pos="4536"/>
        <w:tab w:val="right" w:pos="9072"/>
      </w:tabs>
      <w:ind w:right="360"/>
      <w:rPr>
        <w:b/>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AC46B2" w14:textId="77777777" w:rsidR="000B645D" w:rsidRDefault="000B645D">
      <w:r>
        <w:separator/>
      </w:r>
    </w:p>
  </w:footnote>
  <w:footnote w:type="continuationSeparator" w:id="0">
    <w:p w14:paraId="1A7784F0" w14:textId="77777777" w:rsidR="000B645D" w:rsidRDefault="000B64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335"/>
    <w:rsid w:val="00012C56"/>
    <w:rsid w:val="00025682"/>
    <w:rsid w:val="00026F37"/>
    <w:rsid w:val="0002786E"/>
    <w:rsid w:val="00030D59"/>
    <w:rsid w:val="0009139B"/>
    <w:rsid w:val="000A7DF9"/>
    <w:rsid w:val="000B645D"/>
    <w:rsid w:val="000B68C1"/>
    <w:rsid w:val="000B6A26"/>
    <w:rsid w:val="001051D0"/>
    <w:rsid w:val="001237F2"/>
    <w:rsid w:val="001250D3"/>
    <w:rsid w:val="00144A78"/>
    <w:rsid w:val="00146762"/>
    <w:rsid w:val="001606CD"/>
    <w:rsid w:val="00165FCB"/>
    <w:rsid w:val="00174072"/>
    <w:rsid w:val="00175A36"/>
    <w:rsid w:val="001A2C3B"/>
    <w:rsid w:val="001B01A9"/>
    <w:rsid w:val="001D0D13"/>
    <w:rsid w:val="001F0FD1"/>
    <w:rsid w:val="00203100"/>
    <w:rsid w:val="00203E41"/>
    <w:rsid w:val="002156A7"/>
    <w:rsid w:val="00224851"/>
    <w:rsid w:val="0026705F"/>
    <w:rsid w:val="0027637B"/>
    <w:rsid w:val="002769D6"/>
    <w:rsid w:val="002B099E"/>
    <w:rsid w:val="002C0031"/>
    <w:rsid w:val="002C27B5"/>
    <w:rsid w:val="002D5906"/>
    <w:rsid w:val="002D753C"/>
    <w:rsid w:val="00300A8F"/>
    <w:rsid w:val="00324E86"/>
    <w:rsid w:val="00333DFF"/>
    <w:rsid w:val="00350954"/>
    <w:rsid w:val="003510E0"/>
    <w:rsid w:val="00351701"/>
    <w:rsid w:val="00396617"/>
    <w:rsid w:val="003A4EBF"/>
    <w:rsid w:val="003B34ED"/>
    <w:rsid w:val="003B6E02"/>
    <w:rsid w:val="003D7094"/>
    <w:rsid w:val="003E2BC4"/>
    <w:rsid w:val="003F3AB8"/>
    <w:rsid w:val="0040465D"/>
    <w:rsid w:val="00413B88"/>
    <w:rsid w:val="00416070"/>
    <w:rsid w:val="00470B08"/>
    <w:rsid w:val="00474277"/>
    <w:rsid w:val="004A029D"/>
    <w:rsid w:val="004C2C97"/>
    <w:rsid w:val="004D18D7"/>
    <w:rsid w:val="004D41F4"/>
    <w:rsid w:val="004D7B96"/>
    <w:rsid w:val="004E6A4B"/>
    <w:rsid w:val="004F03FD"/>
    <w:rsid w:val="004F155D"/>
    <w:rsid w:val="00510102"/>
    <w:rsid w:val="005130DF"/>
    <w:rsid w:val="00520A04"/>
    <w:rsid w:val="00520BB1"/>
    <w:rsid w:val="00526778"/>
    <w:rsid w:val="00550D14"/>
    <w:rsid w:val="00551FF6"/>
    <w:rsid w:val="0055384A"/>
    <w:rsid w:val="0057206B"/>
    <w:rsid w:val="00592F63"/>
    <w:rsid w:val="0059657D"/>
    <w:rsid w:val="00597F44"/>
    <w:rsid w:val="005A389C"/>
    <w:rsid w:val="005A43FA"/>
    <w:rsid w:val="005A5782"/>
    <w:rsid w:val="005B6FFA"/>
    <w:rsid w:val="005C26FD"/>
    <w:rsid w:val="005F457E"/>
    <w:rsid w:val="00602BEC"/>
    <w:rsid w:val="00605A5B"/>
    <w:rsid w:val="00627DF1"/>
    <w:rsid w:val="00633726"/>
    <w:rsid w:val="00636939"/>
    <w:rsid w:val="00665922"/>
    <w:rsid w:val="00686235"/>
    <w:rsid w:val="006938DC"/>
    <w:rsid w:val="006A11B0"/>
    <w:rsid w:val="006A4790"/>
    <w:rsid w:val="006D3FC1"/>
    <w:rsid w:val="006D6CBC"/>
    <w:rsid w:val="006E055B"/>
    <w:rsid w:val="006E6FFA"/>
    <w:rsid w:val="007114C6"/>
    <w:rsid w:val="007268C1"/>
    <w:rsid w:val="0073041E"/>
    <w:rsid w:val="0073051B"/>
    <w:rsid w:val="00737FB7"/>
    <w:rsid w:val="007519F8"/>
    <w:rsid w:val="0075280C"/>
    <w:rsid w:val="00757B42"/>
    <w:rsid w:val="007A21FC"/>
    <w:rsid w:val="007B06C6"/>
    <w:rsid w:val="007C22E2"/>
    <w:rsid w:val="007C54A0"/>
    <w:rsid w:val="007D269E"/>
    <w:rsid w:val="007D4092"/>
    <w:rsid w:val="007F1B97"/>
    <w:rsid w:val="007F3335"/>
    <w:rsid w:val="00812F4D"/>
    <w:rsid w:val="00817494"/>
    <w:rsid w:val="00824599"/>
    <w:rsid w:val="008365A4"/>
    <w:rsid w:val="00846DA4"/>
    <w:rsid w:val="00850236"/>
    <w:rsid w:val="0085089D"/>
    <w:rsid w:val="008632E2"/>
    <w:rsid w:val="00873504"/>
    <w:rsid w:val="00884711"/>
    <w:rsid w:val="0089042D"/>
    <w:rsid w:val="008A316F"/>
    <w:rsid w:val="008A6440"/>
    <w:rsid w:val="008A6D1B"/>
    <w:rsid w:val="008C6872"/>
    <w:rsid w:val="008E7CC9"/>
    <w:rsid w:val="00936554"/>
    <w:rsid w:val="00966F8F"/>
    <w:rsid w:val="00970D51"/>
    <w:rsid w:val="00981D4B"/>
    <w:rsid w:val="009A0035"/>
    <w:rsid w:val="009B2500"/>
    <w:rsid w:val="009C22E4"/>
    <w:rsid w:val="009C5E5C"/>
    <w:rsid w:val="009C7A27"/>
    <w:rsid w:val="009D4749"/>
    <w:rsid w:val="009E49B5"/>
    <w:rsid w:val="009F40DA"/>
    <w:rsid w:val="00A13529"/>
    <w:rsid w:val="00A14299"/>
    <w:rsid w:val="00A16D4B"/>
    <w:rsid w:val="00A253EC"/>
    <w:rsid w:val="00A32919"/>
    <w:rsid w:val="00A44101"/>
    <w:rsid w:val="00A46524"/>
    <w:rsid w:val="00A51066"/>
    <w:rsid w:val="00A6758E"/>
    <w:rsid w:val="00A74642"/>
    <w:rsid w:val="00A7535E"/>
    <w:rsid w:val="00A84692"/>
    <w:rsid w:val="00AA5316"/>
    <w:rsid w:val="00AB2136"/>
    <w:rsid w:val="00AB327E"/>
    <w:rsid w:val="00AE65FF"/>
    <w:rsid w:val="00B03D8F"/>
    <w:rsid w:val="00B1571E"/>
    <w:rsid w:val="00B367EE"/>
    <w:rsid w:val="00B370EA"/>
    <w:rsid w:val="00B411FD"/>
    <w:rsid w:val="00B4156A"/>
    <w:rsid w:val="00B53BCB"/>
    <w:rsid w:val="00B726A0"/>
    <w:rsid w:val="00B81E7A"/>
    <w:rsid w:val="00BA3DF1"/>
    <w:rsid w:val="00BB73DF"/>
    <w:rsid w:val="00BD2B12"/>
    <w:rsid w:val="00BE54AC"/>
    <w:rsid w:val="00BF0516"/>
    <w:rsid w:val="00BF26F2"/>
    <w:rsid w:val="00C02189"/>
    <w:rsid w:val="00C04764"/>
    <w:rsid w:val="00C0723F"/>
    <w:rsid w:val="00C23CB4"/>
    <w:rsid w:val="00C40A49"/>
    <w:rsid w:val="00C43307"/>
    <w:rsid w:val="00C52F0A"/>
    <w:rsid w:val="00C56A7A"/>
    <w:rsid w:val="00C76581"/>
    <w:rsid w:val="00C8651D"/>
    <w:rsid w:val="00C866EA"/>
    <w:rsid w:val="00C90FEF"/>
    <w:rsid w:val="00CA73C9"/>
    <w:rsid w:val="00CC7809"/>
    <w:rsid w:val="00CE142F"/>
    <w:rsid w:val="00CE3210"/>
    <w:rsid w:val="00CE6C3A"/>
    <w:rsid w:val="00D027F0"/>
    <w:rsid w:val="00D032EE"/>
    <w:rsid w:val="00D41F1B"/>
    <w:rsid w:val="00D5074F"/>
    <w:rsid w:val="00D71968"/>
    <w:rsid w:val="00D80D07"/>
    <w:rsid w:val="00DB70EC"/>
    <w:rsid w:val="00DB7EE6"/>
    <w:rsid w:val="00DD5ED6"/>
    <w:rsid w:val="00DF1922"/>
    <w:rsid w:val="00DF5D78"/>
    <w:rsid w:val="00E04A7C"/>
    <w:rsid w:val="00E04DA6"/>
    <w:rsid w:val="00E06F00"/>
    <w:rsid w:val="00E15EDB"/>
    <w:rsid w:val="00E30304"/>
    <w:rsid w:val="00E324B0"/>
    <w:rsid w:val="00E34F5A"/>
    <w:rsid w:val="00E52219"/>
    <w:rsid w:val="00E84F29"/>
    <w:rsid w:val="00E92088"/>
    <w:rsid w:val="00EA0F35"/>
    <w:rsid w:val="00EA2B28"/>
    <w:rsid w:val="00EB3D18"/>
    <w:rsid w:val="00EC1177"/>
    <w:rsid w:val="00EC3298"/>
    <w:rsid w:val="00ED6F84"/>
    <w:rsid w:val="00EE0D09"/>
    <w:rsid w:val="00F16C81"/>
    <w:rsid w:val="00F27A7C"/>
    <w:rsid w:val="00F6149F"/>
    <w:rsid w:val="00F63261"/>
    <w:rsid w:val="00F658D2"/>
    <w:rsid w:val="00F87CDC"/>
    <w:rsid w:val="00F9284B"/>
    <w:rsid w:val="00FA09A3"/>
    <w:rsid w:val="00FA5CC6"/>
    <w:rsid w:val="00FB048C"/>
    <w:rsid w:val="00FD15A1"/>
    <w:rsid w:val="00FD1B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06D4D"/>
  <w15:docId w15:val="{B04557AD-8DF0-4471-80F4-042DE11A5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11B0"/>
    <w:rPr>
      <w:rFonts w:ascii="Times New Roman" w:eastAsia="Times New Roman" w:hAnsi="Times New Roman" w:cs="Times New Roman"/>
      <w:lang w:val="pl-PL"/>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character" w:styleId="Hipercze">
    <w:name w:val="Hyperlink"/>
    <w:basedOn w:val="Domylnaczcionkaakapitu"/>
    <w:uiPriority w:val="99"/>
    <w:unhideWhenUsed/>
    <w:rsid w:val="009E0D5F"/>
    <w:rPr>
      <w:color w:val="0563C1" w:themeColor="hyperlink"/>
      <w:u w:val="single"/>
    </w:rPr>
  </w:style>
  <w:style w:type="character" w:styleId="Odwoaniedokomentarza">
    <w:name w:val="annotation reference"/>
    <w:basedOn w:val="Domylnaczcionkaakapitu"/>
    <w:uiPriority w:val="99"/>
    <w:semiHidden/>
    <w:unhideWhenUsed/>
    <w:rsid w:val="00557762"/>
    <w:rPr>
      <w:sz w:val="16"/>
      <w:szCs w:val="16"/>
    </w:rPr>
  </w:style>
  <w:style w:type="paragraph" w:styleId="Tekstkomentarza">
    <w:name w:val="annotation text"/>
    <w:basedOn w:val="Normalny"/>
    <w:link w:val="TekstkomentarzaZnak"/>
    <w:uiPriority w:val="99"/>
    <w:semiHidden/>
    <w:unhideWhenUsed/>
    <w:rsid w:val="00557762"/>
    <w:rPr>
      <w:sz w:val="20"/>
      <w:szCs w:val="20"/>
    </w:rPr>
  </w:style>
  <w:style w:type="character" w:customStyle="1" w:styleId="TekstkomentarzaZnak">
    <w:name w:val="Tekst komentarza Znak"/>
    <w:basedOn w:val="Domylnaczcionkaakapitu"/>
    <w:link w:val="Tekstkomentarza"/>
    <w:uiPriority w:val="99"/>
    <w:semiHidden/>
    <w:rsid w:val="00557762"/>
    <w:rPr>
      <w:sz w:val="20"/>
      <w:szCs w:val="20"/>
    </w:rPr>
  </w:style>
  <w:style w:type="paragraph" w:styleId="Tematkomentarza">
    <w:name w:val="annotation subject"/>
    <w:basedOn w:val="Tekstkomentarza"/>
    <w:next w:val="Tekstkomentarza"/>
    <w:link w:val="TematkomentarzaZnak"/>
    <w:uiPriority w:val="99"/>
    <w:semiHidden/>
    <w:unhideWhenUsed/>
    <w:rsid w:val="00557762"/>
    <w:rPr>
      <w:b/>
      <w:bCs/>
    </w:rPr>
  </w:style>
  <w:style w:type="character" w:customStyle="1" w:styleId="TematkomentarzaZnak">
    <w:name w:val="Temat komentarza Znak"/>
    <w:basedOn w:val="TekstkomentarzaZnak"/>
    <w:link w:val="Tematkomentarza"/>
    <w:uiPriority w:val="99"/>
    <w:semiHidden/>
    <w:rsid w:val="00557762"/>
    <w:rPr>
      <w:b/>
      <w:bCs/>
      <w:sz w:val="20"/>
      <w:szCs w:val="20"/>
    </w:rPr>
  </w:style>
  <w:style w:type="paragraph" w:styleId="Stopka">
    <w:name w:val="footer"/>
    <w:basedOn w:val="Normalny"/>
    <w:link w:val="StopkaZnak"/>
    <w:uiPriority w:val="99"/>
    <w:unhideWhenUsed/>
    <w:rsid w:val="00D7770A"/>
    <w:pPr>
      <w:tabs>
        <w:tab w:val="center" w:pos="4536"/>
        <w:tab w:val="right" w:pos="9072"/>
      </w:tabs>
    </w:pPr>
  </w:style>
  <w:style w:type="character" w:customStyle="1" w:styleId="StopkaZnak">
    <w:name w:val="Stopka Znak"/>
    <w:basedOn w:val="Domylnaczcionkaakapitu"/>
    <w:link w:val="Stopka"/>
    <w:uiPriority w:val="99"/>
    <w:rsid w:val="00D7770A"/>
  </w:style>
  <w:style w:type="character" w:styleId="Numerstrony">
    <w:name w:val="page number"/>
    <w:basedOn w:val="Domylnaczcionkaakapitu"/>
    <w:uiPriority w:val="99"/>
    <w:semiHidden/>
    <w:unhideWhenUsed/>
    <w:rsid w:val="00D7770A"/>
  </w:style>
  <w:style w:type="paragraph" w:styleId="Nagwek">
    <w:name w:val="header"/>
    <w:basedOn w:val="Normalny"/>
    <w:link w:val="NagwekZnak"/>
    <w:uiPriority w:val="99"/>
    <w:unhideWhenUsed/>
    <w:rsid w:val="00D7770A"/>
    <w:pPr>
      <w:tabs>
        <w:tab w:val="center" w:pos="4536"/>
        <w:tab w:val="right" w:pos="9072"/>
      </w:tabs>
    </w:pPr>
  </w:style>
  <w:style w:type="character" w:customStyle="1" w:styleId="NagwekZnak">
    <w:name w:val="Nagłówek Znak"/>
    <w:basedOn w:val="Domylnaczcionkaakapitu"/>
    <w:link w:val="Nagwek"/>
    <w:uiPriority w:val="99"/>
    <w:rsid w:val="00D7770A"/>
  </w:style>
  <w:style w:type="paragraph" w:styleId="Akapitzlist">
    <w:name w:val="List Paragraph"/>
    <w:basedOn w:val="Normalny"/>
    <w:uiPriority w:val="34"/>
    <w:qFormat/>
    <w:rsid w:val="00BF760F"/>
    <w:pPr>
      <w:ind w:left="720"/>
      <w:contextualSpacing/>
    </w:p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Tekstdymka">
    <w:name w:val="Balloon Text"/>
    <w:basedOn w:val="Normalny"/>
    <w:link w:val="TekstdymkaZnak"/>
    <w:uiPriority w:val="99"/>
    <w:semiHidden/>
    <w:unhideWhenUsed/>
    <w:rsid w:val="00BA3DF1"/>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3DF1"/>
    <w:rPr>
      <w:rFonts w:ascii="Segoe UI" w:hAnsi="Segoe UI" w:cs="Segoe UI"/>
      <w:sz w:val="18"/>
      <w:szCs w:val="18"/>
    </w:rPr>
  </w:style>
  <w:style w:type="table" w:styleId="Zwykatabela3">
    <w:name w:val="Plain Table 3"/>
    <w:basedOn w:val="Standardowy"/>
    <w:uiPriority w:val="43"/>
    <w:rsid w:val="00CE6C3A"/>
    <w:rPr>
      <w:rFonts w:asciiTheme="minorHAnsi" w:eastAsiaTheme="minorHAnsi" w:hAnsiTheme="minorHAnsi" w:cstheme="minorBidi"/>
      <w:sz w:val="22"/>
      <w:szCs w:val="22"/>
      <w:lang w:val="pl-PL"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Zwykatabela2">
    <w:name w:val="Plain Table 2"/>
    <w:basedOn w:val="Standardowy"/>
    <w:uiPriority w:val="42"/>
    <w:rsid w:val="00602BE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fia">
    <w:name w:val="Bibliography"/>
    <w:basedOn w:val="Normalny"/>
    <w:next w:val="Normalny"/>
    <w:uiPriority w:val="37"/>
    <w:unhideWhenUsed/>
    <w:rsid w:val="003E2BC4"/>
    <w:pPr>
      <w:spacing w:after="240"/>
    </w:pPr>
  </w:style>
  <w:style w:type="paragraph" w:styleId="Poprawka">
    <w:name w:val="Revision"/>
    <w:hidden/>
    <w:uiPriority w:val="99"/>
    <w:semiHidden/>
    <w:rsid w:val="00A16D4B"/>
  </w:style>
  <w:style w:type="character" w:customStyle="1" w:styleId="Nierozpoznanawzmianka1">
    <w:name w:val="Nierozpoznana wzmianka1"/>
    <w:basedOn w:val="Domylnaczcionkaakapitu"/>
    <w:uiPriority w:val="99"/>
    <w:semiHidden/>
    <w:unhideWhenUsed/>
    <w:rsid w:val="00A16D4B"/>
    <w:rPr>
      <w:color w:val="605E5C"/>
      <w:shd w:val="clear" w:color="auto" w:fill="E1DFDD"/>
    </w:rPr>
  </w:style>
  <w:style w:type="character" w:styleId="Numerwiersza">
    <w:name w:val="line number"/>
    <w:basedOn w:val="Domylnaczcionkaakapitu"/>
    <w:uiPriority w:val="99"/>
    <w:semiHidden/>
    <w:unhideWhenUsed/>
    <w:rsid w:val="001F0FD1"/>
  </w:style>
  <w:style w:type="table" w:styleId="Tabela-Siatka">
    <w:name w:val="Table Grid"/>
    <w:basedOn w:val="Standardowy"/>
    <w:uiPriority w:val="59"/>
    <w:rsid w:val="006D3FC1"/>
    <w:rPr>
      <w:rFonts w:asciiTheme="minorHAnsi" w:eastAsiaTheme="minorHAnsi" w:hAnsiTheme="minorHAnsi" w:cstheme="minorBidi"/>
      <w:sz w:val="22"/>
      <w:szCs w:val="22"/>
      <w:lang w:val="pl-PL"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ierozpoznanawzmianka">
    <w:name w:val="Unresolved Mention"/>
    <w:basedOn w:val="Domylnaczcionkaakapitu"/>
    <w:uiPriority w:val="99"/>
    <w:semiHidden/>
    <w:unhideWhenUsed/>
    <w:rsid w:val="00267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07931">
      <w:bodyDiv w:val="1"/>
      <w:marLeft w:val="0"/>
      <w:marRight w:val="0"/>
      <w:marTop w:val="0"/>
      <w:marBottom w:val="0"/>
      <w:divBdr>
        <w:top w:val="none" w:sz="0" w:space="0" w:color="auto"/>
        <w:left w:val="none" w:sz="0" w:space="0" w:color="auto"/>
        <w:bottom w:val="none" w:sz="0" w:space="0" w:color="auto"/>
        <w:right w:val="none" w:sz="0" w:space="0" w:color="auto"/>
      </w:divBdr>
    </w:div>
    <w:div w:id="220793409">
      <w:bodyDiv w:val="1"/>
      <w:marLeft w:val="0"/>
      <w:marRight w:val="0"/>
      <w:marTop w:val="0"/>
      <w:marBottom w:val="0"/>
      <w:divBdr>
        <w:top w:val="none" w:sz="0" w:space="0" w:color="auto"/>
        <w:left w:val="none" w:sz="0" w:space="0" w:color="auto"/>
        <w:bottom w:val="none" w:sz="0" w:space="0" w:color="auto"/>
        <w:right w:val="none" w:sz="0" w:space="0" w:color="auto"/>
      </w:divBdr>
    </w:div>
    <w:div w:id="1376394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kadiusz.piotrowski@gumed.edu.pl"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arkadiusz.piotrowski@gumed.edu.pl" TargetMode="Externa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W78WELIu+6ziPDMZkaeA4vlN6A==">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</go:docsCustomData>
</go:gDocsCustomXmlDataStorage>
</file>

<file path=customXml/itemProps1.xml><?xml version="1.0" encoding="utf-8"?>
<ds:datastoreItem xmlns:ds="http://schemas.openxmlformats.org/officeDocument/2006/customXml" ds:itemID="{16A4683F-33E2-284F-A1BB-E010942A804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51268</Words>
  <Characters>307609</Characters>
  <Application>Microsoft Office Word</Application>
  <DocSecurity>0</DocSecurity>
  <Lines>2563</Lines>
  <Paragraphs>716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Koczkowska</dc:creator>
  <cp:lastModifiedBy>Magdalena Koczkowska</cp:lastModifiedBy>
  <cp:revision>3</cp:revision>
  <cp:lastPrinted>2025-01-30T20:00:00Z</cp:lastPrinted>
  <dcterms:created xsi:type="dcterms:W3CDTF">2025-01-30T20:03:00Z</dcterms:created>
  <dcterms:modified xsi:type="dcterms:W3CDTF">2025-01-30T20:29:00Z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1abd8835b6e82d5d662b2bff061ac49896e2af3c19c3b548e17147ac8514076a</vt:lpwstr>
  </property>
  <property fmtid="{D5CDD505-2E9C-101B-9397-08002B2CF9AE}" pid="3" name="ZOTERO_PREF_1">
    <vt:lpwstr>&lt;data data-version="3" zotero-version="6.0.36"&gt;&lt;session id="yYDU4LE6"/&gt;&lt;style id="http://www.zotero.org/styles/stem-cell-research-and-therapy" hasBibliography="1" bibliographyStyleHasBeenSet="1"/&gt;&lt;prefs&gt;&lt;pref name="fieldType" value="Field"/&gt;&lt;/prefs&gt;&lt;/data</vt:lpwstr>
  </property>
  <property fmtid="{D5CDD505-2E9C-101B-9397-08002B2CF9AE}" pid="4" name="ZOTERO_PREF_2">
    <vt:lpwstr>&gt;</vt:lpwstr>
  </property>
</Properties>
</file>