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FCC47" w14:textId="3406441A" w:rsidR="00D60259" w:rsidRPr="008D2A8B" w:rsidRDefault="00D60259" w:rsidP="00D60259">
      <w:pPr>
        <w:jc w:val="center"/>
        <w:rPr>
          <w:rFonts w:ascii="Times New Roman" w:hAnsi="Times New Roman" w:cs="Times New Roman"/>
          <w:sz w:val="24"/>
          <w:szCs w:val="24"/>
        </w:rPr>
      </w:pPr>
      <w:r w:rsidRPr="008D2A8B">
        <w:rPr>
          <w:rFonts w:ascii="Times New Roman" w:hAnsi="Times New Roman" w:cs="Times New Roman"/>
          <w:b/>
          <w:bCs/>
          <w:color w:val="000000"/>
          <w:sz w:val="24"/>
          <w:szCs w:val="24"/>
        </w:rPr>
        <w:t xml:space="preserve">The Inconclusive Superiority Debate of Allogeneic Vs. Autologous MSCs in Treating Patients with </w:t>
      </w:r>
      <w:proofErr w:type="spellStart"/>
      <w:r w:rsidRPr="008D2A8B">
        <w:rPr>
          <w:rFonts w:ascii="Times New Roman" w:hAnsi="Times New Roman" w:cs="Times New Roman"/>
          <w:b/>
          <w:bCs/>
          <w:color w:val="000000"/>
          <w:sz w:val="24"/>
          <w:szCs w:val="24"/>
        </w:rPr>
        <w:t>HFrEF</w:t>
      </w:r>
      <w:proofErr w:type="spellEnd"/>
      <w:r w:rsidRPr="008D2A8B">
        <w:rPr>
          <w:rFonts w:ascii="Times New Roman" w:hAnsi="Times New Roman" w:cs="Times New Roman"/>
          <w:b/>
          <w:bCs/>
          <w:color w:val="000000"/>
          <w:sz w:val="24"/>
          <w:szCs w:val="24"/>
        </w:rPr>
        <w:t>: A Systematic Review and Meta-Analysis of RCTs</w:t>
      </w:r>
    </w:p>
    <w:p w14:paraId="7A905B54" w14:textId="578F2B91" w:rsidR="00A21487" w:rsidRPr="008D2A8B" w:rsidRDefault="00D60259" w:rsidP="008D2A8B">
      <w:pPr>
        <w:pStyle w:val="MDPI13authornames"/>
        <w:jc w:val="center"/>
        <w:rPr>
          <w:rFonts w:ascii="Times New Roman" w:hAnsi="Times New Roman"/>
          <w:sz w:val="24"/>
          <w:szCs w:val="24"/>
        </w:rPr>
      </w:pPr>
      <w:r w:rsidRPr="008D2A8B">
        <w:rPr>
          <w:rFonts w:ascii="Times New Roman" w:hAnsi="Times New Roman"/>
          <w:b w:val="0"/>
          <w:sz w:val="24"/>
          <w:szCs w:val="24"/>
        </w:rPr>
        <w:t>Omar T. Ahmed</w:t>
      </w:r>
      <w:r w:rsidRPr="008D2A8B">
        <w:rPr>
          <w:rFonts w:ascii="Times New Roman" w:hAnsi="Times New Roman"/>
          <w:b w:val="0"/>
          <w:sz w:val="24"/>
          <w:szCs w:val="24"/>
          <w:vertAlign w:val="superscript"/>
        </w:rPr>
        <w:t>1</w:t>
      </w:r>
      <w:r w:rsidRPr="008D2A8B">
        <w:rPr>
          <w:rFonts w:ascii="Times New Roman" w:hAnsi="Times New Roman"/>
          <w:b w:val="0"/>
          <w:sz w:val="24"/>
          <w:szCs w:val="24"/>
          <w:vertAlign w:val="superscript"/>
        </w:rPr>
        <w:sym w:font="Symbol" w:char="F057"/>
      </w:r>
      <w:r w:rsidRPr="008D2A8B">
        <w:rPr>
          <w:rFonts w:ascii="Times New Roman" w:hAnsi="Times New Roman"/>
          <w:b w:val="0"/>
          <w:sz w:val="24"/>
          <w:szCs w:val="24"/>
        </w:rPr>
        <w:t>, Ziyad T. Ahmed</w:t>
      </w:r>
      <w:r w:rsidRPr="008D2A8B">
        <w:rPr>
          <w:rFonts w:ascii="Times New Roman" w:hAnsi="Times New Roman"/>
          <w:b w:val="0"/>
          <w:sz w:val="24"/>
          <w:szCs w:val="24"/>
          <w:vertAlign w:val="superscript"/>
        </w:rPr>
        <w:t>1</w:t>
      </w:r>
      <w:r w:rsidRPr="008D2A8B">
        <w:rPr>
          <w:rFonts w:ascii="Times New Roman" w:hAnsi="Times New Roman"/>
          <w:b w:val="0"/>
          <w:sz w:val="24"/>
          <w:szCs w:val="24"/>
          <w:vertAlign w:val="superscript"/>
        </w:rPr>
        <w:sym w:font="Symbol" w:char="F057"/>
      </w:r>
      <w:r w:rsidRPr="008D2A8B">
        <w:rPr>
          <w:rFonts w:ascii="Times New Roman" w:hAnsi="Times New Roman"/>
          <w:b w:val="0"/>
          <w:sz w:val="24"/>
          <w:szCs w:val="24"/>
        </w:rPr>
        <w:t>, Abdulrahman W. Dairi</w:t>
      </w:r>
      <w:r w:rsidRPr="008D2A8B">
        <w:rPr>
          <w:rFonts w:ascii="Times New Roman" w:hAnsi="Times New Roman"/>
          <w:b w:val="0"/>
          <w:sz w:val="24"/>
          <w:szCs w:val="24"/>
          <w:vertAlign w:val="superscript"/>
        </w:rPr>
        <w:t>1</w:t>
      </w:r>
      <w:r w:rsidRPr="008D2A8B">
        <w:rPr>
          <w:rFonts w:ascii="Times New Roman" w:hAnsi="Times New Roman"/>
          <w:b w:val="0"/>
          <w:sz w:val="24"/>
          <w:szCs w:val="24"/>
        </w:rPr>
        <w:t>, Maha Saad Zain Al-Abeden</w:t>
      </w:r>
      <w:r w:rsidRPr="008D2A8B">
        <w:rPr>
          <w:rFonts w:ascii="Times New Roman" w:hAnsi="Times New Roman"/>
          <w:b w:val="0"/>
          <w:sz w:val="24"/>
          <w:szCs w:val="24"/>
          <w:vertAlign w:val="superscript"/>
        </w:rPr>
        <w:t>1</w:t>
      </w:r>
      <w:r w:rsidRPr="008D2A8B">
        <w:rPr>
          <w:rFonts w:ascii="Times New Roman" w:hAnsi="Times New Roman"/>
          <w:b w:val="0"/>
          <w:sz w:val="24"/>
          <w:szCs w:val="24"/>
        </w:rPr>
        <w:t>, Mohammed H. Alkahlot</w:t>
      </w:r>
      <w:r w:rsidRPr="008D2A8B">
        <w:rPr>
          <w:rFonts w:ascii="Times New Roman" w:hAnsi="Times New Roman"/>
          <w:b w:val="0"/>
          <w:sz w:val="24"/>
          <w:szCs w:val="24"/>
          <w:vertAlign w:val="superscript"/>
        </w:rPr>
        <w:t>1</w:t>
      </w:r>
      <w:r w:rsidRPr="008D2A8B">
        <w:rPr>
          <w:rFonts w:ascii="Times New Roman" w:hAnsi="Times New Roman"/>
          <w:b w:val="0"/>
          <w:sz w:val="24"/>
          <w:szCs w:val="24"/>
        </w:rPr>
        <w:t>, Rana H. Alkahlot</w:t>
      </w:r>
      <w:r w:rsidRPr="008D2A8B">
        <w:rPr>
          <w:rFonts w:ascii="Times New Roman" w:hAnsi="Times New Roman"/>
          <w:b w:val="0"/>
          <w:sz w:val="24"/>
          <w:szCs w:val="24"/>
          <w:vertAlign w:val="superscript"/>
        </w:rPr>
        <w:t>1</w:t>
      </w:r>
      <w:r w:rsidRPr="008D2A8B">
        <w:rPr>
          <w:rFonts w:ascii="Times New Roman" w:hAnsi="Times New Roman"/>
          <w:b w:val="0"/>
          <w:sz w:val="24"/>
          <w:szCs w:val="24"/>
        </w:rPr>
        <w:t xml:space="preserve">, Ghazi I. Al Jowf </w:t>
      </w:r>
      <w:r w:rsidRPr="008D2A8B">
        <w:rPr>
          <w:rFonts w:ascii="Times New Roman" w:hAnsi="Times New Roman"/>
          <w:b w:val="0"/>
          <w:sz w:val="24"/>
          <w:szCs w:val="24"/>
          <w:vertAlign w:val="superscript"/>
        </w:rPr>
        <w:t>2,3,5</w:t>
      </w:r>
      <w:r w:rsidRPr="008D2A8B">
        <w:rPr>
          <w:rFonts w:ascii="Times New Roman" w:hAnsi="Times New Roman"/>
          <w:b w:val="0"/>
          <w:sz w:val="24"/>
          <w:szCs w:val="24"/>
        </w:rPr>
        <w:t xml:space="preserve"> Lars M. T. </w:t>
      </w:r>
      <w:proofErr w:type="spellStart"/>
      <w:r w:rsidRPr="008D2A8B">
        <w:rPr>
          <w:rFonts w:ascii="Times New Roman" w:hAnsi="Times New Roman"/>
          <w:b w:val="0"/>
          <w:sz w:val="24"/>
          <w:szCs w:val="24"/>
        </w:rPr>
        <w:t>Eijssen</w:t>
      </w:r>
      <w:proofErr w:type="spellEnd"/>
      <w:r w:rsidRPr="008D2A8B">
        <w:rPr>
          <w:rFonts w:ascii="Times New Roman" w:hAnsi="Times New Roman"/>
          <w:b w:val="0"/>
          <w:sz w:val="24"/>
          <w:szCs w:val="24"/>
        </w:rPr>
        <w:t xml:space="preserve"> </w:t>
      </w:r>
      <w:r w:rsidRPr="008D2A8B">
        <w:rPr>
          <w:rFonts w:ascii="Times New Roman" w:hAnsi="Times New Roman"/>
          <w:b w:val="0"/>
          <w:sz w:val="24"/>
          <w:szCs w:val="24"/>
          <w:vertAlign w:val="superscript"/>
        </w:rPr>
        <w:t>3,4,5</w:t>
      </w:r>
      <w:r w:rsidRPr="008D2A8B">
        <w:rPr>
          <w:rFonts w:ascii="Times New Roman" w:hAnsi="Times New Roman"/>
          <w:b w:val="0"/>
          <w:sz w:val="24"/>
          <w:szCs w:val="24"/>
        </w:rPr>
        <w:t>, and Khawaja Husnain Haider</w:t>
      </w:r>
      <w:r w:rsidRPr="008D2A8B">
        <w:rPr>
          <w:rFonts w:ascii="Times New Roman" w:hAnsi="Times New Roman"/>
          <w:b w:val="0"/>
          <w:sz w:val="24"/>
          <w:szCs w:val="24"/>
          <w:vertAlign w:val="superscript"/>
        </w:rPr>
        <w:t>1</w:t>
      </w:r>
      <w:r w:rsidRPr="008D2A8B">
        <w:rPr>
          <w:rFonts w:ascii="Times New Roman" w:hAnsi="Times New Roman"/>
          <w:b w:val="0"/>
          <w:sz w:val="24"/>
          <w:szCs w:val="24"/>
        </w:rPr>
        <w:t>*</w:t>
      </w:r>
    </w:p>
    <w:p w14:paraId="743837AB" w14:textId="4BDC4551" w:rsidR="000B1C8F" w:rsidRPr="008D2A8B" w:rsidRDefault="00A21487" w:rsidP="00D60259">
      <w:pPr>
        <w:rPr>
          <w:rFonts w:asciiTheme="majorBidi" w:hAnsiTheme="majorBidi" w:cstheme="majorBidi"/>
          <w:sz w:val="24"/>
          <w:szCs w:val="24"/>
          <w:lang w:val="en-US"/>
        </w:rPr>
      </w:pPr>
      <w:r w:rsidRPr="008D2A8B">
        <w:rPr>
          <w:rFonts w:asciiTheme="majorBidi" w:hAnsiTheme="majorBidi" w:cstheme="majorBidi"/>
          <w:sz w:val="24"/>
          <w:szCs w:val="24"/>
          <w:lang w:val="en-US"/>
        </w:rPr>
        <w:t>Appendix 1. Supplements to statistical analysis and results supporting information.</w:t>
      </w:r>
    </w:p>
    <w:p w14:paraId="52F5345D" w14:textId="77777777" w:rsidR="00D60259" w:rsidRPr="00D60259" w:rsidRDefault="00D60259" w:rsidP="00D60259">
      <w:pPr>
        <w:rPr>
          <w:rFonts w:asciiTheme="majorBidi" w:hAnsiTheme="majorBidi" w:cstheme="majorBidi"/>
          <w:sz w:val="24"/>
          <w:szCs w:val="24"/>
          <w:lang w:val="en-US"/>
        </w:rPr>
      </w:pPr>
    </w:p>
    <w:p w14:paraId="13D4B30B" w14:textId="2A8736E3" w:rsidR="00A21487" w:rsidRPr="00A21487" w:rsidRDefault="00A21487" w:rsidP="00A21487">
      <w:pPr>
        <w:rPr>
          <w:rFonts w:asciiTheme="majorBidi" w:hAnsiTheme="majorBidi" w:cstheme="majorBidi"/>
          <w:b/>
          <w:bCs/>
          <w:sz w:val="32"/>
          <w:szCs w:val="32"/>
          <w:u w:val="single"/>
        </w:rPr>
      </w:pPr>
      <w:r w:rsidRPr="00A21487">
        <w:rPr>
          <w:rFonts w:asciiTheme="majorBidi" w:hAnsiTheme="majorBidi" w:cstheme="majorBidi"/>
          <w:b/>
          <w:bCs/>
          <w:sz w:val="32"/>
          <w:szCs w:val="32"/>
          <w:u w:val="single"/>
        </w:rPr>
        <w:t>Meta-Analysis for safety and efficacy parameters</w:t>
      </w:r>
    </w:p>
    <w:p w14:paraId="66011B7B" w14:textId="1C716198" w:rsidR="00087B03" w:rsidRPr="007D4DBC" w:rsidRDefault="007D4DBC" w:rsidP="00087B03">
      <w:pPr>
        <w:rPr>
          <w:rFonts w:asciiTheme="majorBidi" w:hAnsiTheme="majorBidi" w:cstheme="majorBidi"/>
          <w:sz w:val="28"/>
          <w:szCs w:val="28"/>
          <w:lang w:val="en-US"/>
        </w:rPr>
      </w:pPr>
      <w:r>
        <w:rPr>
          <w:rFonts w:asciiTheme="majorBidi" w:hAnsiTheme="majorBidi" w:cstheme="majorBidi"/>
          <w:sz w:val="28"/>
          <w:szCs w:val="28"/>
          <w:lang w:val="en-US"/>
        </w:rPr>
        <w:t xml:space="preserve">Supplementary </w:t>
      </w:r>
      <w:r w:rsidRPr="00A21487">
        <w:rPr>
          <w:rFonts w:asciiTheme="majorBidi" w:hAnsiTheme="majorBidi" w:cstheme="majorBidi"/>
          <w:sz w:val="28"/>
          <w:szCs w:val="28"/>
          <w:lang w:val="en-US"/>
        </w:rPr>
        <w:t>Table 1.</w:t>
      </w:r>
      <w:r>
        <w:rPr>
          <w:rFonts w:asciiTheme="majorBidi" w:hAnsiTheme="majorBidi" w:cstheme="majorBidi"/>
          <w:sz w:val="28"/>
          <w:szCs w:val="28"/>
          <w:lang w:val="en-US"/>
        </w:rPr>
        <w:t xml:space="preserve"> </w:t>
      </w:r>
      <w:r w:rsidR="00071A89" w:rsidRPr="00071A89">
        <w:rPr>
          <w:rFonts w:asciiTheme="majorBidi" w:hAnsiTheme="majorBidi" w:cstheme="majorBidi"/>
          <w:b/>
          <w:bCs/>
          <w:sz w:val="28"/>
          <w:szCs w:val="28"/>
          <w:u w:val="single"/>
          <w:lang w:val="en-US"/>
        </w:rPr>
        <w:t>Death:</w:t>
      </w:r>
    </w:p>
    <w:p w14:paraId="27FF1BED" w14:textId="77777777" w:rsidR="00071A89" w:rsidRDefault="00071A89" w:rsidP="00071A89">
      <w:pPr>
        <w:rPr>
          <w:lang w:val="en-US"/>
        </w:rPr>
      </w:pPr>
      <w:r>
        <w:rPr>
          <w:noProof/>
          <w:lang w:val="en-US"/>
        </w:rPr>
        <w:drawing>
          <wp:inline distT="0" distB="0" distL="0" distR="0" wp14:anchorId="1C1ED31A" wp14:editId="659554E6">
            <wp:extent cx="5943600" cy="2304415"/>
            <wp:effectExtent l="0" t="0" r="0" b="0"/>
            <wp:docPr id="18235086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08624" name="Picture 1823508624"/>
                    <pic:cNvPicPr/>
                  </pic:nvPicPr>
                  <pic:blipFill>
                    <a:blip r:embed="rId7">
                      <a:extLst>
                        <a:ext uri="{28A0092B-C50C-407E-A947-70E740481C1C}">
                          <a14:useLocalDpi xmlns:a14="http://schemas.microsoft.com/office/drawing/2010/main" val="0"/>
                        </a:ext>
                      </a:extLst>
                    </a:blip>
                    <a:stretch>
                      <a:fillRect/>
                    </a:stretch>
                  </pic:blipFill>
                  <pic:spPr>
                    <a:xfrm>
                      <a:off x="0" y="0"/>
                      <a:ext cx="5943600" cy="2304415"/>
                    </a:xfrm>
                    <a:prstGeom prst="rect">
                      <a:avLst/>
                    </a:prstGeom>
                  </pic:spPr>
                </pic:pic>
              </a:graphicData>
            </a:graphic>
          </wp:inline>
        </w:drawing>
      </w:r>
    </w:p>
    <w:p w14:paraId="78A1C6F9" w14:textId="77777777" w:rsidR="007D4DBC" w:rsidRDefault="007D4DBC" w:rsidP="00071A89">
      <w:pPr>
        <w:rPr>
          <w:lang w:val="en-US"/>
        </w:rPr>
      </w:pPr>
    </w:p>
    <w:p w14:paraId="07222A91" w14:textId="77777777" w:rsidR="007D4DBC" w:rsidRDefault="007D4DBC" w:rsidP="00071A89">
      <w:pPr>
        <w:rPr>
          <w:lang w:val="en-US"/>
        </w:rPr>
      </w:pPr>
    </w:p>
    <w:p w14:paraId="3C692C95" w14:textId="6BBFF70D" w:rsidR="00071A89" w:rsidRDefault="00071A89" w:rsidP="00A21487">
      <w:pPr>
        <w:autoSpaceDE w:val="0"/>
        <w:autoSpaceDN w:val="0"/>
        <w:adjustRightInd w:val="0"/>
        <w:rPr>
          <w:rFonts w:ascii="Times New Roman" w:hAnsi="Times New Roman" w:cs="Times New Roman"/>
          <w:kern w:val="0"/>
          <w:lang w:val="en-US"/>
        </w:rPr>
      </w:pPr>
      <w:r>
        <w:rPr>
          <w:rFonts w:ascii="Times New Roman" w:hAnsi="Times New Roman" w:cs="Times New Roman"/>
          <w:noProof/>
          <w:kern w:val="0"/>
          <w:lang w:val="en-US"/>
        </w:rPr>
        <w:lastRenderedPageBreak/>
        <w:drawing>
          <wp:inline distT="0" distB="0" distL="0" distR="0" wp14:anchorId="2CE6EE32" wp14:editId="324CCA8F">
            <wp:extent cx="5943600" cy="3491230"/>
            <wp:effectExtent l="0" t="0" r="0" b="1270"/>
            <wp:docPr id="753465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491230"/>
                    </a:xfrm>
                    <a:prstGeom prst="rect">
                      <a:avLst/>
                    </a:prstGeom>
                    <a:noFill/>
                    <a:ln>
                      <a:noFill/>
                    </a:ln>
                  </pic:spPr>
                </pic:pic>
              </a:graphicData>
            </a:graphic>
          </wp:inline>
        </w:drawing>
      </w:r>
    </w:p>
    <w:p w14:paraId="29E02300" w14:textId="77777777" w:rsidR="00071A89" w:rsidRDefault="00071A89" w:rsidP="00071A89">
      <w:pPr>
        <w:autoSpaceDE w:val="0"/>
        <w:autoSpaceDN w:val="0"/>
        <w:adjustRightInd w:val="0"/>
        <w:rPr>
          <w:rFonts w:ascii="Times New Roman" w:hAnsi="Times New Roman" w:cs="Times New Roman"/>
          <w:kern w:val="0"/>
          <w:lang w:val="en-US"/>
        </w:rPr>
      </w:pPr>
      <w:r>
        <w:rPr>
          <w:rFonts w:ascii="Times New Roman" w:hAnsi="Times New Roman" w:cs="Times New Roman"/>
          <w:noProof/>
          <w:kern w:val="0"/>
          <w:lang w:val="en-US"/>
        </w:rPr>
        <w:drawing>
          <wp:inline distT="0" distB="0" distL="0" distR="0" wp14:anchorId="470393FC" wp14:editId="6F5101B0">
            <wp:extent cx="5943600" cy="3491230"/>
            <wp:effectExtent l="0" t="0" r="0" b="1270"/>
            <wp:docPr id="8384989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491230"/>
                    </a:xfrm>
                    <a:prstGeom prst="rect">
                      <a:avLst/>
                    </a:prstGeom>
                    <a:noFill/>
                    <a:ln>
                      <a:noFill/>
                    </a:ln>
                  </pic:spPr>
                </pic:pic>
              </a:graphicData>
            </a:graphic>
          </wp:inline>
        </w:drawing>
      </w:r>
    </w:p>
    <w:p w14:paraId="4D06AA96" w14:textId="3A13AD58" w:rsidR="00071A89" w:rsidRPr="00A21487" w:rsidRDefault="007D4DBC" w:rsidP="00071A89">
      <w:pPr>
        <w:rPr>
          <w:rFonts w:asciiTheme="majorBidi" w:hAnsiTheme="majorBidi" w:cstheme="majorBidi"/>
          <w:sz w:val="28"/>
          <w:szCs w:val="28"/>
          <w:lang w:val="en-US"/>
        </w:rPr>
      </w:pPr>
      <w:r>
        <w:rPr>
          <w:rFonts w:asciiTheme="majorBidi" w:hAnsiTheme="majorBidi" w:cstheme="majorBidi"/>
          <w:b/>
          <w:bCs/>
          <w:sz w:val="28"/>
          <w:szCs w:val="28"/>
          <w:lang w:val="en-US"/>
        </w:rPr>
        <w:t xml:space="preserve">Supplementary </w:t>
      </w:r>
      <w:r w:rsidR="007C05D4" w:rsidRPr="007D4DBC">
        <w:rPr>
          <w:rFonts w:asciiTheme="majorBidi" w:hAnsiTheme="majorBidi" w:cstheme="majorBidi"/>
          <w:b/>
          <w:bCs/>
          <w:sz w:val="28"/>
          <w:szCs w:val="28"/>
          <w:lang w:val="en-US"/>
        </w:rPr>
        <w:t xml:space="preserve">Figure </w:t>
      </w:r>
      <w:r w:rsidR="00A21487" w:rsidRPr="007D4DBC">
        <w:rPr>
          <w:rFonts w:asciiTheme="majorBidi" w:hAnsiTheme="majorBidi" w:cstheme="majorBidi"/>
          <w:b/>
          <w:bCs/>
          <w:sz w:val="28"/>
          <w:szCs w:val="28"/>
          <w:lang w:val="en-US"/>
        </w:rPr>
        <w:t>1</w:t>
      </w:r>
      <w:r w:rsidR="007C05D4" w:rsidRPr="007D4DBC">
        <w:rPr>
          <w:rFonts w:asciiTheme="majorBidi" w:hAnsiTheme="majorBidi" w:cstheme="majorBidi"/>
          <w:b/>
          <w:bCs/>
          <w:sz w:val="28"/>
          <w:szCs w:val="28"/>
          <w:lang w:val="en-US"/>
        </w:rPr>
        <w:t>.</w:t>
      </w:r>
      <w:r w:rsidR="00A21487" w:rsidRPr="00A21487">
        <w:rPr>
          <w:rFonts w:asciiTheme="majorBidi" w:hAnsiTheme="majorBidi" w:cstheme="majorBidi"/>
          <w:sz w:val="28"/>
          <w:szCs w:val="28"/>
          <w:lang w:val="en-US"/>
        </w:rPr>
        <w:t xml:space="preserve"> Funnel plot overall and for subgroups for death parameter.</w:t>
      </w:r>
    </w:p>
    <w:p w14:paraId="0F065057" w14:textId="77777777" w:rsidR="007C05D4" w:rsidRPr="001E33A4" w:rsidRDefault="007C05D4" w:rsidP="00071A89">
      <w:pPr>
        <w:rPr>
          <w:lang w:val="en-US"/>
        </w:rPr>
      </w:pPr>
    </w:p>
    <w:p w14:paraId="67D435B9" w14:textId="77777777" w:rsidR="000B1C8F" w:rsidRDefault="000B1C8F"/>
    <w:p w14:paraId="45BC6626" w14:textId="77777777" w:rsidR="00A21487" w:rsidRDefault="00A21487" w:rsidP="00071A89">
      <w:pPr>
        <w:rPr>
          <w:rFonts w:asciiTheme="majorBidi" w:hAnsiTheme="majorBidi" w:cstheme="majorBidi"/>
          <w:b/>
          <w:bCs/>
          <w:sz w:val="28"/>
          <w:szCs w:val="28"/>
          <w:u w:val="single"/>
          <w:lang w:val="en-US"/>
        </w:rPr>
      </w:pPr>
    </w:p>
    <w:p w14:paraId="21683B84" w14:textId="77777777" w:rsidR="00A21487" w:rsidRDefault="00A21487" w:rsidP="00071A89">
      <w:pPr>
        <w:rPr>
          <w:rFonts w:asciiTheme="majorBidi" w:hAnsiTheme="majorBidi" w:cstheme="majorBidi"/>
          <w:b/>
          <w:bCs/>
          <w:sz w:val="28"/>
          <w:szCs w:val="28"/>
          <w:u w:val="single"/>
          <w:lang w:val="en-US"/>
        </w:rPr>
      </w:pPr>
    </w:p>
    <w:p w14:paraId="430B8C20" w14:textId="0D46FD03" w:rsidR="00A21487" w:rsidRDefault="007D4DBC" w:rsidP="00071A89">
      <w:pPr>
        <w:rPr>
          <w:rFonts w:asciiTheme="majorBidi" w:hAnsiTheme="majorBidi" w:cstheme="majorBidi"/>
          <w:sz w:val="28"/>
          <w:szCs w:val="28"/>
          <w:lang w:val="en-US"/>
        </w:rPr>
      </w:pPr>
      <w:r>
        <w:rPr>
          <w:rFonts w:asciiTheme="majorBidi" w:hAnsiTheme="majorBidi" w:cstheme="majorBidi"/>
          <w:sz w:val="28"/>
          <w:szCs w:val="28"/>
          <w:lang w:val="en-US"/>
        </w:rPr>
        <w:t xml:space="preserve">Supplementary Table 2. </w:t>
      </w:r>
      <w:r w:rsidR="00A21487">
        <w:rPr>
          <w:rFonts w:asciiTheme="majorBidi" w:hAnsiTheme="majorBidi" w:cstheme="majorBidi"/>
          <w:b/>
          <w:bCs/>
          <w:sz w:val="28"/>
          <w:szCs w:val="28"/>
          <w:u w:val="single"/>
          <w:lang w:val="en-US"/>
        </w:rPr>
        <w:t>Hospitalization</w:t>
      </w:r>
      <w:r>
        <w:rPr>
          <w:rFonts w:asciiTheme="majorBidi" w:hAnsiTheme="majorBidi" w:cstheme="majorBidi"/>
          <w:b/>
          <w:bCs/>
          <w:sz w:val="28"/>
          <w:szCs w:val="28"/>
          <w:u w:val="single"/>
          <w:lang w:val="en-US"/>
        </w:rPr>
        <w:t>.</w:t>
      </w:r>
    </w:p>
    <w:p w14:paraId="29BEE7C1" w14:textId="77777777" w:rsidR="00A21487" w:rsidRDefault="00A21487" w:rsidP="00071A89">
      <w:pPr>
        <w:rPr>
          <w:rFonts w:asciiTheme="majorBidi" w:hAnsiTheme="majorBidi" w:cstheme="majorBidi"/>
          <w:sz w:val="28"/>
          <w:szCs w:val="28"/>
          <w:lang w:val="en-US"/>
        </w:rPr>
      </w:pPr>
    </w:p>
    <w:p w14:paraId="3B0AA955" w14:textId="19466F45" w:rsidR="00A21487" w:rsidRDefault="00A21487" w:rsidP="00071A89">
      <w:pPr>
        <w:rPr>
          <w:rFonts w:asciiTheme="majorBidi" w:hAnsiTheme="majorBidi" w:cstheme="majorBidi"/>
          <w:sz w:val="28"/>
          <w:szCs w:val="28"/>
          <w:lang w:val="en-US"/>
        </w:rPr>
      </w:pPr>
      <w:r>
        <w:rPr>
          <w:rFonts w:ascii="Times New Roman" w:hAnsi="Times New Roman" w:cs="Times New Roman"/>
          <w:noProof/>
          <w:kern w:val="0"/>
          <w:lang w:val="en-US"/>
        </w:rPr>
        <w:drawing>
          <wp:inline distT="0" distB="0" distL="0" distR="0" wp14:anchorId="3E2777B1" wp14:editId="69C04B77">
            <wp:extent cx="5731510" cy="2154215"/>
            <wp:effectExtent l="0" t="0" r="0" b="5080"/>
            <wp:docPr id="1722466795" name="Picture 2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466795" name="Picture 24" descr="A screenshot of a graph&#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2154215"/>
                    </a:xfrm>
                    <a:prstGeom prst="rect">
                      <a:avLst/>
                    </a:prstGeom>
                  </pic:spPr>
                </pic:pic>
              </a:graphicData>
            </a:graphic>
          </wp:inline>
        </w:drawing>
      </w:r>
    </w:p>
    <w:p w14:paraId="7A5DE77E" w14:textId="77777777" w:rsidR="007D4DBC" w:rsidRDefault="007D4DBC" w:rsidP="00071A89">
      <w:pPr>
        <w:rPr>
          <w:rFonts w:asciiTheme="majorBidi" w:hAnsiTheme="majorBidi" w:cstheme="majorBidi"/>
          <w:sz w:val="28"/>
          <w:szCs w:val="28"/>
          <w:lang w:val="en-US"/>
        </w:rPr>
      </w:pPr>
    </w:p>
    <w:p w14:paraId="700DF49A" w14:textId="77777777" w:rsidR="007D4DBC" w:rsidRDefault="007D4DBC" w:rsidP="00071A89">
      <w:pPr>
        <w:rPr>
          <w:rFonts w:asciiTheme="majorBidi" w:hAnsiTheme="majorBidi" w:cstheme="majorBidi"/>
          <w:sz w:val="28"/>
          <w:szCs w:val="28"/>
          <w:lang w:val="en-US"/>
        </w:rPr>
      </w:pPr>
    </w:p>
    <w:p w14:paraId="2352FD2E" w14:textId="77777777" w:rsidR="007D4DBC" w:rsidRDefault="007D4DBC" w:rsidP="00071A89">
      <w:pPr>
        <w:rPr>
          <w:rFonts w:asciiTheme="majorBidi" w:hAnsiTheme="majorBidi" w:cstheme="majorBidi"/>
          <w:sz w:val="28"/>
          <w:szCs w:val="28"/>
          <w:lang w:val="en-US"/>
        </w:rPr>
      </w:pPr>
    </w:p>
    <w:p w14:paraId="1E467984" w14:textId="77777777" w:rsidR="007D4DBC" w:rsidRDefault="007D4DBC" w:rsidP="00071A89">
      <w:pPr>
        <w:rPr>
          <w:rFonts w:asciiTheme="majorBidi" w:hAnsiTheme="majorBidi" w:cstheme="majorBidi"/>
          <w:sz w:val="28"/>
          <w:szCs w:val="28"/>
          <w:lang w:val="en-US"/>
        </w:rPr>
      </w:pPr>
    </w:p>
    <w:p w14:paraId="5EC43BE1" w14:textId="77777777" w:rsidR="007D4DBC" w:rsidRDefault="007D4DBC" w:rsidP="00071A89">
      <w:pPr>
        <w:rPr>
          <w:rFonts w:asciiTheme="majorBidi" w:hAnsiTheme="majorBidi" w:cstheme="majorBidi"/>
          <w:sz w:val="28"/>
          <w:szCs w:val="28"/>
          <w:lang w:val="en-US"/>
        </w:rPr>
      </w:pPr>
    </w:p>
    <w:p w14:paraId="30ED22AC" w14:textId="77777777" w:rsidR="007D4DBC" w:rsidRDefault="007D4DBC" w:rsidP="00071A89">
      <w:pPr>
        <w:rPr>
          <w:rFonts w:asciiTheme="majorBidi" w:hAnsiTheme="majorBidi" w:cstheme="majorBidi"/>
          <w:sz w:val="28"/>
          <w:szCs w:val="28"/>
          <w:lang w:val="en-US"/>
        </w:rPr>
      </w:pPr>
    </w:p>
    <w:p w14:paraId="0C4B096D" w14:textId="77777777" w:rsidR="007D4DBC" w:rsidRDefault="007D4DBC" w:rsidP="00071A89">
      <w:pPr>
        <w:rPr>
          <w:rFonts w:asciiTheme="majorBidi" w:hAnsiTheme="majorBidi" w:cstheme="majorBidi"/>
          <w:sz w:val="28"/>
          <w:szCs w:val="28"/>
          <w:lang w:val="en-US"/>
        </w:rPr>
      </w:pPr>
    </w:p>
    <w:p w14:paraId="0716A55D" w14:textId="77777777" w:rsidR="007D4DBC" w:rsidRDefault="007D4DBC" w:rsidP="00071A89">
      <w:pPr>
        <w:rPr>
          <w:rFonts w:asciiTheme="majorBidi" w:hAnsiTheme="majorBidi" w:cstheme="majorBidi"/>
          <w:sz w:val="28"/>
          <w:szCs w:val="28"/>
          <w:lang w:val="en-US"/>
        </w:rPr>
      </w:pPr>
    </w:p>
    <w:p w14:paraId="4B580278" w14:textId="77777777" w:rsidR="007D4DBC" w:rsidRDefault="007D4DBC" w:rsidP="00071A89">
      <w:pPr>
        <w:rPr>
          <w:rFonts w:asciiTheme="majorBidi" w:hAnsiTheme="majorBidi" w:cstheme="majorBidi"/>
          <w:sz w:val="28"/>
          <w:szCs w:val="28"/>
          <w:lang w:val="en-US"/>
        </w:rPr>
      </w:pPr>
    </w:p>
    <w:p w14:paraId="77F9152A" w14:textId="69E3AFDC" w:rsidR="00A21487" w:rsidRDefault="00A21487" w:rsidP="00071A89">
      <w:pPr>
        <w:rPr>
          <w:rFonts w:asciiTheme="majorBidi" w:hAnsiTheme="majorBidi" w:cstheme="majorBidi"/>
          <w:sz w:val="28"/>
          <w:szCs w:val="28"/>
          <w:lang w:val="en-US"/>
        </w:rPr>
      </w:pPr>
      <w:r>
        <w:rPr>
          <w:rFonts w:ascii="Times New Roman" w:hAnsi="Times New Roman" w:cs="Times New Roman"/>
          <w:noProof/>
          <w:kern w:val="0"/>
          <w:lang w:val="en-US"/>
        </w:rPr>
        <w:lastRenderedPageBreak/>
        <w:drawing>
          <wp:inline distT="0" distB="0" distL="0" distR="0" wp14:anchorId="5EDE6A01" wp14:editId="0B1E80EA">
            <wp:extent cx="5731510" cy="3370324"/>
            <wp:effectExtent l="0" t="0" r="0" b="0"/>
            <wp:docPr id="1890897988" name="Picture 25" descr="A graph of a funnel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97988" name="Picture 25" descr="A graph of a funnel plo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370324"/>
                    </a:xfrm>
                    <a:prstGeom prst="rect">
                      <a:avLst/>
                    </a:prstGeom>
                    <a:noFill/>
                    <a:ln>
                      <a:noFill/>
                    </a:ln>
                  </pic:spPr>
                </pic:pic>
              </a:graphicData>
            </a:graphic>
          </wp:inline>
        </w:drawing>
      </w:r>
    </w:p>
    <w:p w14:paraId="63B96064" w14:textId="59B3C24E" w:rsidR="00A21487" w:rsidRPr="00A21487" w:rsidRDefault="00A21487" w:rsidP="00071A89">
      <w:pPr>
        <w:rPr>
          <w:rFonts w:asciiTheme="majorBidi" w:hAnsiTheme="majorBidi" w:cstheme="majorBidi"/>
          <w:sz w:val="28"/>
          <w:szCs w:val="28"/>
          <w:lang w:val="en-US"/>
        </w:rPr>
      </w:pPr>
      <w:r>
        <w:rPr>
          <w:rFonts w:ascii="Times New Roman" w:hAnsi="Times New Roman" w:cs="Times New Roman"/>
          <w:noProof/>
          <w:kern w:val="0"/>
          <w:lang w:val="en-US"/>
        </w:rPr>
        <w:drawing>
          <wp:inline distT="0" distB="0" distL="0" distR="0" wp14:anchorId="60320C57" wp14:editId="664B2464">
            <wp:extent cx="5731510" cy="3370324"/>
            <wp:effectExtent l="0" t="0" r="0" b="0"/>
            <wp:docPr id="788631947" name="Picture 26"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31947" name="Picture 26" descr="A graph of a graph of a graph&#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370324"/>
                    </a:xfrm>
                    <a:prstGeom prst="rect">
                      <a:avLst/>
                    </a:prstGeom>
                    <a:noFill/>
                    <a:ln>
                      <a:noFill/>
                    </a:ln>
                  </pic:spPr>
                </pic:pic>
              </a:graphicData>
            </a:graphic>
          </wp:inline>
        </w:drawing>
      </w:r>
    </w:p>
    <w:p w14:paraId="2E66D8E9" w14:textId="1A199260" w:rsidR="00A21487" w:rsidRPr="00A21487" w:rsidRDefault="007D4DBC" w:rsidP="00071A89">
      <w:pPr>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w:t>
      </w:r>
      <w:r w:rsidR="00A21487" w:rsidRPr="007D4DBC">
        <w:rPr>
          <w:rFonts w:asciiTheme="majorBidi" w:hAnsiTheme="majorBidi" w:cstheme="majorBidi"/>
          <w:b/>
          <w:bCs/>
          <w:sz w:val="28"/>
          <w:szCs w:val="28"/>
          <w:lang w:val="en-US"/>
        </w:rPr>
        <w:t>Figure 2.</w:t>
      </w:r>
      <w:r w:rsidR="00A21487">
        <w:rPr>
          <w:rFonts w:asciiTheme="majorBidi" w:hAnsiTheme="majorBidi" w:cstheme="majorBidi"/>
          <w:sz w:val="28"/>
          <w:szCs w:val="28"/>
          <w:lang w:val="en-US"/>
        </w:rPr>
        <w:t xml:space="preserve"> </w:t>
      </w:r>
      <w:r w:rsidR="00A21487" w:rsidRPr="00A21487">
        <w:rPr>
          <w:rFonts w:asciiTheme="majorBidi" w:hAnsiTheme="majorBidi" w:cstheme="majorBidi"/>
          <w:sz w:val="28"/>
          <w:szCs w:val="28"/>
          <w:lang w:val="en-US"/>
        </w:rPr>
        <w:t xml:space="preserve">Funnel plot overall and for subgroups for </w:t>
      </w:r>
      <w:r w:rsidR="00A21487">
        <w:rPr>
          <w:rFonts w:asciiTheme="majorBidi" w:hAnsiTheme="majorBidi" w:cstheme="majorBidi"/>
          <w:sz w:val="28"/>
          <w:szCs w:val="28"/>
          <w:lang w:val="en-US"/>
        </w:rPr>
        <w:t>hospitalization</w:t>
      </w:r>
      <w:r w:rsidR="00A21487" w:rsidRPr="00A21487">
        <w:rPr>
          <w:rFonts w:asciiTheme="majorBidi" w:hAnsiTheme="majorBidi" w:cstheme="majorBidi"/>
          <w:sz w:val="28"/>
          <w:szCs w:val="28"/>
          <w:lang w:val="en-US"/>
        </w:rPr>
        <w:t xml:space="preserve"> parameter.</w:t>
      </w:r>
    </w:p>
    <w:p w14:paraId="631CE46B" w14:textId="77777777" w:rsidR="00A21487" w:rsidRDefault="00A21487" w:rsidP="00071A89">
      <w:pPr>
        <w:rPr>
          <w:rFonts w:asciiTheme="majorBidi" w:hAnsiTheme="majorBidi" w:cstheme="majorBidi"/>
          <w:b/>
          <w:bCs/>
          <w:sz w:val="28"/>
          <w:szCs w:val="28"/>
          <w:u w:val="single"/>
          <w:lang w:val="en-US"/>
        </w:rPr>
      </w:pPr>
    </w:p>
    <w:p w14:paraId="291B483C" w14:textId="77777777" w:rsidR="00A21487" w:rsidRDefault="00A21487" w:rsidP="00071A89">
      <w:pPr>
        <w:rPr>
          <w:rFonts w:asciiTheme="majorBidi" w:hAnsiTheme="majorBidi" w:cstheme="majorBidi"/>
          <w:b/>
          <w:bCs/>
          <w:sz w:val="28"/>
          <w:szCs w:val="28"/>
          <w:u w:val="single"/>
          <w:lang w:val="en-US"/>
        </w:rPr>
      </w:pPr>
    </w:p>
    <w:p w14:paraId="4E72F159" w14:textId="77777777" w:rsidR="00A21487" w:rsidRDefault="00A21487" w:rsidP="00071A89">
      <w:pPr>
        <w:rPr>
          <w:rFonts w:asciiTheme="majorBidi" w:hAnsiTheme="majorBidi" w:cstheme="majorBidi"/>
          <w:b/>
          <w:bCs/>
          <w:sz w:val="28"/>
          <w:szCs w:val="28"/>
          <w:u w:val="single"/>
          <w:lang w:val="en-US"/>
        </w:rPr>
      </w:pPr>
    </w:p>
    <w:p w14:paraId="1C41975F" w14:textId="77777777" w:rsidR="00A21487" w:rsidRDefault="00A21487" w:rsidP="00071A89">
      <w:pPr>
        <w:rPr>
          <w:rFonts w:asciiTheme="majorBidi" w:hAnsiTheme="majorBidi" w:cstheme="majorBidi"/>
          <w:b/>
          <w:bCs/>
          <w:sz w:val="28"/>
          <w:szCs w:val="28"/>
          <w:u w:val="single"/>
          <w:lang w:val="en-US"/>
        </w:rPr>
      </w:pPr>
    </w:p>
    <w:p w14:paraId="0F3EC8CB" w14:textId="32D19F41" w:rsidR="00071A89" w:rsidRDefault="007D4DBC" w:rsidP="00071A89">
      <w:pPr>
        <w:rPr>
          <w:rFonts w:asciiTheme="majorBidi" w:hAnsiTheme="majorBidi" w:cstheme="majorBidi"/>
          <w:b/>
          <w:bCs/>
          <w:sz w:val="28"/>
          <w:szCs w:val="28"/>
          <w:u w:val="single"/>
          <w:lang w:val="en-US"/>
        </w:rPr>
      </w:pPr>
      <w:r w:rsidRPr="007D4DBC">
        <w:rPr>
          <w:rFonts w:asciiTheme="majorBidi" w:hAnsiTheme="majorBidi" w:cstheme="majorBidi"/>
          <w:b/>
          <w:bCs/>
          <w:sz w:val="28"/>
          <w:szCs w:val="28"/>
          <w:lang w:val="en-US"/>
        </w:rPr>
        <w:t>Supplementary Table 3.</w:t>
      </w:r>
      <w:r>
        <w:rPr>
          <w:rFonts w:asciiTheme="majorBidi" w:hAnsiTheme="majorBidi" w:cstheme="majorBidi"/>
          <w:b/>
          <w:bCs/>
          <w:sz w:val="28"/>
          <w:szCs w:val="28"/>
          <w:lang w:val="en-US"/>
        </w:rPr>
        <w:t xml:space="preserve"> </w:t>
      </w:r>
      <w:r w:rsidR="00071A89" w:rsidRPr="00071A89">
        <w:rPr>
          <w:rFonts w:asciiTheme="majorBidi" w:hAnsiTheme="majorBidi" w:cstheme="majorBidi"/>
          <w:b/>
          <w:bCs/>
          <w:sz w:val="28"/>
          <w:szCs w:val="28"/>
          <w:u w:val="single"/>
          <w:lang w:val="en-US"/>
        </w:rPr>
        <w:t>M</w:t>
      </w:r>
      <w:r w:rsidR="00071A89">
        <w:rPr>
          <w:rFonts w:asciiTheme="majorBidi" w:hAnsiTheme="majorBidi" w:cstheme="majorBidi"/>
          <w:b/>
          <w:bCs/>
          <w:sz w:val="28"/>
          <w:szCs w:val="28"/>
          <w:u w:val="single"/>
          <w:lang w:val="en-US"/>
        </w:rPr>
        <w:t>ACE</w:t>
      </w:r>
      <w:r w:rsidR="00071A89" w:rsidRPr="00071A89">
        <w:rPr>
          <w:rFonts w:asciiTheme="majorBidi" w:hAnsiTheme="majorBidi" w:cstheme="majorBidi"/>
          <w:b/>
          <w:bCs/>
          <w:sz w:val="28"/>
          <w:szCs w:val="28"/>
          <w:u w:val="single"/>
          <w:lang w:val="en-US"/>
        </w:rPr>
        <w:t xml:space="preserve">: </w:t>
      </w:r>
    </w:p>
    <w:p w14:paraId="4A7FEC89" w14:textId="77777777" w:rsidR="007144CE" w:rsidRPr="007144CE" w:rsidRDefault="007144CE" w:rsidP="007144CE">
      <w:pPr>
        <w:autoSpaceDE w:val="0"/>
        <w:autoSpaceDN w:val="0"/>
        <w:adjustRightInd w:val="0"/>
        <w:spacing w:after="0" w:line="240" w:lineRule="auto"/>
        <w:rPr>
          <w:rFonts w:ascii="Times New Roman" w:hAnsi="Times New Roman" w:cs="Times New Roman"/>
          <w:kern w:val="0"/>
          <w:sz w:val="24"/>
          <w:szCs w:val="24"/>
          <w:lang w:val="en-US"/>
        </w:rPr>
      </w:pPr>
    </w:p>
    <w:tbl>
      <w:tblPr>
        <w:tblW w:w="3819" w:type="dxa"/>
        <w:tblLayout w:type="fixed"/>
        <w:tblCellMar>
          <w:left w:w="0" w:type="dxa"/>
          <w:right w:w="0" w:type="dxa"/>
        </w:tblCellMar>
        <w:tblLook w:val="0000" w:firstRow="0" w:lastRow="0" w:firstColumn="0" w:lastColumn="0" w:noHBand="0" w:noVBand="0"/>
      </w:tblPr>
      <w:tblGrid>
        <w:gridCol w:w="963"/>
        <w:gridCol w:w="1642"/>
        <w:gridCol w:w="1214"/>
      </w:tblGrid>
      <w:tr w:rsidR="007144CE" w:rsidRPr="007144CE" w14:paraId="712DFA9F" w14:textId="77777777">
        <w:trPr>
          <w:cantSplit/>
        </w:trPr>
        <w:tc>
          <w:tcPr>
            <w:tcW w:w="3817" w:type="dxa"/>
            <w:gridSpan w:val="3"/>
            <w:tcBorders>
              <w:top w:val="nil"/>
              <w:left w:val="nil"/>
              <w:bottom w:val="nil"/>
              <w:right w:val="nil"/>
            </w:tcBorders>
            <w:shd w:val="clear" w:color="auto" w:fill="FFFFFF"/>
            <w:vAlign w:val="center"/>
          </w:tcPr>
          <w:p w14:paraId="28A23091" w14:textId="77777777" w:rsidR="007144CE" w:rsidRPr="007144CE" w:rsidRDefault="007144CE" w:rsidP="007144CE">
            <w:pPr>
              <w:autoSpaceDE w:val="0"/>
              <w:autoSpaceDN w:val="0"/>
              <w:adjustRightInd w:val="0"/>
              <w:spacing w:after="0" w:line="320" w:lineRule="atLeast"/>
              <w:ind w:left="60" w:right="60"/>
              <w:jc w:val="center"/>
              <w:rPr>
                <w:rFonts w:ascii="Arial" w:hAnsi="Arial" w:cs="Arial"/>
                <w:color w:val="010205"/>
                <w:kern w:val="0"/>
                <w:sz w:val="28"/>
                <w:szCs w:val="28"/>
                <w:lang w:val="en-US"/>
              </w:rPr>
            </w:pPr>
            <w:r w:rsidRPr="007144CE">
              <w:rPr>
                <w:rFonts w:ascii="Arial" w:hAnsi="Arial" w:cs="Arial"/>
                <w:b/>
                <w:bCs/>
                <w:color w:val="010205"/>
                <w:kern w:val="0"/>
                <w:sz w:val="28"/>
                <w:szCs w:val="28"/>
                <w:lang w:val="en-US"/>
              </w:rPr>
              <w:t>Heterogeneity Measures</w:t>
            </w:r>
          </w:p>
        </w:tc>
      </w:tr>
      <w:tr w:rsidR="007144CE" w:rsidRPr="007144CE" w14:paraId="2ED4E18A" w14:textId="77777777">
        <w:trPr>
          <w:cantSplit/>
        </w:trPr>
        <w:tc>
          <w:tcPr>
            <w:tcW w:w="963" w:type="dxa"/>
            <w:vMerge w:val="restart"/>
            <w:tcBorders>
              <w:top w:val="nil"/>
              <w:left w:val="nil"/>
              <w:bottom w:val="single" w:sz="8" w:space="0" w:color="AEAEAE"/>
              <w:right w:val="nil"/>
            </w:tcBorders>
            <w:shd w:val="clear" w:color="auto" w:fill="E0E0E0"/>
          </w:tcPr>
          <w:p w14:paraId="0BF49EB3"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proofErr w:type="spellStart"/>
            <w:r w:rsidRPr="007144CE">
              <w:rPr>
                <w:rFonts w:ascii="Arial" w:hAnsi="Arial" w:cs="Arial"/>
                <w:color w:val="264A60"/>
                <w:kern w:val="0"/>
                <w:sz w:val="24"/>
                <w:szCs w:val="24"/>
                <w:lang w:val="en-US"/>
              </w:rPr>
              <w:t>Allo</w:t>
            </w:r>
            <w:proofErr w:type="spellEnd"/>
          </w:p>
        </w:tc>
        <w:tc>
          <w:tcPr>
            <w:tcW w:w="1641" w:type="dxa"/>
            <w:tcBorders>
              <w:top w:val="nil"/>
              <w:left w:val="nil"/>
              <w:bottom w:val="single" w:sz="8" w:space="0" w:color="AEAEAE"/>
              <w:right w:val="nil"/>
            </w:tcBorders>
            <w:shd w:val="clear" w:color="auto" w:fill="E0E0E0"/>
          </w:tcPr>
          <w:p w14:paraId="4278F319"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nil"/>
              <w:left w:val="nil"/>
              <w:bottom w:val="single" w:sz="8" w:space="0" w:color="AEAEAE"/>
              <w:right w:val="nil"/>
            </w:tcBorders>
            <w:shd w:val="clear" w:color="auto" w:fill="F9F9FB"/>
          </w:tcPr>
          <w:p w14:paraId="3512D728"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.000</w:t>
            </w:r>
          </w:p>
        </w:tc>
      </w:tr>
      <w:tr w:rsidR="007144CE" w:rsidRPr="007144CE" w14:paraId="63F1FE6F" w14:textId="77777777">
        <w:trPr>
          <w:cantSplit/>
        </w:trPr>
        <w:tc>
          <w:tcPr>
            <w:tcW w:w="963" w:type="dxa"/>
            <w:vMerge/>
            <w:tcBorders>
              <w:top w:val="nil"/>
              <w:left w:val="nil"/>
              <w:bottom w:val="single" w:sz="8" w:space="0" w:color="AEAEAE"/>
              <w:right w:val="nil"/>
            </w:tcBorders>
            <w:shd w:val="clear" w:color="auto" w:fill="E0E0E0"/>
          </w:tcPr>
          <w:p w14:paraId="37DD33F7"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3C1F537D"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18D2A433"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1.000</w:t>
            </w:r>
          </w:p>
        </w:tc>
      </w:tr>
      <w:tr w:rsidR="007144CE" w:rsidRPr="007144CE" w14:paraId="05F95771" w14:textId="77777777">
        <w:trPr>
          <w:cantSplit/>
        </w:trPr>
        <w:tc>
          <w:tcPr>
            <w:tcW w:w="963" w:type="dxa"/>
            <w:vMerge/>
            <w:tcBorders>
              <w:top w:val="nil"/>
              <w:left w:val="nil"/>
              <w:bottom w:val="single" w:sz="8" w:space="0" w:color="AEAEAE"/>
              <w:right w:val="nil"/>
            </w:tcBorders>
            <w:shd w:val="clear" w:color="auto" w:fill="E0E0E0"/>
          </w:tcPr>
          <w:p w14:paraId="55BAD438"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7B6C57C2"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AEAEAE"/>
              <w:right w:val="nil"/>
            </w:tcBorders>
            <w:shd w:val="clear" w:color="auto" w:fill="F9F9FB"/>
          </w:tcPr>
          <w:p w14:paraId="066FB181"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w:t>
            </w:r>
          </w:p>
        </w:tc>
      </w:tr>
      <w:tr w:rsidR="007144CE" w:rsidRPr="007144CE" w14:paraId="0A308A10" w14:textId="77777777">
        <w:trPr>
          <w:cantSplit/>
        </w:trPr>
        <w:tc>
          <w:tcPr>
            <w:tcW w:w="963" w:type="dxa"/>
            <w:vMerge w:val="restart"/>
            <w:tcBorders>
              <w:top w:val="single" w:sz="8" w:space="0" w:color="AEAEAE"/>
              <w:left w:val="nil"/>
              <w:bottom w:val="single" w:sz="8" w:space="0" w:color="AEAEAE"/>
              <w:right w:val="nil"/>
            </w:tcBorders>
            <w:shd w:val="clear" w:color="auto" w:fill="E0E0E0"/>
          </w:tcPr>
          <w:p w14:paraId="499C38A8"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Auto</w:t>
            </w:r>
          </w:p>
        </w:tc>
        <w:tc>
          <w:tcPr>
            <w:tcW w:w="1641" w:type="dxa"/>
            <w:tcBorders>
              <w:top w:val="single" w:sz="8" w:space="0" w:color="AEAEAE"/>
              <w:left w:val="nil"/>
              <w:bottom w:val="single" w:sz="8" w:space="0" w:color="AEAEAE"/>
              <w:right w:val="nil"/>
            </w:tcBorders>
            <w:shd w:val="clear" w:color="auto" w:fill="E0E0E0"/>
          </w:tcPr>
          <w:p w14:paraId="09365E20"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single" w:sz="8" w:space="0" w:color="AEAEAE"/>
              <w:left w:val="nil"/>
              <w:bottom w:val="single" w:sz="8" w:space="0" w:color="AEAEAE"/>
              <w:right w:val="nil"/>
            </w:tcBorders>
            <w:shd w:val="clear" w:color="auto" w:fill="F9F9FB"/>
          </w:tcPr>
          <w:p w14:paraId="05C5A3FB"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.000</w:t>
            </w:r>
          </w:p>
        </w:tc>
      </w:tr>
      <w:tr w:rsidR="007144CE" w:rsidRPr="007144CE" w14:paraId="6E43118E" w14:textId="77777777">
        <w:trPr>
          <w:cantSplit/>
        </w:trPr>
        <w:tc>
          <w:tcPr>
            <w:tcW w:w="963" w:type="dxa"/>
            <w:vMerge/>
            <w:tcBorders>
              <w:top w:val="single" w:sz="8" w:space="0" w:color="AEAEAE"/>
              <w:left w:val="nil"/>
              <w:bottom w:val="single" w:sz="8" w:space="0" w:color="AEAEAE"/>
              <w:right w:val="nil"/>
            </w:tcBorders>
            <w:shd w:val="clear" w:color="auto" w:fill="E0E0E0"/>
          </w:tcPr>
          <w:p w14:paraId="032D2BEF"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76FB1210"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18F0F065"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1.001</w:t>
            </w:r>
          </w:p>
        </w:tc>
      </w:tr>
      <w:tr w:rsidR="007144CE" w:rsidRPr="007144CE" w14:paraId="4B7458AC" w14:textId="77777777">
        <w:trPr>
          <w:cantSplit/>
        </w:trPr>
        <w:tc>
          <w:tcPr>
            <w:tcW w:w="963" w:type="dxa"/>
            <w:vMerge/>
            <w:tcBorders>
              <w:top w:val="single" w:sz="8" w:space="0" w:color="AEAEAE"/>
              <w:left w:val="nil"/>
              <w:bottom w:val="single" w:sz="8" w:space="0" w:color="AEAEAE"/>
              <w:right w:val="nil"/>
            </w:tcBorders>
            <w:shd w:val="clear" w:color="auto" w:fill="E0E0E0"/>
          </w:tcPr>
          <w:p w14:paraId="1E055DA3"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4EE6032A"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AEAEAE"/>
              <w:right w:val="nil"/>
            </w:tcBorders>
            <w:shd w:val="clear" w:color="auto" w:fill="F9F9FB"/>
          </w:tcPr>
          <w:p w14:paraId="69145100"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w:t>
            </w:r>
          </w:p>
        </w:tc>
      </w:tr>
      <w:tr w:rsidR="007144CE" w:rsidRPr="007144CE" w14:paraId="1AAADF33" w14:textId="77777777">
        <w:trPr>
          <w:cantSplit/>
        </w:trPr>
        <w:tc>
          <w:tcPr>
            <w:tcW w:w="963" w:type="dxa"/>
            <w:vMerge w:val="restart"/>
            <w:tcBorders>
              <w:top w:val="single" w:sz="8" w:space="0" w:color="AEAEAE"/>
              <w:left w:val="nil"/>
              <w:bottom w:val="single" w:sz="8" w:space="0" w:color="152935"/>
              <w:right w:val="nil"/>
            </w:tcBorders>
            <w:shd w:val="clear" w:color="auto" w:fill="E0E0E0"/>
          </w:tcPr>
          <w:p w14:paraId="497A98FF"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Overall</w:t>
            </w:r>
          </w:p>
        </w:tc>
        <w:tc>
          <w:tcPr>
            <w:tcW w:w="1641" w:type="dxa"/>
            <w:tcBorders>
              <w:top w:val="single" w:sz="8" w:space="0" w:color="AEAEAE"/>
              <w:left w:val="nil"/>
              <w:bottom w:val="single" w:sz="8" w:space="0" w:color="AEAEAE"/>
              <w:right w:val="nil"/>
            </w:tcBorders>
            <w:shd w:val="clear" w:color="auto" w:fill="E0E0E0"/>
          </w:tcPr>
          <w:p w14:paraId="7F4C58A8"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single" w:sz="8" w:space="0" w:color="AEAEAE"/>
              <w:left w:val="nil"/>
              <w:bottom w:val="single" w:sz="8" w:space="0" w:color="AEAEAE"/>
              <w:right w:val="nil"/>
            </w:tcBorders>
            <w:shd w:val="clear" w:color="auto" w:fill="F9F9FB"/>
          </w:tcPr>
          <w:p w14:paraId="2EF2260F"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.000</w:t>
            </w:r>
          </w:p>
        </w:tc>
      </w:tr>
      <w:tr w:rsidR="007144CE" w:rsidRPr="007144CE" w14:paraId="5B4F0C42" w14:textId="77777777">
        <w:trPr>
          <w:cantSplit/>
        </w:trPr>
        <w:tc>
          <w:tcPr>
            <w:tcW w:w="963" w:type="dxa"/>
            <w:vMerge/>
            <w:tcBorders>
              <w:top w:val="single" w:sz="8" w:space="0" w:color="AEAEAE"/>
              <w:left w:val="nil"/>
              <w:bottom w:val="single" w:sz="8" w:space="0" w:color="152935"/>
              <w:right w:val="nil"/>
            </w:tcBorders>
            <w:shd w:val="clear" w:color="auto" w:fill="E0E0E0"/>
          </w:tcPr>
          <w:p w14:paraId="28416186"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6F471BC8"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1601BA26"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1.000</w:t>
            </w:r>
          </w:p>
        </w:tc>
      </w:tr>
      <w:tr w:rsidR="007144CE" w:rsidRPr="007144CE" w14:paraId="7E35CECC" w14:textId="77777777">
        <w:trPr>
          <w:cantSplit/>
        </w:trPr>
        <w:tc>
          <w:tcPr>
            <w:tcW w:w="963" w:type="dxa"/>
            <w:vMerge/>
            <w:tcBorders>
              <w:top w:val="single" w:sz="8" w:space="0" w:color="AEAEAE"/>
              <w:left w:val="nil"/>
              <w:bottom w:val="single" w:sz="8" w:space="0" w:color="152935"/>
              <w:right w:val="nil"/>
            </w:tcBorders>
            <w:shd w:val="clear" w:color="auto" w:fill="E0E0E0"/>
          </w:tcPr>
          <w:p w14:paraId="0296329F"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152935"/>
              <w:right w:val="nil"/>
            </w:tcBorders>
            <w:shd w:val="clear" w:color="auto" w:fill="E0E0E0"/>
          </w:tcPr>
          <w:p w14:paraId="5720ADCA"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152935"/>
              <w:right w:val="nil"/>
            </w:tcBorders>
            <w:shd w:val="clear" w:color="auto" w:fill="F9F9FB"/>
          </w:tcPr>
          <w:p w14:paraId="1BB808C9"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w:t>
            </w:r>
          </w:p>
        </w:tc>
      </w:tr>
    </w:tbl>
    <w:p w14:paraId="43E94845" w14:textId="77777777" w:rsidR="00071A89" w:rsidRDefault="00071A89" w:rsidP="00071A89">
      <w:pPr>
        <w:autoSpaceDE w:val="0"/>
        <w:autoSpaceDN w:val="0"/>
        <w:adjustRightInd w:val="0"/>
        <w:spacing w:line="400" w:lineRule="atLeast"/>
        <w:rPr>
          <w:rFonts w:ascii="Times New Roman" w:hAnsi="Times New Roman" w:cs="Times New Roman"/>
          <w:kern w:val="0"/>
          <w:lang w:val="en-US"/>
        </w:rPr>
      </w:pPr>
    </w:p>
    <w:p w14:paraId="67864A71" w14:textId="77777777" w:rsidR="00071A89" w:rsidRDefault="00071A89" w:rsidP="00071A89">
      <w:pPr>
        <w:rPr>
          <w:lang w:val="en-US"/>
        </w:rPr>
      </w:pPr>
      <w:r>
        <w:rPr>
          <w:noProof/>
          <w:lang w:val="en-US"/>
        </w:rPr>
        <w:drawing>
          <wp:inline distT="0" distB="0" distL="0" distR="0" wp14:anchorId="2C0604F1" wp14:editId="7DF8659E">
            <wp:extent cx="5943600" cy="2304415"/>
            <wp:effectExtent l="0" t="0" r="0" b="0"/>
            <wp:docPr id="972888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88318" name="Picture 972888318"/>
                    <pic:cNvPicPr/>
                  </pic:nvPicPr>
                  <pic:blipFill>
                    <a:blip r:embed="rId13">
                      <a:extLst>
                        <a:ext uri="{28A0092B-C50C-407E-A947-70E740481C1C}">
                          <a14:useLocalDpi xmlns:a14="http://schemas.microsoft.com/office/drawing/2010/main" val="0"/>
                        </a:ext>
                      </a:extLst>
                    </a:blip>
                    <a:stretch>
                      <a:fillRect/>
                    </a:stretch>
                  </pic:blipFill>
                  <pic:spPr>
                    <a:xfrm>
                      <a:off x="0" y="0"/>
                      <a:ext cx="5943600" cy="2304415"/>
                    </a:xfrm>
                    <a:prstGeom prst="rect">
                      <a:avLst/>
                    </a:prstGeom>
                  </pic:spPr>
                </pic:pic>
              </a:graphicData>
            </a:graphic>
          </wp:inline>
        </w:drawing>
      </w:r>
    </w:p>
    <w:p w14:paraId="0485DDE4" w14:textId="45C7DDB4" w:rsidR="00071A89" w:rsidRDefault="00071A89" w:rsidP="00A21487">
      <w:pPr>
        <w:autoSpaceDE w:val="0"/>
        <w:autoSpaceDN w:val="0"/>
        <w:adjustRightInd w:val="0"/>
        <w:rPr>
          <w:rFonts w:ascii="Times New Roman" w:hAnsi="Times New Roman" w:cs="Times New Roman"/>
          <w:kern w:val="0"/>
          <w:lang w:val="en-US"/>
        </w:rPr>
      </w:pPr>
      <w:r>
        <w:rPr>
          <w:rFonts w:ascii="Times New Roman" w:hAnsi="Times New Roman" w:cs="Times New Roman"/>
          <w:noProof/>
          <w:kern w:val="0"/>
          <w:lang w:val="en-US"/>
        </w:rPr>
        <w:lastRenderedPageBreak/>
        <w:drawing>
          <wp:inline distT="0" distB="0" distL="0" distR="0" wp14:anchorId="3D5F56F5" wp14:editId="0D97D8E3">
            <wp:extent cx="5943600" cy="3491230"/>
            <wp:effectExtent l="0" t="0" r="0" b="1270"/>
            <wp:docPr id="778896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491230"/>
                    </a:xfrm>
                    <a:prstGeom prst="rect">
                      <a:avLst/>
                    </a:prstGeom>
                    <a:noFill/>
                    <a:ln>
                      <a:noFill/>
                    </a:ln>
                  </pic:spPr>
                </pic:pic>
              </a:graphicData>
            </a:graphic>
          </wp:inline>
        </w:drawing>
      </w:r>
    </w:p>
    <w:p w14:paraId="1E9E32FF" w14:textId="77777777" w:rsidR="00071A89" w:rsidRDefault="00071A89" w:rsidP="00071A89">
      <w:pPr>
        <w:autoSpaceDE w:val="0"/>
        <w:autoSpaceDN w:val="0"/>
        <w:adjustRightInd w:val="0"/>
        <w:rPr>
          <w:rFonts w:ascii="Times New Roman" w:hAnsi="Times New Roman" w:cs="Times New Roman"/>
          <w:kern w:val="0"/>
          <w:lang w:val="en-US"/>
        </w:rPr>
      </w:pPr>
      <w:r>
        <w:rPr>
          <w:rFonts w:ascii="Times New Roman" w:hAnsi="Times New Roman" w:cs="Times New Roman"/>
          <w:noProof/>
          <w:kern w:val="0"/>
          <w:lang w:val="en-US"/>
        </w:rPr>
        <w:drawing>
          <wp:inline distT="0" distB="0" distL="0" distR="0" wp14:anchorId="156834D0" wp14:editId="59BED9D1">
            <wp:extent cx="5943600" cy="3491230"/>
            <wp:effectExtent l="0" t="0" r="0" b="1270"/>
            <wp:docPr id="2189717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491230"/>
                    </a:xfrm>
                    <a:prstGeom prst="rect">
                      <a:avLst/>
                    </a:prstGeom>
                    <a:noFill/>
                    <a:ln>
                      <a:noFill/>
                    </a:ln>
                  </pic:spPr>
                </pic:pic>
              </a:graphicData>
            </a:graphic>
          </wp:inline>
        </w:drawing>
      </w:r>
    </w:p>
    <w:p w14:paraId="037B8485" w14:textId="2AD976D5" w:rsidR="007C05D4" w:rsidRPr="00A21487" w:rsidRDefault="007D4DBC" w:rsidP="00A21487">
      <w:pPr>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w:t>
      </w:r>
      <w:r w:rsidR="007C05D4" w:rsidRPr="007D4DBC">
        <w:rPr>
          <w:rFonts w:asciiTheme="majorBidi" w:hAnsiTheme="majorBidi" w:cstheme="majorBidi"/>
          <w:b/>
          <w:bCs/>
          <w:sz w:val="28"/>
          <w:szCs w:val="28"/>
          <w:lang w:val="en-US"/>
        </w:rPr>
        <w:t xml:space="preserve">Figure </w:t>
      </w:r>
      <w:r w:rsidR="00A21487" w:rsidRPr="007D4DBC">
        <w:rPr>
          <w:rFonts w:asciiTheme="majorBidi" w:hAnsiTheme="majorBidi" w:cstheme="majorBidi"/>
          <w:b/>
          <w:bCs/>
          <w:sz w:val="28"/>
          <w:szCs w:val="28"/>
          <w:lang w:val="en-US"/>
        </w:rPr>
        <w:t>3</w:t>
      </w:r>
      <w:r w:rsidR="007C05D4" w:rsidRPr="007D4DBC">
        <w:rPr>
          <w:rFonts w:asciiTheme="majorBidi" w:hAnsiTheme="majorBidi" w:cstheme="majorBidi"/>
          <w:b/>
          <w:bCs/>
          <w:sz w:val="28"/>
          <w:szCs w:val="28"/>
          <w:lang w:val="en-US"/>
        </w:rPr>
        <w:t>.</w:t>
      </w:r>
      <w:r w:rsidR="00A21487">
        <w:rPr>
          <w:rFonts w:asciiTheme="majorBidi" w:hAnsiTheme="majorBidi" w:cstheme="majorBidi"/>
          <w:sz w:val="28"/>
          <w:szCs w:val="28"/>
          <w:lang w:val="en-US"/>
        </w:rPr>
        <w:t xml:space="preserve"> </w:t>
      </w:r>
      <w:r w:rsidR="00A21487" w:rsidRPr="00A21487">
        <w:rPr>
          <w:rFonts w:asciiTheme="majorBidi" w:hAnsiTheme="majorBidi" w:cstheme="majorBidi"/>
          <w:sz w:val="28"/>
          <w:szCs w:val="28"/>
          <w:lang w:val="en-US"/>
        </w:rPr>
        <w:t xml:space="preserve">Funnel plot overall and for subgroups for </w:t>
      </w:r>
      <w:r w:rsidR="00A21487">
        <w:rPr>
          <w:rFonts w:asciiTheme="majorBidi" w:hAnsiTheme="majorBidi" w:cstheme="majorBidi"/>
          <w:sz w:val="28"/>
          <w:szCs w:val="28"/>
          <w:lang w:val="en-US"/>
        </w:rPr>
        <w:t>MACE</w:t>
      </w:r>
      <w:r w:rsidR="00A21487" w:rsidRPr="00A21487">
        <w:rPr>
          <w:rFonts w:asciiTheme="majorBidi" w:hAnsiTheme="majorBidi" w:cstheme="majorBidi"/>
          <w:sz w:val="28"/>
          <w:szCs w:val="28"/>
          <w:lang w:val="en-US"/>
        </w:rPr>
        <w:t xml:space="preserve"> parameter.</w:t>
      </w:r>
    </w:p>
    <w:p w14:paraId="1E3EFE3C" w14:textId="77777777" w:rsidR="006C0648" w:rsidRDefault="006C0648"/>
    <w:p w14:paraId="0C47A99A" w14:textId="77777777" w:rsidR="000B1C8F" w:rsidRDefault="000B1C8F"/>
    <w:p w14:paraId="2433E3C7" w14:textId="77777777" w:rsidR="00071A89" w:rsidRDefault="00071A89"/>
    <w:p w14:paraId="671FC468" w14:textId="77777777" w:rsidR="00A21487" w:rsidRDefault="00A21487">
      <w:pPr>
        <w:rPr>
          <w:rFonts w:asciiTheme="majorBidi" w:hAnsiTheme="majorBidi" w:cstheme="majorBidi"/>
          <w:b/>
          <w:bCs/>
          <w:sz w:val="28"/>
          <w:szCs w:val="28"/>
          <w:u w:val="single"/>
        </w:rPr>
      </w:pPr>
    </w:p>
    <w:p w14:paraId="6DEC4215" w14:textId="553C4984" w:rsidR="006C0648" w:rsidRDefault="007D4DBC">
      <w:pPr>
        <w:rPr>
          <w:rFonts w:asciiTheme="majorBidi" w:hAnsiTheme="majorBidi" w:cstheme="majorBidi"/>
          <w:b/>
          <w:bCs/>
          <w:sz w:val="28"/>
          <w:szCs w:val="28"/>
          <w:u w:val="single"/>
        </w:rPr>
      </w:pPr>
      <w:r>
        <w:rPr>
          <w:rFonts w:asciiTheme="majorBidi" w:hAnsiTheme="majorBidi" w:cstheme="majorBidi"/>
          <w:b/>
          <w:bCs/>
          <w:sz w:val="28"/>
          <w:szCs w:val="28"/>
          <w:u w:val="single"/>
        </w:rPr>
        <w:t xml:space="preserve">Supplementary Table 4: </w:t>
      </w:r>
      <w:r w:rsidR="006C0648" w:rsidRPr="00071A89">
        <w:rPr>
          <w:rFonts w:asciiTheme="majorBidi" w:hAnsiTheme="majorBidi" w:cstheme="majorBidi"/>
          <w:b/>
          <w:bCs/>
          <w:sz w:val="28"/>
          <w:szCs w:val="28"/>
          <w:u w:val="single"/>
        </w:rPr>
        <w:t>LVEF</w:t>
      </w:r>
      <w:r>
        <w:rPr>
          <w:rFonts w:asciiTheme="majorBidi" w:hAnsiTheme="majorBidi" w:cstheme="majorBidi"/>
          <w:b/>
          <w:bCs/>
          <w:sz w:val="28"/>
          <w:szCs w:val="28"/>
          <w:u w:val="single"/>
        </w:rPr>
        <w:t>.</w:t>
      </w:r>
    </w:p>
    <w:p w14:paraId="0E00D670" w14:textId="77777777" w:rsidR="007144CE" w:rsidRPr="007144CE" w:rsidRDefault="007144CE" w:rsidP="007144CE">
      <w:pPr>
        <w:autoSpaceDE w:val="0"/>
        <w:autoSpaceDN w:val="0"/>
        <w:adjustRightInd w:val="0"/>
        <w:spacing w:after="0" w:line="240" w:lineRule="auto"/>
        <w:rPr>
          <w:rFonts w:ascii="Times New Roman" w:hAnsi="Times New Roman" w:cs="Times New Roman"/>
          <w:kern w:val="0"/>
          <w:sz w:val="24"/>
          <w:szCs w:val="24"/>
          <w:lang w:val="en-US"/>
        </w:rPr>
      </w:pPr>
    </w:p>
    <w:tbl>
      <w:tblPr>
        <w:tblW w:w="3819" w:type="dxa"/>
        <w:tblLayout w:type="fixed"/>
        <w:tblCellMar>
          <w:left w:w="0" w:type="dxa"/>
          <w:right w:w="0" w:type="dxa"/>
        </w:tblCellMar>
        <w:tblLook w:val="0000" w:firstRow="0" w:lastRow="0" w:firstColumn="0" w:lastColumn="0" w:noHBand="0" w:noVBand="0"/>
      </w:tblPr>
      <w:tblGrid>
        <w:gridCol w:w="963"/>
        <w:gridCol w:w="1642"/>
        <w:gridCol w:w="1214"/>
      </w:tblGrid>
      <w:tr w:rsidR="007144CE" w:rsidRPr="007144CE" w14:paraId="1BB1D09D" w14:textId="77777777">
        <w:trPr>
          <w:cantSplit/>
        </w:trPr>
        <w:tc>
          <w:tcPr>
            <w:tcW w:w="3817" w:type="dxa"/>
            <w:gridSpan w:val="3"/>
            <w:tcBorders>
              <w:top w:val="nil"/>
              <w:left w:val="nil"/>
              <w:bottom w:val="nil"/>
              <w:right w:val="nil"/>
            </w:tcBorders>
            <w:shd w:val="clear" w:color="auto" w:fill="FFFFFF"/>
            <w:vAlign w:val="center"/>
          </w:tcPr>
          <w:p w14:paraId="512F3930" w14:textId="77777777" w:rsidR="007144CE" w:rsidRPr="007144CE" w:rsidRDefault="007144CE" w:rsidP="007144CE">
            <w:pPr>
              <w:autoSpaceDE w:val="0"/>
              <w:autoSpaceDN w:val="0"/>
              <w:adjustRightInd w:val="0"/>
              <w:spacing w:after="0" w:line="320" w:lineRule="atLeast"/>
              <w:ind w:left="60" w:right="60"/>
              <w:jc w:val="center"/>
              <w:rPr>
                <w:rFonts w:ascii="Arial" w:hAnsi="Arial" w:cs="Arial"/>
                <w:color w:val="010205"/>
                <w:kern w:val="0"/>
                <w:sz w:val="28"/>
                <w:szCs w:val="28"/>
                <w:lang w:val="en-US"/>
              </w:rPr>
            </w:pPr>
            <w:r w:rsidRPr="007144CE">
              <w:rPr>
                <w:rFonts w:ascii="Arial" w:hAnsi="Arial" w:cs="Arial"/>
                <w:b/>
                <w:bCs/>
                <w:color w:val="010205"/>
                <w:kern w:val="0"/>
                <w:sz w:val="28"/>
                <w:szCs w:val="28"/>
                <w:lang w:val="en-US"/>
              </w:rPr>
              <w:t>Heterogeneity Measures</w:t>
            </w:r>
          </w:p>
        </w:tc>
      </w:tr>
      <w:tr w:rsidR="007144CE" w:rsidRPr="007144CE" w14:paraId="3A26401B" w14:textId="77777777">
        <w:trPr>
          <w:cantSplit/>
        </w:trPr>
        <w:tc>
          <w:tcPr>
            <w:tcW w:w="963" w:type="dxa"/>
            <w:vMerge w:val="restart"/>
            <w:tcBorders>
              <w:top w:val="nil"/>
              <w:left w:val="nil"/>
              <w:bottom w:val="single" w:sz="8" w:space="0" w:color="AEAEAE"/>
              <w:right w:val="nil"/>
            </w:tcBorders>
            <w:shd w:val="clear" w:color="auto" w:fill="E0E0E0"/>
          </w:tcPr>
          <w:p w14:paraId="0F9CD946"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proofErr w:type="spellStart"/>
            <w:r w:rsidRPr="007144CE">
              <w:rPr>
                <w:rFonts w:ascii="Arial" w:hAnsi="Arial" w:cs="Arial"/>
                <w:color w:val="264A60"/>
                <w:kern w:val="0"/>
                <w:sz w:val="24"/>
                <w:szCs w:val="24"/>
                <w:lang w:val="en-US"/>
              </w:rPr>
              <w:t>Allo</w:t>
            </w:r>
            <w:proofErr w:type="spellEnd"/>
          </w:p>
        </w:tc>
        <w:tc>
          <w:tcPr>
            <w:tcW w:w="1641" w:type="dxa"/>
            <w:tcBorders>
              <w:top w:val="nil"/>
              <w:left w:val="nil"/>
              <w:bottom w:val="single" w:sz="8" w:space="0" w:color="AEAEAE"/>
              <w:right w:val="nil"/>
            </w:tcBorders>
            <w:shd w:val="clear" w:color="auto" w:fill="E0E0E0"/>
          </w:tcPr>
          <w:p w14:paraId="0F481BCA"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nil"/>
              <w:left w:val="nil"/>
              <w:bottom w:val="single" w:sz="8" w:space="0" w:color="AEAEAE"/>
              <w:right w:val="nil"/>
            </w:tcBorders>
            <w:shd w:val="clear" w:color="auto" w:fill="F9F9FB"/>
          </w:tcPr>
          <w:p w14:paraId="5C5EC130"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4.951</w:t>
            </w:r>
          </w:p>
        </w:tc>
      </w:tr>
      <w:tr w:rsidR="007144CE" w:rsidRPr="007144CE" w14:paraId="03DB4902" w14:textId="77777777">
        <w:trPr>
          <w:cantSplit/>
        </w:trPr>
        <w:tc>
          <w:tcPr>
            <w:tcW w:w="963" w:type="dxa"/>
            <w:vMerge/>
            <w:tcBorders>
              <w:top w:val="nil"/>
              <w:left w:val="nil"/>
              <w:bottom w:val="single" w:sz="8" w:space="0" w:color="AEAEAE"/>
              <w:right w:val="nil"/>
            </w:tcBorders>
            <w:shd w:val="clear" w:color="auto" w:fill="E0E0E0"/>
          </w:tcPr>
          <w:p w14:paraId="68761456"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14F720DB"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67B41D77"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9.483</w:t>
            </w:r>
          </w:p>
        </w:tc>
      </w:tr>
      <w:tr w:rsidR="007144CE" w:rsidRPr="007144CE" w14:paraId="0F1A74CA" w14:textId="77777777">
        <w:trPr>
          <w:cantSplit/>
        </w:trPr>
        <w:tc>
          <w:tcPr>
            <w:tcW w:w="963" w:type="dxa"/>
            <w:vMerge/>
            <w:tcBorders>
              <w:top w:val="nil"/>
              <w:left w:val="nil"/>
              <w:bottom w:val="single" w:sz="8" w:space="0" w:color="AEAEAE"/>
              <w:right w:val="nil"/>
            </w:tcBorders>
            <w:shd w:val="clear" w:color="auto" w:fill="E0E0E0"/>
          </w:tcPr>
          <w:p w14:paraId="0E8C7EFD"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3EF0584C"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AEAEAE"/>
              <w:right w:val="nil"/>
            </w:tcBorders>
            <w:shd w:val="clear" w:color="auto" w:fill="F9F9FB"/>
          </w:tcPr>
          <w:p w14:paraId="257831C7"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89.5</w:t>
            </w:r>
          </w:p>
        </w:tc>
      </w:tr>
      <w:tr w:rsidR="007144CE" w:rsidRPr="007144CE" w14:paraId="007D160F" w14:textId="77777777">
        <w:trPr>
          <w:cantSplit/>
        </w:trPr>
        <w:tc>
          <w:tcPr>
            <w:tcW w:w="963" w:type="dxa"/>
            <w:vMerge w:val="restart"/>
            <w:tcBorders>
              <w:top w:val="single" w:sz="8" w:space="0" w:color="AEAEAE"/>
              <w:left w:val="nil"/>
              <w:bottom w:val="single" w:sz="8" w:space="0" w:color="AEAEAE"/>
              <w:right w:val="nil"/>
            </w:tcBorders>
            <w:shd w:val="clear" w:color="auto" w:fill="E0E0E0"/>
          </w:tcPr>
          <w:p w14:paraId="04FF2687"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Auto</w:t>
            </w:r>
          </w:p>
        </w:tc>
        <w:tc>
          <w:tcPr>
            <w:tcW w:w="1641" w:type="dxa"/>
            <w:tcBorders>
              <w:top w:val="single" w:sz="8" w:space="0" w:color="AEAEAE"/>
              <w:left w:val="nil"/>
              <w:bottom w:val="single" w:sz="8" w:space="0" w:color="AEAEAE"/>
              <w:right w:val="nil"/>
            </w:tcBorders>
            <w:shd w:val="clear" w:color="auto" w:fill="E0E0E0"/>
          </w:tcPr>
          <w:p w14:paraId="4B75C4E9"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single" w:sz="8" w:space="0" w:color="AEAEAE"/>
              <w:left w:val="nil"/>
              <w:bottom w:val="single" w:sz="8" w:space="0" w:color="AEAEAE"/>
              <w:right w:val="nil"/>
            </w:tcBorders>
            <w:shd w:val="clear" w:color="auto" w:fill="F9F9FB"/>
          </w:tcPr>
          <w:p w14:paraId="000FFD82"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8.786</w:t>
            </w:r>
          </w:p>
        </w:tc>
      </w:tr>
      <w:tr w:rsidR="007144CE" w:rsidRPr="007144CE" w14:paraId="7A7146F7" w14:textId="77777777">
        <w:trPr>
          <w:cantSplit/>
        </w:trPr>
        <w:tc>
          <w:tcPr>
            <w:tcW w:w="963" w:type="dxa"/>
            <w:vMerge/>
            <w:tcBorders>
              <w:top w:val="single" w:sz="8" w:space="0" w:color="AEAEAE"/>
              <w:left w:val="nil"/>
              <w:bottom w:val="single" w:sz="8" w:space="0" w:color="AEAEAE"/>
              <w:right w:val="nil"/>
            </w:tcBorders>
            <w:shd w:val="clear" w:color="auto" w:fill="E0E0E0"/>
          </w:tcPr>
          <w:p w14:paraId="59C3E8E8"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4BCB0143"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45FC485F"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5.027</w:t>
            </w:r>
          </w:p>
        </w:tc>
      </w:tr>
      <w:tr w:rsidR="007144CE" w:rsidRPr="007144CE" w14:paraId="77A5957F" w14:textId="77777777">
        <w:trPr>
          <w:cantSplit/>
        </w:trPr>
        <w:tc>
          <w:tcPr>
            <w:tcW w:w="963" w:type="dxa"/>
            <w:vMerge/>
            <w:tcBorders>
              <w:top w:val="single" w:sz="8" w:space="0" w:color="AEAEAE"/>
              <w:left w:val="nil"/>
              <w:bottom w:val="single" w:sz="8" w:space="0" w:color="AEAEAE"/>
              <w:right w:val="nil"/>
            </w:tcBorders>
            <w:shd w:val="clear" w:color="auto" w:fill="E0E0E0"/>
          </w:tcPr>
          <w:p w14:paraId="66BC657E"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648E850A"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AEAEAE"/>
              <w:right w:val="nil"/>
            </w:tcBorders>
            <w:shd w:val="clear" w:color="auto" w:fill="F9F9FB"/>
          </w:tcPr>
          <w:p w14:paraId="4A92AA8C"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80.1</w:t>
            </w:r>
          </w:p>
        </w:tc>
      </w:tr>
      <w:tr w:rsidR="007144CE" w:rsidRPr="007144CE" w14:paraId="5885B9B6" w14:textId="77777777">
        <w:trPr>
          <w:cantSplit/>
        </w:trPr>
        <w:tc>
          <w:tcPr>
            <w:tcW w:w="963" w:type="dxa"/>
            <w:vMerge w:val="restart"/>
            <w:tcBorders>
              <w:top w:val="single" w:sz="8" w:space="0" w:color="AEAEAE"/>
              <w:left w:val="nil"/>
              <w:bottom w:val="single" w:sz="8" w:space="0" w:color="152935"/>
              <w:right w:val="nil"/>
            </w:tcBorders>
            <w:shd w:val="clear" w:color="auto" w:fill="E0E0E0"/>
          </w:tcPr>
          <w:p w14:paraId="266524C5"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Overall</w:t>
            </w:r>
          </w:p>
        </w:tc>
        <w:tc>
          <w:tcPr>
            <w:tcW w:w="1641" w:type="dxa"/>
            <w:tcBorders>
              <w:top w:val="single" w:sz="8" w:space="0" w:color="AEAEAE"/>
              <w:left w:val="nil"/>
              <w:bottom w:val="single" w:sz="8" w:space="0" w:color="AEAEAE"/>
              <w:right w:val="nil"/>
            </w:tcBorders>
            <w:shd w:val="clear" w:color="auto" w:fill="E0E0E0"/>
          </w:tcPr>
          <w:p w14:paraId="11406852"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single" w:sz="8" w:space="0" w:color="AEAEAE"/>
              <w:left w:val="nil"/>
              <w:bottom w:val="single" w:sz="8" w:space="0" w:color="AEAEAE"/>
              <w:right w:val="nil"/>
            </w:tcBorders>
            <w:shd w:val="clear" w:color="auto" w:fill="F9F9FB"/>
          </w:tcPr>
          <w:p w14:paraId="6EEEC197"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6.458</w:t>
            </w:r>
          </w:p>
        </w:tc>
      </w:tr>
      <w:tr w:rsidR="007144CE" w:rsidRPr="007144CE" w14:paraId="693806BE" w14:textId="77777777">
        <w:trPr>
          <w:cantSplit/>
        </w:trPr>
        <w:tc>
          <w:tcPr>
            <w:tcW w:w="963" w:type="dxa"/>
            <w:vMerge/>
            <w:tcBorders>
              <w:top w:val="single" w:sz="8" w:space="0" w:color="AEAEAE"/>
              <w:left w:val="nil"/>
              <w:bottom w:val="single" w:sz="8" w:space="0" w:color="152935"/>
              <w:right w:val="nil"/>
            </w:tcBorders>
            <w:shd w:val="clear" w:color="auto" w:fill="E0E0E0"/>
          </w:tcPr>
          <w:p w14:paraId="1D325EB3"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3067BBDD"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169EE807"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10.128</w:t>
            </w:r>
          </w:p>
        </w:tc>
      </w:tr>
      <w:tr w:rsidR="007144CE" w:rsidRPr="007144CE" w14:paraId="1CBE9082" w14:textId="77777777">
        <w:trPr>
          <w:cantSplit/>
        </w:trPr>
        <w:tc>
          <w:tcPr>
            <w:tcW w:w="963" w:type="dxa"/>
            <w:vMerge/>
            <w:tcBorders>
              <w:top w:val="single" w:sz="8" w:space="0" w:color="AEAEAE"/>
              <w:left w:val="nil"/>
              <w:bottom w:val="single" w:sz="8" w:space="0" w:color="152935"/>
              <w:right w:val="nil"/>
            </w:tcBorders>
            <w:shd w:val="clear" w:color="auto" w:fill="E0E0E0"/>
          </w:tcPr>
          <w:p w14:paraId="25679BB0"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152935"/>
              <w:right w:val="nil"/>
            </w:tcBorders>
            <w:shd w:val="clear" w:color="auto" w:fill="E0E0E0"/>
          </w:tcPr>
          <w:p w14:paraId="12CC81A9"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152935"/>
              <w:right w:val="nil"/>
            </w:tcBorders>
            <w:shd w:val="clear" w:color="auto" w:fill="F9F9FB"/>
          </w:tcPr>
          <w:p w14:paraId="4A96F840"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90.1</w:t>
            </w:r>
          </w:p>
        </w:tc>
      </w:tr>
    </w:tbl>
    <w:p w14:paraId="673AFA5A" w14:textId="77777777" w:rsidR="00071A89" w:rsidRPr="000B1C8F" w:rsidRDefault="00071A89">
      <w:pPr>
        <w:rPr>
          <w:b/>
          <w:bCs/>
          <w:sz w:val="24"/>
          <w:szCs w:val="24"/>
          <w:u w:val="single"/>
        </w:rPr>
      </w:pPr>
    </w:p>
    <w:p w14:paraId="5CF263DA" w14:textId="6DE10DAB" w:rsidR="006C0648" w:rsidRDefault="006C0648" w:rsidP="006C0648">
      <w:r>
        <w:rPr>
          <w:noProof/>
        </w:rPr>
        <w:drawing>
          <wp:inline distT="0" distB="0" distL="0" distR="0" wp14:anchorId="4A1A3068" wp14:editId="1528DBB0">
            <wp:extent cx="5731510" cy="2153920"/>
            <wp:effectExtent l="0" t="0" r="2540" b="0"/>
            <wp:docPr id="1181111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11865" name="Picture 2"/>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1510" cy="2153920"/>
                    </a:xfrm>
                    <a:prstGeom prst="rect">
                      <a:avLst/>
                    </a:prstGeom>
                  </pic:spPr>
                </pic:pic>
              </a:graphicData>
            </a:graphic>
          </wp:inline>
        </w:drawing>
      </w:r>
    </w:p>
    <w:p w14:paraId="5216C385" w14:textId="577B3EF2" w:rsidR="006C0648" w:rsidRDefault="006C0648" w:rsidP="006C0648"/>
    <w:p w14:paraId="5E005CBF" w14:textId="57CA08F6" w:rsidR="006C0648" w:rsidRDefault="006C0648" w:rsidP="00A21487">
      <w:r>
        <w:rPr>
          <w:noProof/>
        </w:rPr>
        <w:lastRenderedPageBreak/>
        <w:drawing>
          <wp:inline distT="0" distB="0" distL="0" distR="0" wp14:anchorId="7F223587" wp14:editId="3F09F1AD">
            <wp:extent cx="5731510" cy="3370580"/>
            <wp:effectExtent l="0" t="0" r="2540" b="1270"/>
            <wp:docPr id="7924425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42527" name="Picture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370580"/>
                    </a:xfrm>
                    <a:prstGeom prst="rect">
                      <a:avLst/>
                    </a:prstGeom>
                    <a:noFill/>
                    <a:ln>
                      <a:noFill/>
                    </a:ln>
                  </pic:spPr>
                </pic:pic>
              </a:graphicData>
            </a:graphic>
          </wp:inline>
        </w:drawing>
      </w:r>
    </w:p>
    <w:p w14:paraId="59C9174A" w14:textId="72B46A95" w:rsidR="006C0648" w:rsidRDefault="006C0648" w:rsidP="006C0648">
      <w:r>
        <w:rPr>
          <w:noProof/>
        </w:rPr>
        <w:drawing>
          <wp:inline distT="0" distB="0" distL="0" distR="0" wp14:anchorId="0E69DAFB" wp14:editId="3FE3D308">
            <wp:extent cx="5731510" cy="3370580"/>
            <wp:effectExtent l="0" t="0" r="2540" b="1270"/>
            <wp:docPr id="13134329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32983" name="Picture 4"/>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370580"/>
                    </a:xfrm>
                    <a:prstGeom prst="rect">
                      <a:avLst/>
                    </a:prstGeom>
                    <a:noFill/>
                    <a:ln>
                      <a:noFill/>
                    </a:ln>
                  </pic:spPr>
                </pic:pic>
              </a:graphicData>
            </a:graphic>
          </wp:inline>
        </w:drawing>
      </w:r>
    </w:p>
    <w:p w14:paraId="65397924" w14:textId="677A1EFA" w:rsidR="007C05D4" w:rsidRDefault="007D4DBC" w:rsidP="007C05D4">
      <w:pPr>
        <w:autoSpaceDE w:val="0"/>
        <w:autoSpaceDN w:val="0"/>
        <w:adjustRightInd w:val="0"/>
        <w:rPr>
          <w:rFonts w:asciiTheme="majorBidi" w:hAnsiTheme="majorBidi" w:cstheme="majorBidi"/>
          <w:sz w:val="28"/>
          <w:szCs w:val="28"/>
          <w:lang w:val="en-US"/>
        </w:rPr>
      </w:pPr>
      <w:r>
        <w:rPr>
          <w:rFonts w:asciiTheme="majorBidi" w:hAnsiTheme="majorBidi" w:cstheme="majorBidi"/>
          <w:b/>
          <w:bCs/>
          <w:sz w:val="28"/>
          <w:szCs w:val="28"/>
          <w:lang w:val="en-US"/>
        </w:rPr>
        <w:t xml:space="preserve">Supplementary </w:t>
      </w:r>
      <w:r w:rsidR="007C05D4" w:rsidRPr="007D4DBC">
        <w:rPr>
          <w:rFonts w:asciiTheme="majorBidi" w:hAnsiTheme="majorBidi" w:cstheme="majorBidi"/>
          <w:b/>
          <w:bCs/>
          <w:sz w:val="28"/>
          <w:szCs w:val="28"/>
          <w:lang w:val="en-US"/>
        </w:rPr>
        <w:t xml:space="preserve">Figure </w:t>
      </w:r>
      <w:r w:rsidR="00A21487" w:rsidRPr="007D4DBC">
        <w:rPr>
          <w:rFonts w:asciiTheme="majorBidi" w:hAnsiTheme="majorBidi" w:cstheme="majorBidi"/>
          <w:b/>
          <w:bCs/>
          <w:sz w:val="28"/>
          <w:szCs w:val="28"/>
          <w:lang w:val="en-US"/>
        </w:rPr>
        <w:t>4</w:t>
      </w:r>
      <w:r w:rsidR="007C05D4" w:rsidRPr="007D4DBC">
        <w:rPr>
          <w:rFonts w:asciiTheme="majorBidi" w:hAnsiTheme="majorBidi" w:cstheme="majorBidi"/>
          <w:b/>
          <w:bCs/>
          <w:sz w:val="28"/>
          <w:szCs w:val="28"/>
          <w:lang w:val="en-US"/>
        </w:rPr>
        <w:t>.</w:t>
      </w:r>
      <w:r w:rsidR="00A21487" w:rsidRPr="00A21487">
        <w:rPr>
          <w:rFonts w:asciiTheme="majorBidi" w:hAnsiTheme="majorBidi" w:cstheme="majorBidi"/>
          <w:sz w:val="28"/>
          <w:szCs w:val="28"/>
          <w:lang w:val="en-US"/>
        </w:rPr>
        <w:t xml:space="preserve"> Funnel plot overall and for subgroups for </w:t>
      </w:r>
      <w:r w:rsidR="00A21487">
        <w:rPr>
          <w:rFonts w:asciiTheme="majorBidi" w:hAnsiTheme="majorBidi" w:cstheme="majorBidi"/>
          <w:sz w:val="28"/>
          <w:szCs w:val="28"/>
          <w:lang w:val="en-US"/>
        </w:rPr>
        <w:t>LVEF</w:t>
      </w:r>
      <w:r w:rsidR="00A21487" w:rsidRPr="00A21487">
        <w:rPr>
          <w:rFonts w:asciiTheme="majorBidi" w:hAnsiTheme="majorBidi" w:cstheme="majorBidi"/>
          <w:sz w:val="28"/>
          <w:szCs w:val="28"/>
          <w:lang w:val="en-US"/>
        </w:rPr>
        <w:t xml:space="preserve"> parameter</w:t>
      </w:r>
    </w:p>
    <w:p w14:paraId="4078813B" w14:textId="77777777" w:rsidR="00A21487" w:rsidRDefault="00A21487" w:rsidP="007C05D4">
      <w:pPr>
        <w:autoSpaceDE w:val="0"/>
        <w:autoSpaceDN w:val="0"/>
        <w:adjustRightInd w:val="0"/>
        <w:rPr>
          <w:rFonts w:asciiTheme="majorBidi" w:hAnsiTheme="majorBidi" w:cstheme="majorBidi"/>
          <w:sz w:val="28"/>
          <w:szCs w:val="28"/>
          <w:lang w:val="en-US"/>
        </w:rPr>
      </w:pPr>
    </w:p>
    <w:p w14:paraId="2871E628" w14:textId="77777777" w:rsidR="00A21487" w:rsidRDefault="00A21487" w:rsidP="007C05D4">
      <w:pPr>
        <w:autoSpaceDE w:val="0"/>
        <w:autoSpaceDN w:val="0"/>
        <w:adjustRightInd w:val="0"/>
        <w:rPr>
          <w:rFonts w:asciiTheme="majorBidi" w:hAnsiTheme="majorBidi" w:cstheme="majorBidi"/>
          <w:b/>
          <w:bCs/>
          <w:sz w:val="28"/>
          <w:szCs w:val="28"/>
          <w:u w:val="single"/>
        </w:rPr>
      </w:pPr>
    </w:p>
    <w:p w14:paraId="29FAF8D7" w14:textId="77777777" w:rsidR="00A21487" w:rsidRDefault="00A21487" w:rsidP="007C05D4">
      <w:pPr>
        <w:autoSpaceDE w:val="0"/>
        <w:autoSpaceDN w:val="0"/>
        <w:adjustRightInd w:val="0"/>
        <w:rPr>
          <w:rFonts w:asciiTheme="majorBidi" w:hAnsiTheme="majorBidi" w:cstheme="majorBidi"/>
          <w:b/>
          <w:bCs/>
          <w:sz w:val="28"/>
          <w:szCs w:val="28"/>
          <w:u w:val="single"/>
        </w:rPr>
      </w:pPr>
    </w:p>
    <w:p w14:paraId="6E9A845B" w14:textId="77777777" w:rsidR="00A21487" w:rsidRDefault="00A21487" w:rsidP="007C05D4">
      <w:pPr>
        <w:autoSpaceDE w:val="0"/>
        <w:autoSpaceDN w:val="0"/>
        <w:adjustRightInd w:val="0"/>
        <w:rPr>
          <w:rFonts w:asciiTheme="majorBidi" w:hAnsiTheme="majorBidi" w:cstheme="majorBidi"/>
          <w:b/>
          <w:bCs/>
          <w:sz w:val="28"/>
          <w:szCs w:val="28"/>
          <w:u w:val="single"/>
        </w:rPr>
      </w:pPr>
    </w:p>
    <w:p w14:paraId="23FFE092" w14:textId="77777777" w:rsidR="00A21487" w:rsidRDefault="00A21487" w:rsidP="007C05D4">
      <w:pPr>
        <w:autoSpaceDE w:val="0"/>
        <w:autoSpaceDN w:val="0"/>
        <w:adjustRightInd w:val="0"/>
        <w:rPr>
          <w:rFonts w:asciiTheme="majorBidi" w:hAnsiTheme="majorBidi" w:cstheme="majorBidi"/>
          <w:b/>
          <w:bCs/>
          <w:sz w:val="28"/>
          <w:szCs w:val="28"/>
          <w:u w:val="single"/>
        </w:rPr>
      </w:pPr>
    </w:p>
    <w:p w14:paraId="015DA1FC" w14:textId="482B43E3" w:rsidR="00A21487" w:rsidRPr="007D4DBC" w:rsidRDefault="007D4DBC" w:rsidP="007C05D4">
      <w:pPr>
        <w:autoSpaceDE w:val="0"/>
        <w:autoSpaceDN w:val="0"/>
        <w:adjustRightInd w:val="0"/>
        <w:rPr>
          <w:rFonts w:asciiTheme="majorBidi" w:hAnsiTheme="majorBidi" w:cstheme="majorBidi"/>
          <w:sz w:val="28"/>
          <w:szCs w:val="28"/>
          <w:lang w:val="en-US"/>
        </w:rPr>
      </w:pPr>
      <w:r w:rsidRPr="007D4DBC">
        <w:rPr>
          <w:rFonts w:asciiTheme="majorBidi" w:hAnsiTheme="majorBidi" w:cstheme="majorBidi"/>
          <w:b/>
          <w:bCs/>
          <w:sz w:val="28"/>
          <w:szCs w:val="28"/>
          <w:lang w:val="en-US"/>
        </w:rPr>
        <w:t>Supplementary Table 5:</w:t>
      </w:r>
      <w:r>
        <w:rPr>
          <w:rFonts w:asciiTheme="majorBidi" w:hAnsiTheme="majorBidi" w:cstheme="majorBidi"/>
          <w:sz w:val="28"/>
          <w:szCs w:val="28"/>
          <w:lang w:val="en-US"/>
        </w:rPr>
        <w:t xml:space="preserve"> </w:t>
      </w:r>
      <w:proofErr w:type="spellStart"/>
      <w:r w:rsidR="00A21487" w:rsidRPr="00071A89">
        <w:rPr>
          <w:rFonts w:asciiTheme="majorBidi" w:hAnsiTheme="majorBidi" w:cstheme="majorBidi"/>
          <w:b/>
          <w:bCs/>
          <w:sz w:val="28"/>
          <w:szCs w:val="28"/>
          <w:u w:val="single"/>
        </w:rPr>
        <w:t>LVE</w:t>
      </w:r>
      <w:r w:rsidR="00A21487">
        <w:rPr>
          <w:rFonts w:asciiTheme="majorBidi" w:hAnsiTheme="majorBidi" w:cstheme="majorBidi"/>
          <w:b/>
          <w:bCs/>
          <w:sz w:val="28"/>
          <w:szCs w:val="28"/>
          <w:u w:val="single"/>
        </w:rPr>
        <w:t>Sv</w:t>
      </w:r>
      <w:proofErr w:type="spellEnd"/>
      <w:r>
        <w:rPr>
          <w:rFonts w:asciiTheme="majorBidi" w:hAnsiTheme="majorBidi" w:cstheme="majorBidi"/>
          <w:b/>
          <w:bCs/>
          <w:sz w:val="28"/>
          <w:szCs w:val="28"/>
          <w:u w:val="single"/>
        </w:rPr>
        <w:t>.</w:t>
      </w:r>
    </w:p>
    <w:p w14:paraId="4415EE47" w14:textId="77777777" w:rsidR="00A21487" w:rsidRDefault="00A21487" w:rsidP="007C05D4">
      <w:pPr>
        <w:autoSpaceDE w:val="0"/>
        <w:autoSpaceDN w:val="0"/>
        <w:adjustRightInd w:val="0"/>
        <w:rPr>
          <w:rFonts w:asciiTheme="majorBidi" w:hAnsiTheme="majorBidi" w:cstheme="majorBidi"/>
          <w:b/>
          <w:bCs/>
          <w:sz w:val="28"/>
          <w:szCs w:val="28"/>
          <w:u w:val="single"/>
        </w:rPr>
      </w:pPr>
    </w:p>
    <w:p w14:paraId="24DC1A0A" w14:textId="7F0B12A4" w:rsidR="00A21487" w:rsidRDefault="00A21487" w:rsidP="007C05D4">
      <w:pPr>
        <w:autoSpaceDE w:val="0"/>
        <w:autoSpaceDN w:val="0"/>
        <w:adjustRightInd w:val="0"/>
        <w:rPr>
          <w:rFonts w:asciiTheme="majorBidi" w:hAnsiTheme="majorBidi" w:cstheme="majorBidi"/>
          <w:sz w:val="28"/>
          <w:szCs w:val="28"/>
          <w:lang w:val="en-US"/>
        </w:rPr>
      </w:pPr>
      <w:r>
        <w:rPr>
          <w:noProof/>
          <w:lang w:val="en-US"/>
        </w:rPr>
        <w:drawing>
          <wp:inline distT="0" distB="0" distL="0" distR="0" wp14:anchorId="66D70D85" wp14:editId="0FD817C4">
            <wp:extent cx="5731510" cy="2154215"/>
            <wp:effectExtent l="0" t="0" r="0" b="5080"/>
            <wp:docPr id="1894981615"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81615" name="Picture 11" descr="A screenshot of a graph&#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31510" cy="2154215"/>
                    </a:xfrm>
                    <a:prstGeom prst="rect">
                      <a:avLst/>
                    </a:prstGeom>
                  </pic:spPr>
                </pic:pic>
              </a:graphicData>
            </a:graphic>
          </wp:inline>
        </w:drawing>
      </w:r>
    </w:p>
    <w:p w14:paraId="07E09EBE" w14:textId="77777777" w:rsidR="007D4DBC" w:rsidRDefault="007D4DBC" w:rsidP="007C05D4">
      <w:pPr>
        <w:autoSpaceDE w:val="0"/>
        <w:autoSpaceDN w:val="0"/>
        <w:adjustRightInd w:val="0"/>
        <w:rPr>
          <w:rFonts w:asciiTheme="majorBidi" w:hAnsiTheme="majorBidi" w:cstheme="majorBidi"/>
          <w:sz w:val="28"/>
          <w:szCs w:val="28"/>
          <w:lang w:val="en-US"/>
        </w:rPr>
      </w:pPr>
    </w:p>
    <w:p w14:paraId="7E2B8CD0" w14:textId="77777777" w:rsidR="007D4DBC" w:rsidRDefault="007D4DBC" w:rsidP="007C05D4">
      <w:pPr>
        <w:autoSpaceDE w:val="0"/>
        <w:autoSpaceDN w:val="0"/>
        <w:adjustRightInd w:val="0"/>
        <w:rPr>
          <w:rFonts w:asciiTheme="majorBidi" w:hAnsiTheme="majorBidi" w:cstheme="majorBidi"/>
          <w:sz w:val="28"/>
          <w:szCs w:val="28"/>
          <w:lang w:val="en-US"/>
        </w:rPr>
      </w:pPr>
    </w:p>
    <w:p w14:paraId="30DD3621" w14:textId="77777777" w:rsidR="007D4DBC" w:rsidRDefault="007D4DBC" w:rsidP="007C05D4">
      <w:pPr>
        <w:autoSpaceDE w:val="0"/>
        <w:autoSpaceDN w:val="0"/>
        <w:adjustRightInd w:val="0"/>
        <w:rPr>
          <w:rFonts w:asciiTheme="majorBidi" w:hAnsiTheme="majorBidi" w:cstheme="majorBidi"/>
          <w:sz w:val="28"/>
          <w:szCs w:val="28"/>
          <w:lang w:val="en-US"/>
        </w:rPr>
      </w:pPr>
    </w:p>
    <w:p w14:paraId="0C24E945" w14:textId="77777777" w:rsidR="007D4DBC" w:rsidRDefault="007D4DBC" w:rsidP="007C05D4">
      <w:pPr>
        <w:autoSpaceDE w:val="0"/>
        <w:autoSpaceDN w:val="0"/>
        <w:adjustRightInd w:val="0"/>
        <w:rPr>
          <w:rFonts w:asciiTheme="majorBidi" w:hAnsiTheme="majorBidi" w:cstheme="majorBidi"/>
          <w:sz w:val="28"/>
          <w:szCs w:val="28"/>
          <w:lang w:val="en-US"/>
        </w:rPr>
      </w:pPr>
    </w:p>
    <w:p w14:paraId="7F860772" w14:textId="77777777" w:rsidR="007D4DBC" w:rsidRDefault="007D4DBC" w:rsidP="007C05D4">
      <w:pPr>
        <w:autoSpaceDE w:val="0"/>
        <w:autoSpaceDN w:val="0"/>
        <w:adjustRightInd w:val="0"/>
        <w:rPr>
          <w:rFonts w:asciiTheme="majorBidi" w:hAnsiTheme="majorBidi" w:cstheme="majorBidi"/>
          <w:sz w:val="28"/>
          <w:szCs w:val="28"/>
          <w:lang w:val="en-US"/>
        </w:rPr>
      </w:pPr>
    </w:p>
    <w:p w14:paraId="3A290D0A" w14:textId="77777777" w:rsidR="007D4DBC" w:rsidRDefault="007D4DBC" w:rsidP="007C05D4">
      <w:pPr>
        <w:autoSpaceDE w:val="0"/>
        <w:autoSpaceDN w:val="0"/>
        <w:adjustRightInd w:val="0"/>
        <w:rPr>
          <w:rFonts w:asciiTheme="majorBidi" w:hAnsiTheme="majorBidi" w:cstheme="majorBidi"/>
          <w:sz w:val="28"/>
          <w:szCs w:val="28"/>
          <w:lang w:val="en-US"/>
        </w:rPr>
      </w:pPr>
    </w:p>
    <w:p w14:paraId="3D2014F7" w14:textId="77777777" w:rsidR="007D4DBC" w:rsidRDefault="007D4DBC" w:rsidP="007C05D4">
      <w:pPr>
        <w:autoSpaceDE w:val="0"/>
        <w:autoSpaceDN w:val="0"/>
        <w:adjustRightInd w:val="0"/>
        <w:rPr>
          <w:rFonts w:asciiTheme="majorBidi" w:hAnsiTheme="majorBidi" w:cstheme="majorBidi"/>
          <w:sz w:val="28"/>
          <w:szCs w:val="28"/>
          <w:lang w:val="en-US"/>
        </w:rPr>
      </w:pPr>
    </w:p>
    <w:p w14:paraId="519CCBEB" w14:textId="77777777" w:rsidR="00A21487" w:rsidRDefault="00A21487" w:rsidP="007C05D4">
      <w:pPr>
        <w:autoSpaceDE w:val="0"/>
        <w:autoSpaceDN w:val="0"/>
        <w:adjustRightInd w:val="0"/>
        <w:rPr>
          <w:rFonts w:asciiTheme="majorBidi" w:hAnsiTheme="majorBidi" w:cstheme="majorBidi"/>
          <w:sz w:val="28"/>
          <w:szCs w:val="28"/>
          <w:lang w:val="en-US"/>
        </w:rPr>
      </w:pPr>
    </w:p>
    <w:p w14:paraId="6972F4A2" w14:textId="73B8971B" w:rsidR="00A21487" w:rsidRDefault="00A21487" w:rsidP="007C05D4">
      <w:pPr>
        <w:autoSpaceDE w:val="0"/>
        <w:autoSpaceDN w:val="0"/>
        <w:adjustRightInd w:val="0"/>
        <w:rPr>
          <w:rFonts w:asciiTheme="majorBidi" w:hAnsiTheme="majorBidi" w:cstheme="majorBidi"/>
          <w:sz w:val="28"/>
          <w:szCs w:val="28"/>
          <w:lang w:val="en-US"/>
        </w:rPr>
      </w:pPr>
      <w:r>
        <w:rPr>
          <w:rFonts w:ascii="Times New Roman" w:hAnsi="Times New Roman" w:cs="Times New Roman"/>
          <w:noProof/>
          <w:kern w:val="0"/>
          <w:lang w:val="en-US"/>
        </w:rPr>
        <w:lastRenderedPageBreak/>
        <w:drawing>
          <wp:inline distT="0" distB="0" distL="0" distR="0" wp14:anchorId="0B89D03C" wp14:editId="6424FEAC">
            <wp:extent cx="5731510" cy="3370324"/>
            <wp:effectExtent l="0" t="0" r="0" b="0"/>
            <wp:docPr id="1218431906" name="Picture 12" descr="A diagram of a funnel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31906" name="Picture 12" descr="A diagram of a funnel plo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370324"/>
                    </a:xfrm>
                    <a:prstGeom prst="rect">
                      <a:avLst/>
                    </a:prstGeom>
                    <a:noFill/>
                    <a:ln>
                      <a:noFill/>
                    </a:ln>
                  </pic:spPr>
                </pic:pic>
              </a:graphicData>
            </a:graphic>
          </wp:inline>
        </w:drawing>
      </w:r>
    </w:p>
    <w:p w14:paraId="0F58FE6B" w14:textId="0C32BC7A" w:rsidR="00A21487" w:rsidRDefault="00A21487" w:rsidP="007C05D4">
      <w:pPr>
        <w:autoSpaceDE w:val="0"/>
        <w:autoSpaceDN w:val="0"/>
        <w:adjustRightInd w:val="0"/>
        <w:rPr>
          <w:rFonts w:asciiTheme="majorBidi" w:hAnsiTheme="majorBidi" w:cstheme="majorBidi"/>
          <w:sz w:val="28"/>
          <w:szCs w:val="28"/>
          <w:lang w:val="en-US"/>
        </w:rPr>
      </w:pPr>
      <w:r>
        <w:rPr>
          <w:rFonts w:ascii="Times New Roman" w:hAnsi="Times New Roman" w:cs="Times New Roman"/>
          <w:noProof/>
          <w:kern w:val="0"/>
          <w:lang w:val="en-US"/>
        </w:rPr>
        <w:drawing>
          <wp:inline distT="0" distB="0" distL="0" distR="0" wp14:anchorId="11755A4E" wp14:editId="77D9BD04">
            <wp:extent cx="5731510" cy="3370324"/>
            <wp:effectExtent l="0" t="0" r="0" b="0"/>
            <wp:docPr id="14481619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370324"/>
                    </a:xfrm>
                    <a:prstGeom prst="rect">
                      <a:avLst/>
                    </a:prstGeom>
                    <a:noFill/>
                    <a:ln>
                      <a:noFill/>
                    </a:ln>
                  </pic:spPr>
                </pic:pic>
              </a:graphicData>
            </a:graphic>
          </wp:inline>
        </w:drawing>
      </w:r>
    </w:p>
    <w:p w14:paraId="4E261CFD" w14:textId="7021AECD" w:rsidR="00A21487" w:rsidRDefault="007D4DBC" w:rsidP="007C05D4">
      <w:pPr>
        <w:autoSpaceDE w:val="0"/>
        <w:autoSpaceDN w:val="0"/>
        <w:adjustRightInd w:val="0"/>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w:t>
      </w:r>
      <w:r w:rsidR="00A21487" w:rsidRPr="007D4DBC">
        <w:rPr>
          <w:rFonts w:asciiTheme="majorBidi" w:hAnsiTheme="majorBidi" w:cstheme="majorBidi"/>
          <w:b/>
          <w:bCs/>
          <w:sz w:val="28"/>
          <w:szCs w:val="28"/>
          <w:lang w:val="en-US"/>
        </w:rPr>
        <w:t>Figure 5.</w:t>
      </w:r>
      <w:r w:rsidR="00A21487">
        <w:rPr>
          <w:rFonts w:asciiTheme="majorBidi" w:hAnsiTheme="majorBidi" w:cstheme="majorBidi"/>
          <w:sz w:val="28"/>
          <w:szCs w:val="28"/>
          <w:lang w:val="en-US"/>
        </w:rPr>
        <w:t xml:space="preserve"> </w:t>
      </w:r>
      <w:r w:rsidR="00A21487" w:rsidRPr="00A21487">
        <w:rPr>
          <w:rFonts w:asciiTheme="majorBidi" w:hAnsiTheme="majorBidi" w:cstheme="majorBidi"/>
          <w:sz w:val="28"/>
          <w:szCs w:val="28"/>
          <w:lang w:val="en-US"/>
        </w:rPr>
        <w:t xml:space="preserve">Funnel plot overall and for subgroups for </w:t>
      </w:r>
      <w:proofErr w:type="spellStart"/>
      <w:r w:rsidR="00A21487">
        <w:rPr>
          <w:rFonts w:asciiTheme="majorBidi" w:hAnsiTheme="majorBidi" w:cstheme="majorBidi"/>
          <w:sz w:val="28"/>
          <w:szCs w:val="28"/>
          <w:lang w:val="en-US"/>
        </w:rPr>
        <w:t>LVESv</w:t>
      </w:r>
      <w:proofErr w:type="spellEnd"/>
      <w:r w:rsidR="00A21487" w:rsidRPr="00A21487">
        <w:rPr>
          <w:rFonts w:asciiTheme="majorBidi" w:hAnsiTheme="majorBidi" w:cstheme="majorBidi"/>
          <w:sz w:val="28"/>
          <w:szCs w:val="28"/>
          <w:lang w:val="en-US"/>
        </w:rPr>
        <w:t xml:space="preserve"> parameter</w:t>
      </w:r>
    </w:p>
    <w:p w14:paraId="4741733C" w14:textId="77777777" w:rsidR="00A21487" w:rsidRDefault="00A21487" w:rsidP="007C05D4">
      <w:pPr>
        <w:autoSpaceDE w:val="0"/>
        <w:autoSpaceDN w:val="0"/>
        <w:adjustRightInd w:val="0"/>
        <w:rPr>
          <w:rFonts w:asciiTheme="majorBidi" w:hAnsiTheme="majorBidi" w:cstheme="majorBidi"/>
          <w:sz w:val="28"/>
          <w:szCs w:val="28"/>
          <w:lang w:val="en-US"/>
        </w:rPr>
      </w:pPr>
    </w:p>
    <w:p w14:paraId="3EC631C1" w14:textId="77777777" w:rsidR="00A21487" w:rsidRDefault="00A21487" w:rsidP="007C05D4">
      <w:pPr>
        <w:autoSpaceDE w:val="0"/>
        <w:autoSpaceDN w:val="0"/>
        <w:adjustRightInd w:val="0"/>
        <w:rPr>
          <w:rFonts w:asciiTheme="majorBidi" w:hAnsiTheme="majorBidi" w:cstheme="majorBidi"/>
          <w:sz w:val="28"/>
          <w:szCs w:val="28"/>
          <w:lang w:val="en-US"/>
        </w:rPr>
      </w:pPr>
    </w:p>
    <w:p w14:paraId="56DB7285" w14:textId="77777777" w:rsidR="00A21487" w:rsidRDefault="00A21487" w:rsidP="007C05D4">
      <w:pPr>
        <w:autoSpaceDE w:val="0"/>
        <w:autoSpaceDN w:val="0"/>
        <w:adjustRightInd w:val="0"/>
        <w:rPr>
          <w:rFonts w:asciiTheme="majorBidi" w:hAnsiTheme="majorBidi" w:cstheme="majorBidi"/>
          <w:sz w:val="28"/>
          <w:szCs w:val="28"/>
          <w:lang w:val="en-US"/>
        </w:rPr>
      </w:pPr>
    </w:p>
    <w:p w14:paraId="17F6B0A3" w14:textId="77777777" w:rsidR="00A21487" w:rsidRDefault="00A21487" w:rsidP="007C05D4">
      <w:pPr>
        <w:autoSpaceDE w:val="0"/>
        <w:autoSpaceDN w:val="0"/>
        <w:adjustRightInd w:val="0"/>
        <w:rPr>
          <w:rFonts w:asciiTheme="majorBidi" w:hAnsiTheme="majorBidi" w:cstheme="majorBidi"/>
          <w:sz w:val="28"/>
          <w:szCs w:val="28"/>
          <w:lang w:val="en-US"/>
        </w:rPr>
      </w:pPr>
    </w:p>
    <w:p w14:paraId="3085DADB" w14:textId="05FFE2D3" w:rsidR="00A21487" w:rsidRPr="00A21487" w:rsidRDefault="007D4DBC" w:rsidP="00A21487">
      <w:pPr>
        <w:autoSpaceDE w:val="0"/>
        <w:autoSpaceDN w:val="0"/>
        <w:adjustRightInd w:val="0"/>
        <w:rPr>
          <w:rFonts w:asciiTheme="majorBidi" w:hAnsiTheme="majorBidi" w:cstheme="majorBidi"/>
          <w:b/>
          <w:bCs/>
          <w:sz w:val="28"/>
          <w:szCs w:val="28"/>
          <w:u w:val="single"/>
        </w:rPr>
      </w:pPr>
      <w:r>
        <w:rPr>
          <w:rFonts w:asciiTheme="majorBidi" w:hAnsiTheme="majorBidi" w:cstheme="majorBidi"/>
          <w:sz w:val="28"/>
          <w:szCs w:val="28"/>
          <w:lang w:val="en-US"/>
        </w:rPr>
        <w:t xml:space="preserve">Supplementary Table 6: </w:t>
      </w:r>
      <w:proofErr w:type="spellStart"/>
      <w:r w:rsidR="00A21487" w:rsidRPr="00071A89">
        <w:rPr>
          <w:rFonts w:asciiTheme="majorBidi" w:hAnsiTheme="majorBidi" w:cstheme="majorBidi"/>
          <w:b/>
          <w:bCs/>
          <w:sz w:val="28"/>
          <w:szCs w:val="28"/>
          <w:u w:val="single"/>
        </w:rPr>
        <w:t>LVE</w:t>
      </w:r>
      <w:r w:rsidR="00A21487">
        <w:rPr>
          <w:rFonts w:asciiTheme="majorBidi" w:hAnsiTheme="majorBidi" w:cstheme="majorBidi"/>
          <w:b/>
          <w:bCs/>
          <w:sz w:val="28"/>
          <w:szCs w:val="28"/>
          <w:u w:val="single"/>
        </w:rPr>
        <w:t>Dv</w:t>
      </w:r>
      <w:proofErr w:type="spellEnd"/>
      <w:r>
        <w:rPr>
          <w:rFonts w:asciiTheme="majorBidi" w:hAnsiTheme="majorBidi" w:cstheme="majorBidi"/>
          <w:b/>
          <w:bCs/>
          <w:sz w:val="28"/>
          <w:szCs w:val="28"/>
          <w:u w:val="single"/>
        </w:rPr>
        <w:t>.</w:t>
      </w:r>
    </w:p>
    <w:p w14:paraId="3C1D79E2" w14:textId="77777777" w:rsidR="00A21487" w:rsidRDefault="00A21487" w:rsidP="007C05D4">
      <w:pPr>
        <w:autoSpaceDE w:val="0"/>
        <w:autoSpaceDN w:val="0"/>
        <w:adjustRightInd w:val="0"/>
        <w:rPr>
          <w:rFonts w:asciiTheme="majorBidi" w:hAnsiTheme="majorBidi" w:cstheme="majorBidi"/>
          <w:sz w:val="28"/>
          <w:szCs w:val="28"/>
          <w:lang w:val="en-US"/>
        </w:rPr>
      </w:pPr>
    </w:p>
    <w:p w14:paraId="28C094B9" w14:textId="49EFE47E" w:rsidR="00A21487" w:rsidRDefault="00A21487" w:rsidP="007C05D4">
      <w:pPr>
        <w:autoSpaceDE w:val="0"/>
        <w:autoSpaceDN w:val="0"/>
        <w:adjustRightInd w:val="0"/>
        <w:rPr>
          <w:rFonts w:asciiTheme="majorBidi" w:hAnsiTheme="majorBidi" w:cstheme="majorBidi"/>
          <w:sz w:val="28"/>
          <w:szCs w:val="28"/>
          <w:lang w:val="en-US"/>
        </w:rPr>
      </w:pPr>
      <w:r>
        <w:rPr>
          <w:rFonts w:ascii="Times New Roman" w:hAnsi="Times New Roman" w:cs="Times New Roman"/>
          <w:noProof/>
          <w:kern w:val="0"/>
          <w:lang w:val="en-US"/>
        </w:rPr>
        <w:drawing>
          <wp:inline distT="0" distB="0" distL="0" distR="0" wp14:anchorId="131DA02D" wp14:editId="609C8AA0">
            <wp:extent cx="5731510" cy="2163400"/>
            <wp:effectExtent l="0" t="0" r="0" b="0"/>
            <wp:docPr id="323711226" name="Picture 5"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11226" name="Picture 5" descr="A table with numbers and 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731510" cy="2163400"/>
                    </a:xfrm>
                    <a:prstGeom prst="rect">
                      <a:avLst/>
                    </a:prstGeom>
                  </pic:spPr>
                </pic:pic>
              </a:graphicData>
            </a:graphic>
          </wp:inline>
        </w:drawing>
      </w:r>
    </w:p>
    <w:p w14:paraId="4956DF79" w14:textId="77777777" w:rsidR="007D4DBC" w:rsidRDefault="007D4DBC" w:rsidP="007C05D4">
      <w:pPr>
        <w:autoSpaceDE w:val="0"/>
        <w:autoSpaceDN w:val="0"/>
        <w:adjustRightInd w:val="0"/>
        <w:rPr>
          <w:rFonts w:asciiTheme="majorBidi" w:hAnsiTheme="majorBidi" w:cstheme="majorBidi"/>
          <w:sz w:val="28"/>
          <w:szCs w:val="28"/>
          <w:lang w:val="en-US"/>
        </w:rPr>
      </w:pPr>
    </w:p>
    <w:p w14:paraId="29E80E5E" w14:textId="77777777" w:rsidR="007D4DBC" w:rsidRDefault="007D4DBC" w:rsidP="007C05D4">
      <w:pPr>
        <w:autoSpaceDE w:val="0"/>
        <w:autoSpaceDN w:val="0"/>
        <w:adjustRightInd w:val="0"/>
        <w:rPr>
          <w:rFonts w:asciiTheme="majorBidi" w:hAnsiTheme="majorBidi" w:cstheme="majorBidi"/>
          <w:sz w:val="28"/>
          <w:szCs w:val="28"/>
          <w:lang w:val="en-US"/>
        </w:rPr>
      </w:pPr>
    </w:p>
    <w:p w14:paraId="1A7B0093" w14:textId="77777777" w:rsidR="007D4DBC" w:rsidRDefault="007D4DBC" w:rsidP="007C05D4">
      <w:pPr>
        <w:autoSpaceDE w:val="0"/>
        <w:autoSpaceDN w:val="0"/>
        <w:adjustRightInd w:val="0"/>
        <w:rPr>
          <w:rFonts w:asciiTheme="majorBidi" w:hAnsiTheme="majorBidi" w:cstheme="majorBidi"/>
          <w:sz w:val="28"/>
          <w:szCs w:val="28"/>
          <w:lang w:val="en-US"/>
        </w:rPr>
      </w:pPr>
    </w:p>
    <w:p w14:paraId="38F81008" w14:textId="77777777" w:rsidR="007D4DBC" w:rsidRDefault="007D4DBC" w:rsidP="007C05D4">
      <w:pPr>
        <w:autoSpaceDE w:val="0"/>
        <w:autoSpaceDN w:val="0"/>
        <w:adjustRightInd w:val="0"/>
        <w:rPr>
          <w:rFonts w:asciiTheme="majorBidi" w:hAnsiTheme="majorBidi" w:cstheme="majorBidi"/>
          <w:sz w:val="28"/>
          <w:szCs w:val="28"/>
          <w:lang w:val="en-US"/>
        </w:rPr>
      </w:pPr>
    </w:p>
    <w:p w14:paraId="50F9FB94" w14:textId="77777777" w:rsidR="007D4DBC" w:rsidRDefault="007D4DBC" w:rsidP="007C05D4">
      <w:pPr>
        <w:autoSpaceDE w:val="0"/>
        <w:autoSpaceDN w:val="0"/>
        <w:adjustRightInd w:val="0"/>
        <w:rPr>
          <w:rFonts w:asciiTheme="majorBidi" w:hAnsiTheme="majorBidi" w:cstheme="majorBidi"/>
          <w:sz w:val="28"/>
          <w:szCs w:val="28"/>
          <w:lang w:val="en-US"/>
        </w:rPr>
      </w:pPr>
    </w:p>
    <w:p w14:paraId="1370D37B" w14:textId="77777777" w:rsidR="007D4DBC" w:rsidRDefault="007D4DBC" w:rsidP="007C05D4">
      <w:pPr>
        <w:autoSpaceDE w:val="0"/>
        <w:autoSpaceDN w:val="0"/>
        <w:adjustRightInd w:val="0"/>
        <w:rPr>
          <w:rFonts w:asciiTheme="majorBidi" w:hAnsiTheme="majorBidi" w:cstheme="majorBidi"/>
          <w:sz w:val="28"/>
          <w:szCs w:val="28"/>
          <w:lang w:val="en-US"/>
        </w:rPr>
      </w:pPr>
    </w:p>
    <w:p w14:paraId="127FE7E9" w14:textId="77777777" w:rsidR="007D4DBC" w:rsidRDefault="007D4DBC" w:rsidP="007C05D4">
      <w:pPr>
        <w:autoSpaceDE w:val="0"/>
        <w:autoSpaceDN w:val="0"/>
        <w:adjustRightInd w:val="0"/>
        <w:rPr>
          <w:rFonts w:asciiTheme="majorBidi" w:hAnsiTheme="majorBidi" w:cstheme="majorBidi"/>
          <w:sz w:val="28"/>
          <w:szCs w:val="28"/>
          <w:lang w:val="en-US"/>
        </w:rPr>
      </w:pPr>
    </w:p>
    <w:p w14:paraId="5D94D038" w14:textId="77777777" w:rsidR="007D4DBC" w:rsidRDefault="007D4DBC" w:rsidP="007C05D4">
      <w:pPr>
        <w:autoSpaceDE w:val="0"/>
        <w:autoSpaceDN w:val="0"/>
        <w:adjustRightInd w:val="0"/>
        <w:rPr>
          <w:rFonts w:asciiTheme="majorBidi" w:hAnsiTheme="majorBidi" w:cstheme="majorBidi"/>
          <w:sz w:val="28"/>
          <w:szCs w:val="28"/>
          <w:lang w:val="en-US"/>
        </w:rPr>
      </w:pPr>
    </w:p>
    <w:p w14:paraId="244F05BE" w14:textId="77777777" w:rsidR="007D4DBC" w:rsidRDefault="007D4DBC" w:rsidP="007C05D4">
      <w:pPr>
        <w:autoSpaceDE w:val="0"/>
        <w:autoSpaceDN w:val="0"/>
        <w:adjustRightInd w:val="0"/>
        <w:rPr>
          <w:rFonts w:asciiTheme="majorBidi" w:hAnsiTheme="majorBidi" w:cstheme="majorBidi"/>
          <w:sz w:val="28"/>
          <w:szCs w:val="28"/>
          <w:lang w:val="en-US"/>
        </w:rPr>
      </w:pPr>
    </w:p>
    <w:p w14:paraId="2CD40115" w14:textId="77777777" w:rsidR="007D4DBC" w:rsidRDefault="007D4DBC" w:rsidP="007C05D4">
      <w:pPr>
        <w:autoSpaceDE w:val="0"/>
        <w:autoSpaceDN w:val="0"/>
        <w:adjustRightInd w:val="0"/>
        <w:rPr>
          <w:rFonts w:asciiTheme="majorBidi" w:hAnsiTheme="majorBidi" w:cstheme="majorBidi"/>
          <w:sz w:val="28"/>
          <w:szCs w:val="28"/>
          <w:lang w:val="en-US"/>
        </w:rPr>
      </w:pPr>
    </w:p>
    <w:p w14:paraId="442E4DF5" w14:textId="77777777" w:rsidR="007D4DBC" w:rsidRDefault="007D4DBC" w:rsidP="007C05D4">
      <w:pPr>
        <w:autoSpaceDE w:val="0"/>
        <w:autoSpaceDN w:val="0"/>
        <w:adjustRightInd w:val="0"/>
        <w:rPr>
          <w:rFonts w:asciiTheme="majorBidi" w:hAnsiTheme="majorBidi" w:cstheme="majorBidi"/>
          <w:sz w:val="28"/>
          <w:szCs w:val="28"/>
          <w:lang w:val="en-US"/>
        </w:rPr>
      </w:pPr>
    </w:p>
    <w:p w14:paraId="02C4A981" w14:textId="77777777" w:rsidR="007D4DBC" w:rsidRDefault="007D4DBC" w:rsidP="007C05D4">
      <w:pPr>
        <w:autoSpaceDE w:val="0"/>
        <w:autoSpaceDN w:val="0"/>
        <w:adjustRightInd w:val="0"/>
        <w:rPr>
          <w:rFonts w:asciiTheme="majorBidi" w:hAnsiTheme="majorBidi" w:cstheme="majorBidi"/>
          <w:sz w:val="28"/>
          <w:szCs w:val="28"/>
          <w:lang w:val="en-US"/>
        </w:rPr>
      </w:pPr>
    </w:p>
    <w:p w14:paraId="2CF1DF12" w14:textId="77777777" w:rsidR="007D4DBC" w:rsidRDefault="007D4DBC" w:rsidP="007C05D4">
      <w:pPr>
        <w:autoSpaceDE w:val="0"/>
        <w:autoSpaceDN w:val="0"/>
        <w:adjustRightInd w:val="0"/>
        <w:rPr>
          <w:rFonts w:asciiTheme="majorBidi" w:hAnsiTheme="majorBidi" w:cstheme="majorBidi"/>
          <w:sz w:val="28"/>
          <w:szCs w:val="28"/>
          <w:lang w:val="en-US"/>
        </w:rPr>
      </w:pPr>
    </w:p>
    <w:p w14:paraId="521C551E" w14:textId="4DA779A0" w:rsidR="00A21487" w:rsidRDefault="00A21487" w:rsidP="007C05D4">
      <w:pPr>
        <w:autoSpaceDE w:val="0"/>
        <w:autoSpaceDN w:val="0"/>
        <w:adjustRightInd w:val="0"/>
        <w:rPr>
          <w:rFonts w:asciiTheme="majorBidi" w:hAnsiTheme="majorBidi" w:cstheme="majorBidi"/>
          <w:sz w:val="28"/>
          <w:szCs w:val="28"/>
          <w:lang w:val="en-US"/>
        </w:rPr>
      </w:pPr>
      <w:r>
        <w:rPr>
          <w:rFonts w:ascii="Times New Roman" w:hAnsi="Times New Roman" w:cs="Times New Roman"/>
          <w:noProof/>
          <w:kern w:val="0"/>
          <w:lang w:val="en-US"/>
        </w:rPr>
        <w:lastRenderedPageBreak/>
        <w:drawing>
          <wp:inline distT="0" distB="0" distL="0" distR="0" wp14:anchorId="7E2B4936" wp14:editId="500297C2">
            <wp:extent cx="5731510" cy="3367262"/>
            <wp:effectExtent l="0" t="0" r="0" b="0"/>
            <wp:docPr id="1018132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3367262"/>
                    </a:xfrm>
                    <a:prstGeom prst="rect">
                      <a:avLst/>
                    </a:prstGeom>
                    <a:noFill/>
                    <a:ln>
                      <a:noFill/>
                    </a:ln>
                  </pic:spPr>
                </pic:pic>
              </a:graphicData>
            </a:graphic>
          </wp:inline>
        </w:drawing>
      </w:r>
    </w:p>
    <w:p w14:paraId="16FBFECF" w14:textId="25827059" w:rsidR="00A21487" w:rsidRDefault="00A21487" w:rsidP="007C05D4">
      <w:pPr>
        <w:autoSpaceDE w:val="0"/>
        <w:autoSpaceDN w:val="0"/>
        <w:adjustRightInd w:val="0"/>
        <w:rPr>
          <w:rFonts w:asciiTheme="majorBidi" w:hAnsiTheme="majorBidi" w:cstheme="majorBidi"/>
          <w:sz w:val="28"/>
          <w:szCs w:val="28"/>
          <w:lang w:val="en-US"/>
        </w:rPr>
      </w:pPr>
      <w:r>
        <w:rPr>
          <w:rFonts w:ascii="Times New Roman" w:hAnsi="Times New Roman" w:cs="Times New Roman"/>
          <w:noProof/>
          <w:kern w:val="0"/>
          <w:lang w:val="en-US"/>
        </w:rPr>
        <w:drawing>
          <wp:inline distT="0" distB="0" distL="0" distR="0" wp14:anchorId="181CBBFC" wp14:editId="02D6917A">
            <wp:extent cx="5731510" cy="3367262"/>
            <wp:effectExtent l="0" t="0" r="0" b="0"/>
            <wp:docPr id="645247473" name="Picture 4" descr="A graph of different types of funnel plo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47473" name="Picture 4" descr="A graph of different types of funnel plot&#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367262"/>
                    </a:xfrm>
                    <a:prstGeom prst="rect">
                      <a:avLst/>
                    </a:prstGeom>
                    <a:noFill/>
                    <a:ln>
                      <a:noFill/>
                    </a:ln>
                  </pic:spPr>
                </pic:pic>
              </a:graphicData>
            </a:graphic>
          </wp:inline>
        </w:drawing>
      </w:r>
    </w:p>
    <w:p w14:paraId="418412EB" w14:textId="3C3F0738" w:rsidR="00A21487" w:rsidRPr="00A21487" w:rsidRDefault="007D4DBC" w:rsidP="007C05D4">
      <w:pPr>
        <w:autoSpaceDE w:val="0"/>
        <w:autoSpaceDN w:val="0"/>
        <w:adjustRightInd w:val="0"/>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w:t>
      </w:r>
      <w:r w:rsidR="00A21487" w:rsidRPr="007D4DBC">
        <w:rPr>
          <w:rFonts w:asciiTheme="majorBidi" w:hAnsiTheme="majorBidi" w:cstheme="majorBidi"/>
          <w:b/>
          <w:bCs/>
          <w:sz w:val="28"/>
          <w:szCs w:val="28"/>
          <w:lang w:val="en-US"/>
        </w:rPr>
        <w:t>Figure 6.</w:t>
      </w:r>
      <w:r w:rsidR="00A21487">
        <w:rPr>
          <w:rFonts w:asciiTheme="majorBidi" w:hAnsiTheme="majorBidi" w:cstheme="majorBidi"/>
          <w:sz w:val="28"/>
          <w:szCs w:val="28"/>
          <w:lang w:val="en-US"/>
        </w:rPr>
        <w:t xml:space="preserve"> </w:t>
      </w:r>
      <w:r w:rsidR="00A21487" w:rsidRPr="00A21487">
        <w:rPr>
          <w:rFonts w:asciiTheme="majorBidi" w:hAnsiTheme="majorBidi" w:cstheme="majorBidi"/>
          <w:sz w:val="28"/>
          <w:szCs w:val="28"/>
          <w:lang w:val="en-US"/>
        </w:rPr>
        <w:t xml:space="preserve">Funnel plot overall and for subgroups for </w:t>
      </w:r>
      <w:proofErr w:type="spellStart"/>
      <w:r w:rsidR="00A21487">
        <w:rPr>
          <w:rFonts w:asciiTheme="majorBidi" w:hAnsiTheme="majorBidi" w:cstheme="majorBidi"/>
          <w:sz w:val="28"/>
          <w:szCs w:val="28"/>
          <w:lang w:val="en-US"/>
        </w:rPr>
        <w:t>LVEDv</w:t>
      </w:r>
      <w:proofErr w:type="spellEnd"/>
      <w:r w:rsidR="00A21487" w:rsidRPr="00A21487">
        <w:rPr>
          <w:rFonts w:asciiTheme="majorBidi" w:hAnsiTheme="majorBidi" w:cstheme="majorBidi"/>
          <w:sz w:val="28"/>
          <w:szCs w:val="28"/>
          <w:lang w:val="en-US"/>
        </w:rPr>
        <w:t xml:space="preserve"> parameter</w:t>
      </w:r>
    </w:p>
    <w:p w14:paraId="7820E663" w14:textId="77777777" w:rsidR="006C0648" w:rsidRDefault="006C0648"/>
    <w:p w14:paraId="55D20EC6" w14:textId="77777777" w:rsidR="007C05D4" w:rsidRDefault="007C05D4"/>
    <w:p w14:paraId="7871AAED" w14:textId="77777777" w:rsidR="00A21487" w:rsidRDefault="00A21487">
      <w:pPr>
        <w:rPr>
          <w:rFonts w:asciiTheme="majorBidi" w:hAnsiTheme="majorBidi" w:cstheme="majorBidi"/>
          <w:b/>
          <w:bCs/>
          <w:sz w:val="28"/>
          <w:szCs w:val="28"/>
          <w:u w:val="single"/>
        </w:rPr>
      </w:pPr>
    </w:p>
    <w:p w14:paraId="7E33CA9E" w14:textId="77777777" w:rsidR="00A21487" w:rsidRDefault="00A21487">
      <w:pPr>
        <w:rPr>
          <w:rFonts w:asciiTheme="majorBidi" w:hAnsiTheme="majorBidi" w:cstheme="majorBidi"/>
          <w:b/>
          <w:bCs/>
          <w:sz w:val="28"/>
          <w:szCs w:val="28"/>
          <w:u w:val="single"/>
        </w:rPr>
      </w:pPr>
    </w:p>
    <w:p w14:paraId="4C938BFD" w14:textId="4AAAACDF" w:rsidR="006C0648" w:rsidRPr="00D60259" w:rsidRDefault="00D60259" w:rsidP="00D60259">
      <w:pPr>
        <w:autoSpaceDE w:val="0"/>
        <w:autoSpaceDN w:val="0"/>
        <w:adjustRightInd w:val="0"/>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w:t>
      </w:r>
      <w:r w:rsidRPr="00A21487">
        <w:rPr>
          <w:rFonts w:asciiTheme="majorBidi" w:hAnsiTheme="majorBidi" w:cstheme="majorBidi"/>
          <w:sz w:val="28"/>
          <w:szCs w:val="28"/>
          <w:lang w:val="en-US"/>
        </w:rPr>
        <w:t xml:space="preserve">Table </w:t>
      </w:r>
      <w:r>
        <w:rPr>
          <w:rFonts w:asciiTheme="majorBidi" w:hAnsiTheme="majorBidi" w:cstheme="majorBidi"/>
          <w:sz w:val="28"/>
          <w:szCs w:val="28"/>
          <w:lang w:val="en-US"/>
        </w:rPr>
        <w:t xml:space="preserve">7: </w:t>
      </w:r>
      <w:r w:rsidR="006C0648" w:rsidRPr="00071A89">
        <w:rPr>
          <w:rFonts w:asciiTheme="majorBidi" w:hAnsiTheme="majorBidi" w:cstheme="majorBidi"/>
          <w:b/>
          <w:bCs/>
          <w:sz w:val="28"/>
          <w:szCs w:val="28"/>
          <w:u w:val="single"/>
        </w:rPr>
        <w:t>6MWD:</w:t>
      </w:r>
    </w:p>
    <w:p w14:paraId="1C66962B" w14:textId="77777777" w:rsidR="007144CE" w:rsidRPr="007144CE" w:rsidRDefault="007144CE" w:rsidP="007144CE">
      <w:pPr>
        <w:autoSpaceDE w:val="0"/>
        <w:autoSpaceDN w:val="0"/>
        <w:adjustRightInd w:val="0"/>
        <w:spacing w:after="0" w:line="240" w:lineRule="auto"/>
        <w:rPr>
          <w:rFonts w:ascii="Times New Roman" w:hAnsi="Times New Roman" w:cs="Times New Roman"/>
          <w:kern w:val="0"/>
          <w:sz w:val="24"/>
          <w:szCs w:val="24"/>
          <w:lang w:val="en-US"/>
        </w:rPr>
      </w:pPr>
    </w:p>
    <w:tbl>
      <w:tblPr>
        <w:tblW w:w="3819" w:type="dxa"/>
        <w:tblLayout w:type="fixed"/>
        <w:tblCellMar>
          <w:left w:w="0" w:type="dxa"/>
          <w:right w:w="0" w:type="dxa"/>
        </w:tblCellMar>
        <w:tblLook w:val="0000" w:firstRow="0" w:lastRow="0" w:firstColumn="0" w:lastColumn="0" w:noHBand="0" w:noVBand="0"/>
      </w:tblPr>
      <w:tblGrid>
        <w:gridCol w:w="963"/>
        <w:gridCol w:w="1642"/>
        <w:gridCol w:w="1214"/>
      </w:tblGrid>
      <w:tr w:rsidR="007144CE" w:rsidRPr="007144CE" w14:paraId="405EB31E" w14:textId="77777777">
        <w:trPr>
          <w:cantSplit/>
        </w:trPr>
        <w:tc>
          <w:tcPr>
            <w:tcW w:w="3817" w:type="dxa"/>
            <w:gridSpan w:val="3"/>
            <w:tcBorders>
              <w:top w:val="nil"/>
              <w:left w:val="nil"/>
              <w:bottom w:val="nil"/>
              <w:right w:val="nil"/>
            </w:tcBorders>
            <w:shd w:val="clear" w:color="auto" w:fill="FFFFFF"/>
            <w:vAlign w:val="center"/>
          </w:tcPr>
          <w:p w14:paraId="269BC198" w14:textId="77777777" w:rsidR="007144CE" w:rsidRPr="007144CE" w:rsidRDefault="007144CE" w:rsidP="007144CE">
            <w:pPr>
              <w:autoSpaceDE w:val="0"/>
              <w:autoSpaceDN w:val="0"/>
              <w:adjustRightInd w:val="0"/>
              <w:spacing w:after="0" w:line="320" w:lineRule="atLeast"/>
              <w:ind w:left="60" w:right="60"/>
              <w:jc w:val="center"/>
              <w:rPr>
                <w:rFonts w:ascii="Arial" w:hAnsi="Arial" w:cs="Arial"/>
                <w:color w:val="010205"/>
                <w:kern w:val="0"/>
                <w:sz w:val="28"/>
                <w:szCs w:val="28"/>
                <w:lang w:val="en-US"/>
              </w:rPr>
            </w:pPr>
            <w:r w:rsidRPr="007144CE">
              <w:rPr>
                <w:rFonts w:ascii="Arial" w:hAnsi="Arial" w:cs="Arial"/>
                <w:b/>
                <w:bCs/>
                <w:color w:val="010205"/>
                <w:kern w:val="0"/>
                <w:sz w:val="28"/>
                <w:szCs w:val="28"/>
                <w:lang w:val="en-US"/>
              </w:rPr>
              <w:t>Heterogeneity Measures</w:t>
            </w:r>
          </w:p>
        </w:tc>
      </w:tr>
      <w:tr w:rsidR="007144CE" w:rsidRPr="007144CE" w14:paraId="35CAAE12" w14:textId="77777777">
        <w:trPr>
          <w:cantSplit/>
        </w:trPr>
        <w:tc>
          <w:tcPr>
            <w:tcW w:w="963" w:type="dxa"/>
            <w:vMerge w:val="restart"/>
            <w:tcBorders>
              <w:top w:val="nil"/>
              <w:left w:val="nil"/>
              <w:bottom w:val="single" w:sz="8" w:space="0" w:color="AEAEAE"/>
              <w:right w:val="nil"/>
            </w:tcBorders>
            <w:shd w:val="clear" w:color="auto" w:fill="E0E0E0"/>
          </w:tcPr>
          <w:p w14:paraId="0C0A6A02"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proofErr w:type="spellStart"/>
            <w:r w:rsidRPr="007144CE">
              <w:rPr>
                <w:rFonts w:ascii="Arial" w:hAnsi="Arial" w:cs="Arial"/>
                <w:color w:val="264A60"/>
                <w:kern w:val="0"/>
                <w:sz w:val="24"/>
                <w:szCs w:val="24"/>
                <w:lang w:val="en-US"/>
              </w:rPr>
              <w:t>Allo</w:t>
            </w:r>
            <w:proofErr w:type="spellEnd"/>
          </w:p>
        </w:tc>
        <w:tc>
          <w:tcPr>
            <w:tcW w:w="1641" w:type="dxa"/>
            <w:tcBorders>
              <w:top w:val="nil"/>
              <w:left w:val="nil"/>
              <w:bottom w:val="single" w:sz="8" w:space="0" w:color="AEAEAE"/>
              <w:right w:val="nil"/>
            </w:tcBorders>
            <w:shd w:val="clear" w:color="auto" w:fill="E0E0E0"/>
          </w:tcPr>
          <w:p w14:paraId="0691759E"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nil"/>
              <w:left w:val="nil"/>
              <w:bottom w:val="single" w:sz="8" w:space="0" w:color="AEAEAE"/>
              <w:right w:val="nil"/>
            </w:tcBorders>
            <w:shd w:val="clear" w:color="auto" w:fill="F9F9FB"/>
          </w:tcPr>
          <w:p w14:paraId="1559EC4B"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.000</w:t>
            </w:r>
          </w:p>
        </w:tc>
      </w:tr>
      <w:tr w:rsidR="007144CE" w:rsidRPr="007144CE" w14:paraId="5938E586" w14:textId="77777777">
        <w:trPr>
          <w:cantSplit/>
        </w:trPr>
        <w:tc>
          <w:tcPr>
            <w:tcW w:w="963" w:type="dxa"/>
            <w:vMerge/>
            <w:tcBorders>
              <w:top w:val="nil"/>
              <w:left w:val="nil"/>
              <w:bottom w:val="single" w:sz="8" w:space="0" w:color="AEAEAE"/>
              <w:right w:val="nil"/>
            </w:tcBorders>
            <w:shd w:val="clear" w:color="auto" w:fill="E0E0E0"/>
          </w:tcPr>
          <w:p w14:paraId="3B84C48D"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6F753128"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7DEBC6DC"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1.000</w:t>
            </w:r>
          </w:p>
        </w:tc>
      </w:tr>
      <w:tr w:rsidR="007144CE" w:rsidRPr="007144CE" w14:paraId="7EAA63D0" w14:textId="77777777">
        <w:trPr>
          <w:cantSplit/>
        </w:trPr>
        <w:tc>
          <w:tcPr>
            <w:tcW w:w="963" w:type="dxa"/>
            <w:vMerge/>
            <w:tcBorders>
              <w:top w:val="nil"/>
              <w:left w:val="nil"/>
              <w:bottom w:val="single" w:sz="8" w:space="0" w:color="AEAEAE"/>
              <w:right w:val="nil"/>
            </w:tcBorders>
            <w:shd w:val="clear" w:color="auto" w:fill="E0E0E0"/>
          </w:tcPr>
          <w:p w14:paraId="76CA2C67"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45166CBF"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AEAEAE"/>
              <w:right w:val="nil"/>
            </w:tcBorders>
            <w:shd w:val="clear" w:color="auto" w:fill="F9F9FB"/>
          </w:tcPr>
          <w:p w14:paraId="0856A2A6"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w:t>
            </w:r>
          </w:p>
        </w:tc>
      </w:tr>
      <w:tr w:rsidR="007144CE" w:rsidRPr="007144CE" w14:paraId="7559ECCA" w14:textId="77777777">
        <w:trPr>
          <w:cantSplit/>
        </w:trPr>
        <w:tc>
          <w:tcPr>
            <w:tcW w:w="963" w:type="dxa"/>
            <w:vMerge w:val="restart"/>
            <w:tcBorders>
              <w:top w:val="single" w:sz="8" w:space="0" w:color="AEAEAE"/>
              <w:left w:val="nil"/>
              <w:bottom w:val="single" w:sz="8" w:space="0" w:color="AEAEAE"/>
              <w:right w:val="nil"/>
            </w:tcBorders>
            <w:shd w:val="clear" w:color="auto" w:fill="E0E0E0"/>
          </w:tcPr>
          <w:p w14:paraId="69C41487"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Auto</w:t>
            </w:r>
          </w:p>
        </w:tc>
        <w:tc>
          <w:tcPr>
            <w:tcW w:w="1641" w:type="dxa"/>
            <w:tcBorders>
              <w:top w:val="single" w:sz="8" w:space="0" w:color="AEAEAE"/>
              <w:left w:val="nil"/>
              <w:bottom w:val="single" w:sz="8" w:space="0" w:color="AEAEAE"/>
              <w:right w:val="nil"/>
            </w:tcBorders>
            <w:shd w:val="clear" w:color="auto" w:fill="E0E0E0"/>
          </w:tcPr>
          <w:p w14:paraId="22546386"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single" w:sz="8" w:space="0" w:color="AEAEAE"/>
              <w:left w:val="nil"/>
              <w:bottom w:val="single" w:sz="8" w:space="0" w:color="AEAEAE"/>
              <w:right w:val="nil"/>
            </w:tcBorders>
            <w:shd w:val="clear" w:color="auto" w:fill="F9F9FB"/>
          </w:tcPr>
          <w:p w14:paraId="1A7AD569"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362.831</w:t>
            </w:r>
          </w:p>
        </w:tc>
      </w:tr>
      <w:tr w:rsidR="007144CE" w:rsidRPr="007144CE" w14:paraId="75C0C007" w14:textId="77777777">
        <w:trPr>
          <w:cantSplit/>
        </w:trPr>
        <w:tc>
          <w:tcPr>
            <w:tcW w:w="963" w:type="dxa"/>
            <w:vMerge/>
            <w:tcBorders>
              <w:top w:val="single" w:sz="8" w:space="0" w:color="AEAEAE"/>
              <w:left w:val="nil"/>
              <w:bottom w:val="single" w:sz="8" w:space="0" w:color="AEAEAE"/>
              <w:right w:val="nil"/>
            </w:tcBorders>
            <w:shd w:val="clear" w:color="auto" w:fill="E0E0E0"/>
          </w:tcPr>
          <w:p w14:paraId="15DE04CF"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016B43C2"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0B1312B1"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1.642</w:t>
            </w:r>
          </w:p>
        </w:tc>
      </w:tr>
      <w:tr w:rsidR="007144CE" w:rsidRPr="007144CE" w14:paraId="7BD750A6" w14:textId="77777777">
        <w:trPr>
          <w:cantSplit/>
        </w:trPr>
        <w:tc>
          <w:tcPr>
            <w:tcW w:w="963" w:type="dxa"/>
            <w:vMerge/>
            <w:tcBorders>
              <w:top w:val="single" w:sz="8" w:space="0" w:color="AEAEAE"/>
              <w:left w:val="nil"/>
              <w:bottom w:val="single" w:sz="8" w:space="0" w:color="AEAEAE"/>
              <w:right w:val="nil"/>
            </w:tcBorders>
            <w:shd w:val="clear" w:color="auto" w:fill="E0E0E0"/>
          </w:tcPr>
          <w:p w14:paraId="7E93CCEE"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0729BCC7"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AEAEAE"/>
              <w:right w:val="nil"/>
            </w:tcBorders>
            <w:shd w:val="clear" w:color="auto" w:fill="F9F9FB"/>
          </w:tcPr>
          <w:p w14:paraId="673BCA93"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39.1</w:t>
            </w:r>
          </w:p>
        </w:tc>
      </w:tr>
      <w:tr w:rsidR="007144CE" w:rsidRPr="007144CE" w14:paraId="3E9D2742" w14:textId="77777777">
        <w:trPr>
          <w:cantSplit/>
        </w:trPr>
        <w:tc>
          <w:tcPr>
            <w:tcW w:w="963" w:type="dxa"/>
            <w:vMerge w:val="restart"/>
            <w:tcBorders>
              <w:top w:val="single" w:sz="8" w:space="0" w:color="AEAEAE"/>
              <w:left w:val="nil"/>
              <w:bottom w:val="single" w:sz="8" w:space="0" w:color="152935"/>
              <w:right w:val="nil"/>
            </w:tcBorders>
            <w:shd w:val="clear" w:color="auto" w:fill="E0E0E0"/>
          </w:tcPr>
          <w:p w14:paraId="0E3DFC0D"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Overall</w:t>
            </w:r>
          </w:p>
        </w:tc>
        <w:tc>
          <w:tcPr>
            <w:tcW w:w="1641" w:type="dxa"/>
            <w:tcBorders>
              <w:top w:val="single" w:sz="8" w:space="0" w:color="AEAEAE"/>
              <w:left w:val="nil"/>
              <w:bottom w:val="single" w:sz="8" w:space="0" w:color="AEAEAE"/>
              <w:right w:val="nil"/>
            </w:tcBorders>
            <w:shd w:val="clear" w:color="auto" w:fill="E0E0E0"/>
          </w:tcPr>
          <w:p w14:paraId="7AFB290E"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Tau-squared</w:t>
            </w:r>
          </w:p>
        </w:tc>
        <w:tc>
          <w:tcPr>
            <w:tcW w:w="1213" w:type="dxa"/>
            <w:tcBorders>
              <w:top w:val="single" w:sz="8" w:space="0" w:color="AEAEAE"/>
              <w:left w:val="nil"/>
              <w:bottom w:val="single" w:sz="8" w:space="0" w:color="AEAEAE"/>
              <w:right w:val="nil"/>
            </w:tcBorders>
            <w:shd w:val="clear" w:color="auto" w:fill="F9F9FB"/>
          </w:tcPr>
          <w:p w14:paraId="1062EFFB"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.000</w:t>
            </w:r>
          </w:p>
        </w:tc>
      </w:tr>
      <w:tr w:rsidR="007144CE" w:rsidRPr="007144CE" w14:paraId="57BFCC62" w14:textId="77777777">
        <w:trPr>
          <w:cantSplit/>
        </w:trPr>
        <w:tc>
          <w:tcPr>
            <w:tcW w:w="963" w:type="dxa"/>
            <w:vMerge/>
            <w:tcBorders>
              <w:top w:val="single" w:sz="8" w:space="0" w:color="AEAEAE"/>
              <w:left w:val="nil"/>
              <w:bottom w:val="single" w:sz="8" w:space="0" w:color="152935"/>
              <w:right w:val="nil"/>
            </w:tcBorders>
            <w:shd w:val="clear" w:color="auto" w:fill="E0E0E0"/>
          </w:tcPr>
          <w:p w14:paraId="2DF7D5DC"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AEAEAE"/>
              <w:right w:val="nil"/>
            </w:tcBorders>
            <w:shd w:val="clear" w:color="auto" w:fill="E0E0E0"/>
          </w:tcPr>
          <w:p w14:paraId="17D42C52"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H-squared</w:t>
            </w:r>
          </w:p>
        </w:tc>
        <w:tc>
          <w:tcPr>
            <w:tcW w:w="1213" w:type="dxa"/>
            <w:tcBorders>
              <w:top w:val="single" w:sz="8" w:space="0" w:color="AEAEAE"/>
              <w:left w:val="nil"/>
              <w:bottom w:val="single" w:sz="8" w:space="0" w:color="AEAEAE"/>
              <w:right w:val="nil"/>
            </w:tcBorders>
            <w:shd w:val="clear" w:color="auto" w:fill="F9F9FB"/>
          </w:tcPr>
          <w:p w14:paraId="41B4FFA2"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1.000</w:t>
            </w:r>
          </w:p>
        </w:tc>
      </w:tr>
      <w:tr w:rsidR="007144CE" w:rsidRPr="007144CE" w14:paraId="5323BFE0" w14:textId="77777777">
        <w:trPr>
          <w:cantSplit/>
        </w:trPr>
        <w:tc>
          <w:tcPr>
            <w:tcW w:w="963" w:type="dxa"/>
            <w:vMerge/>
            <w:tcBorders>
              <w:top w:val="single" w:sz="8" w:space="0" w:color="AEAEAE"/>
              <w:left w:val="nil"/>
              <w:bottom w:val="single" w:sz="8" w:space="0" w:color="152935"/>
              <w:right w:val="nil"/>
            </w:tcBorders>
            <w:shd w:val="clear" w:color="auto" w:fill="E0E0E0"/>
          </w:tcPr>
          <w:p w14:paraId="74109FF8" w14:textId="77777777" w:rsidR="007144CE" w:rsidRPr="007144CE" w:rsidRDefault="007144CE" w:rsidP="007144CE">
            <w:pPr>
              <w:autoSpaceDE w:val="0"/>
              <w:autoSpaceDN w:val="0"/>
              <w:adjustRightInd w:val="0"/>
              <w:spacing w:after="0" w:line="240" w:lineRule="auto"/>
              <w:rPr>
                <w:rFonts w:ascii="Arial" w:hAnsi="Arial" w:cs="Arial"/>
                <w:color w:val="010205"/>
                <w:kern w:val="0"/>
                <w:sz w:val="24"/>
                <w:szCs w:val="24"/>
                <w:lang w:val="en-US"/>
              </w:rPr>
            </w:pPr>
          </w:p>
        </w:tc>
        <w:tc>
          <w:tcPr>
            <w:tcW w:w="1641" w:type="dxa"/>
            <w:tcBorders>
              <w:top w:val="single" w:sz="8" w:space="0" w:color="AEAEAE"/>
              <w:left w:val="nil"/>
              <w:bottom w:val="single" w:sz="8" w:space="0" w:color="152935"/>
              <w:right w:val="nil"/>
            </w:tcBorders>
            <w:shd w:val="clear" w:color="auto" w:fill="E0E0E0"/>
          </w:tcPr>
          <w:p w14:paraId="3CD5DB2A" w14:textId="77777777" w:rsidR="007144CE" w:rsidRPr="007144CE" w:rsidRDefault="007144CE" w:rsidP="007144CE">
            <w:pPr>
              <w:autoSpaceDE w:val="0"/>
              <w:autoSpaceDN w:val="0"/>
              <w:adjustRightInd w:val="0"/>
              <w:spacing w:after="0" w:line="320" w:lineRule="atLeast"/>
              <w:ind w:left="60" w:right="60"/>
              <w:rPr>
                <w:rFonts w:ascii="Arial" w:hAnsi="Arial" w:cs="Arial"/>
                <w:color w:val="264A60"/>
                <w:kern w:val="0"/>
                <w:sz w:val="24"/>
                <w:szCs w:val="24"/>
                <w:lang w:val="en-US"/>
              </w:rPr>
            </w:pPr>
            <w:r w:rsidRPr="007144CE">
              <w:rPr>
                <w:rFonts w:ascii="Arial" w:hAnsi="Arial" w:cs="Arial"/>
                <w:color w:val="264A60"/>
                <w:kern w:val="0"/>
                <w:sz w:val="24"/>
                <w:szCs w:val="24"/>
                <w:lang w:val="en-US"/>
              </w:rPr>
              <w:t>I-squared (%)</w:t>
            </w:r>
          </w:p>
        </w:tc>
        <w:tc>
          <w:tcPr>
            <w:tcW w:w="1213" w:type="dxa"/>
            <w:tcBorders>
              <w:top w:val="single" w:sz="8" w:space="0" w:color="AEAEAE"/>
              <w:left w:val="nil"/>
              <w:bottom w:val="single" w:sz="8" w:space="0" w:color="152935"/>
              <w:right w:val="nil"/>
            </w:tcBorders>
            <w:shd w:val="clear" w:color="auto" w:fill="F9F9FB"/>
          </w:tcPr>
          <w:p w14:paraId="7345ADA6" w14:textId="77777777" w:rsidR="007144CE" w:rsidRPr="007144CE" w:rsidRDefault="007144CE" w:rsidP="007144CE">
            <w:pPr>
              <w:autoSpaceDE w:val="0"/>
              <w:autoSpaceDN w:val="0"/>
              <w:adjustRightInd w:val="0"/>
              <w:spacing w:after="0" w:line="320" w:lineRule="atLeast"/>
              <w:ind w:left="60" w:right="60"/>
              <w:jc w:val="right"/>
              <w:rPr>
                <w:rFonts w:ascii="Arial" w:hAnsi="Arial" w:cs="Arial"/>
                <w:color w:val="010205"/>
                <w:kern w:val="0"/>
                <w:sz w:val="24"/>
                <w:szCs w:val="24"/>
                <w:lang w:val="en-US"/>
              </w:rPr>
            </w:pPr>
            <w:r w:rsidRPr="007144CE">
              <w:rPr>
                <w:rFonts w:ascii="Arial" w:hAnsi="Arial" w:cs="Arial"/>
                <w:color w:val="010205"/>
                <w:kern w:val="0"/>
                <w:sz w:val="24"/>
                <w:szCs w:val="24"/>
                <w:lang w:val="en-US"/>
              </w:rPr>
              <w:t>.0</w:t>
            </w:r>
          </w:p>
        </w:tc>
      </w:tr>
    </w:tbl>
    <w:p w14:paraId="10874497" w14:textId="77777777" w:rsidR="00071A89" w:rsidRPr="00071A89" w:rsidRDefault="00071A89">
      <w:pPr>
        <w:rPr>
          <w:rFonts w:asciiTheme="majorBidi" w:hAnsiTheme="majorBidi" w:cstheme="majorBidi"/>
          <w:b/>
          <w:bCs/>
          <w:sz w:val="28"/>
          <w:szCs w:val="28"/>
          <w:u w:val="single"/>
        </w:rPr>
      </w:pPr>
    </w:p>
    <w:p w14:paraId="4B8E9C45" w14:textId="6353DBD2" w:rsidR="006C0648" w:rsidRDefault="006C0648">
      <w:r>
        <w:rPr>
          <w:noProof/>
        </w:rPr>
        <w:drawing>
          <wp:inline distT="0" distB="0" distL="0" distR="0" wp14:anchorId="2324F79C" wp14:editId="0FCE02CF">
            <wp:extent cx="5731510" cy="1726565"/>
            <wp:effectExtent l="0" t="0" r="2540" b="6985"/>
            <wp:docPr id="206184433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844337" name="Picture 28"/>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731510" cy="1726565"/>
                    </a:xfrm>
                    <a:prstGeom prst="rect">
                      <a:avLst/>
                    </a:prstGeom>
                  </pic:spPr>
                </pic:pic>
              </a:graphicData>
            </a:graphic>
          </wp:inline>
        </w:drawing>
      </w:r>
    </w:p>
    <w:p w14:paraId="50758152" w14:textId="77777777" w:rsidR="00D60259" w:rsidRDefault="00D60259"/>
    <w:p w14:paraId="5A960B0C" w14:textId="77777777" w:rsidR="00D60259" w:rsidRDefault="00D60259"/>
    <w:p w14:paraId="376E41E6" w14:textId="77777777" w:rsidR="00D60259" w:rsidRDefault="00D60259"/>
    <w:p w14:paraId="697C25E8" w14:textId="77777777" w:rsidR="00D60259" w:rsidRDefault="00D60259"/>
    <w:p w14:paraId="76867D86" w14:textId="77777777" w:rsidR="006C0648" w:rsidRDefault="006C0648"/>
    <w:p w14:paraId="2E470434" w14:textId="25917211" w:rsidR="006C0648" w:rsidRDefault="006C0648" w:rsidP="00A21487">
      <w:r>
        <w:rPr>
          <w:noProof/>
        </w:rPr>
        <w:lastRenderedPageBreak/>
        <w:drawing>
          <wp:inline distT="0" distB="0" distL="0" distR="0" wp14:anchorId="0F8BD317" wp14:editId="68DCE4D6">
            <wp:extent cx="5731510" cy="3370580"/>
            <wp:effectExtent l="0" t="0" r="2540" b="1270"/>
            <wp:docPr id="64211319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13195" name="Picture 29"/>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370580"/>
                    </a:xfrm>
                    <a:prstGeom prst="rect">
                      <a:avLst/>
                    </a:prstGeom>
                    <a:noFill/>
                    <a:ln>
                      <a:noFill/>
                    </a:ln>
                  </pic:spPr>
                </pic:pic>
              </a:graphicData>
            </a:graphic>
          </wp:inline>
        </w:drawing>
      </w:r>
    </w:p>
    <w:p w14:paraId="3F5AEAC4" w14:textId="3432FDE9" w:rsidR="006C0648" w:rsidRDefault="006C0648">
      <w:pPr>
        <w:rPr>
          <w:noProof/>
        </w:rPr>
      </w:pPr>
      <w:r>
        <w:rPr>
          <w:noProof/>
        </w:rPr>
        <w:drawing>
          <wp:inline distT="0" distB="0" distL="0" distR="0" wp14:anchorId="2343A757" wp14:editId="22767CE5">
            <wp:extent cx="5731510" cy="3370580"/>
            <wp:effectExtent l="0" t="0" r="2540" b="1270"/>
            <wp:docPr id="12965265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26536" name="Picture 30"/>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3370580"/>
                    </a:xfrm>
                    <a:prstGeom prst="rect">
                      <a:avLst/>
                    </a:prstGeom>
                    <a:noFill/>
                    <a:ln>
                      <a:noFill/>
                    </a:ln>
                  </pic:spPr>
                </pic:pic>
              </a:graphicData>
            </a:graphic>
          </wp:inline>
        </w:drawing>
      </w:r>
    </w:p>
    <w:p w14:paraId="35DE9D40" w14:textId="70A26AC0" w:rsidR="007C05D4" w:rsidRPr="00A21487" w:rsidRDefault="007D4DBC" w:rsidP="007C05D4">
      <w:pPr>
        <w:autoSpaceDE w:val="0"/>
        <w:autoSpaceDN w:val="0"/>
        <w:adjustRightInd w:val="0"/>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Figure </w:t>
      </w:r>
      <w:r w:rsidR="00A21487">
        <w:rPr>
          <w:rFonts w:asciiTheme="majorBidi" w:hAnsiTheme="majorBidi" w:cstheme="majorBidi"/>
          <w:sz w:val="28"/>
          <w:szCs w:val="28"/>
          <w:lang w:val="en-US"/>
        </w:rPr>
        <w:t>7</w:t>
      </w:r>
      <w:r w:rsidR="007C05D4" w:rsidRPr="00A21487">
        <w:rPr>
          <w:rFonts w:asciiTheme="majorBidi" w:hAnsiTheme="majorBidi" w:cstheme="majorBidi"/>
          <w:sz w:val="28"/>
          <w:szCs w:val="28"/>
          <w:lang w:val="en-US"/>
        </w:rPr>
        <w:t>.</w:t>
      </w:r>
      <w:r w:rsidR="00A21487">
        <w:rPr>
          <w:rFonts w:asciiTheme="majorBidi" w:hAnsiTheme="majorBidi" w:cstheme="majorBidi"/>
          <w:sz w:val="28"/>
          <w:szCs w:val="28"/>
          <w:lang w:val="en-US"/>
        </w:rPr>
        <w:t xml:space="preserve"> </w:t>
      </w:r>
      <w:r w:rsidR="00A21487" w:rsidRPr="00A21487">
        <w:rPr>
          <w:rFonts w:asciiTheme="majorBidi" w:hAnsiTheme="majorBidi" w:cstheme="majorBidi"/>
          <w:sz w:val="28"/>
          <w:szCs w:val="28"/>
          <w:lang w:val="en-US"/>
        </w:rPr>
        <w:t xml:space="preserve">Funnel plot overall and for subgroups for </w:t>
      </w:r>
      <w:r w:rsidR="00A21487">
        <w:rPr>
          <w:rFonts w:asciiTheme="majorBidi" w:hAnsiTheme="majorBidi" w:cstheme="majorBidi"/>
          <w:sz w:val="28"/>
          <w:szCs w:val="28"/>
          <w:lang w:val="en-US"/>
        </w:rPr>
        <w:t>6-MWD</w:t>
      </w:r>
      <w:r w:rsidR="00A21487" w:rsidRPr="00A21487">
        <w:rPr>
          <w:rFonts w:asciiTheme="majorBidi" w:hAnsiTheme="majorBidi" w:cstheme="majorBidi"/>
          <w:sz w:val="28"/>
          <w:szCs w:val="28"/>
          <w:lang w:val="en-US"/>
        </w:rPr>
        <w:t xml:space="preserve"> parameter</w:t>
      </w:r>
    </w:p>
    <w:p w14:paraId="4D7669C0" w14:textId="77777777" w:rsidR="002302A6" w:rsidRPr="002302A6" w:rsidRDefault="002302A6" w:rsidP="002302A6"/>
    <w:p w14:paraId="7F202978" w14:textId="77777777" w:rsidR="00D60259" w:rsidRDefault="00D60259" w:rsidP="00D60259">
      <w:pPr>
        <w:tabs>
          <w:tab w:val="left" w:pos="7619"/>
        </w:tabs>
      </w:pPr>
    </w:p>
    <w:p w14:paraId="269B1063" w14:textId="77777777" w:rsidR="00D60259" w:rsidRDefault="00D60259" w:rsidP="00D60259">
      <w:pPr>
        <w:tabs>
          <w:tab w:val="left" w:pos="7619"/>
        </w:tabs>
      </w:pPr>
    </w:p>
    <w:p w14:paraId="46152970" w14:textId="77777777" w:rsidR="00D60259" w:rsidRDefault="00D60259" w:rsidP="00D60259">
      <w:pPr>
        <w:tabs>
          <w:tab w:val="left" w:pos="7619"/>
        </w:tabs>
      </w:pPr>
    </w:p>
    <w:p w14:paraId="628F1B16" w14:textId="025B2ED4" w:rsidR="002302A6" w:rsidRPr="00D60259" w:rsidRDefault="00D60259" w:rsidP="00D60259">
      <w:pPr>
        <w:tabs>
          <w:tab w:val="left" w:pos="7619"/>
        </w:tabs>
      </w:pPr>
      <w:r w:rsidRPr="007D4DBC">
        <w:rPr>
          <w:rFonts w:asciiTheme="majorBidi" w:hAnsiTheme="majorBidi" w:cstheme="majorBidi"/>
          <w:b/>
          <w:bCs/>
          <w:sz w:val="28"/>
          <w:szCs w:val="28"/>
          <w:lang w:val="en-US"/>
        </w:rPr>
        <w:t xml:space="preserve">Supplementary </w:t>
      </w:r>
      <w:r w:rsidRPr="00A21487">
        <w:rPr>
          <w:rFonts w:asciiTheme="majorBidi" w:hAnsiTheme="majorBidi" w:cstheme="majorBidi"/>
          <w:sz w:val="28"/>
          <w:szCs w:val="28"/>
          <w:lang w:val="en-US"/>
        </w:rPr>
        <w:t xml:space="preserve">Table </w:t>
      </w:r>
      <w:r>
        <w:rPr>
          <w:rFonts w:asciiTheme="majorBidi" w:hAnsiTheme="majorBidi" w:cstheme="majorBidi"/>
          <w:sz w:val="28"/>
          <w:szCs w:val="28"/>
          <w:lang w:val="en-US"/>
        </w:rPr>
        <w:t xml:space="preserve">8: </w:t>
      </w:r>
      <w:r w:rsidR="00071A89">
        <w:rPr>
          <w:rFonts w:asciiTheme="majorBidi" w:hAnsiTheme="majorBidi" w:cstheme="majorBidi"/>
          <w:b/>
          <w:bCs/>
          <w:sz w:val="28"/>
          <w:szCs w:val="28"/>
          <w:u w:val="single"/>
          <w:lang w:val="en-US"/>
        </w:rPr>
        <w:t>LVEF</w:t>
      </w:r>
      <w:r w:rsidR="002302A6" w:rsidRPr="00071A89">
        <w:rPr>
          <w:rFonts w:asciiTheme="majorBidi" w:hAnsiTheme="majorBidi" w:cstheme="majorBidi"/>
          <w:b/>
          <w:bCs/>
          <w:sz w:val="28"/>
          <w:szCs w:val="28"/>
          <w:u w:val="single"/>
          <w:lang w:val="en-US"/>
        </w:rPr>
        <w:t xml:space="preserve"> with exclusion of ADRCs trials</w:t>
      </w:r>
    </w:p>
    <w:p w14:paraId="270F0ED5" w14:textId="3CA05593" w:rsidR="002302A6" w:rsidRDefault="002302A6" w:rsidP="002302A6">
      <w:pPr>
        <w:rPr>
          <w:lang w:val="en-US"/>
        </w:rPr>
      </w:pPr>
      <w:r>
        <w:rPr>
          <w:noProof/>
          <w:lang w:val="en-US"/>
        </w:rPr>
        <w:drawing>
          <wp:inline distT="0" distB="0" distL="0" distR="0" wp14:anchorId="2D001E0D" wp14:editId="1026D404">
            <wp:extent cx="5731510" cy="2153285"/>
            <wp:effectExtent l="0" t="0" r="2540" b="0"/>
            <wp:docPr id="1932246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2153285"/>
                    </a:xfrm>
                    <a:prstGeom prst="rect">
                      <a:avLst/>
                    </a:prstGeom>
                    <a:noFill/>
                    <a:ln>
                      <a:noFill/>
                    </a:ln>
                  </pic:spPr>
                </pic:pic>
              </a:graphicData>
            </a:graphic>
          </wp:inline>
        </w:drawing>
      </w:r>
    </w:p>
    <w:p w14:paraId="32007422" w14:textId="77777777" w:rsidR="00D60259" w:rsidRDefault="00D60259" w:rsidP="002302A6">
      <w:pPr>
        <w:rPr>
          <w:lang w:val="en-US"/>
        </w:rPr>
      </w:pPr>
    </w:p>
    <w:p w14:paraId="3D679447" w14:textId="77777777" w:rsidR="00D60259" w:rsidRDefault="00D60259" w:rsidP="002302A6">
      <w:pPr>
        <w:rPr>
          <w:lang w:val="en-US"/>
        </w:rPr>
      </w:pPr>
    </w:p>
    <w:p w14:paraId="07A7EE7D" w14:textId="77777777" w:rsidR="00D60259" w:rsidRDefault="00D60259" w:rsidP="002302A6">
      <w:pPr>
        <w:rPr>
          <w:lang w:val="en-US"/>
        </w:rPr>
      </w:pPr>
    </w:p>
    <w:p w14:paraId="2DE29CA2" w14:textId="77777777" w:rsidR="00D60259" w:rsidRDefault="00D60259" w:rsidP="002302A6">
      <w:pPr>
        <w:rPr>
          <w:lang w:val="en-US"/>
        </w:rPr>
      </w:pPr>
    </w:p>
    <w:p w14:paraId="2EBF3F0A" w14:textId="77777777" w:rsidR="00D60259" w:rsidRDefault="00D60259" w:rsidP="002302A6">
      <w:pPr>
        <w:rPr>
          <w:lang w:val="en-US"/>
        </w:rPr>
      </w:pPr>
    </w:p>
    <w:p w14:paraId="75D52F88" w14:textId="77777777" w:rsidR="00D60259" w:rsidRDefault="00D60259" w:rsidP="002302A6">
      <w:pPr>
        <w:rPr>
          <w:lang w:val="en-US"/>
        </w:rPr>
      </w:pPr>
    </w:p>
    <w:p w14:paraId="64EA48F8" w14:textId="77777777" w:rsidR="00D60259" w:rsidRDefault="00D60259" w:rsidP="002302A6">
      <w:pPr>
        <w:rPr>
          <w:lang w:val="en-US"/>
        </w:rPr>
      </w:pPr>
    </w:p>
    <w:p w14:paraId="53E561A0" w14:textId="77777777" w:rsidR="00D60259" w:rsidRDefault="00D60259" w:rsidP="002302A6">
      <w:pPr>
        <w:rPr>
          <w:lang w:val="en-US"/>
        </w:rPr>
      </w:pPr>
    </w:p>
    <w:p w14:paraId="06277F12" w14:textId="77777777" w:rsidR="00D60259" w:rsidRDefault="00D60259" w:rsidP="002302A6">
      <w:pPr>
        <w:rPr>
          <w:lang w:val="en-US"/>
        </w:rPr>
      </w:pPr>
    </w:p>
    <w:p w14:paraId="75F9E25B" w14:textId="77777777" w:rsidR="00D60259" w:rsidRDefault="00D60259" w:rsidP="002302A6">
      <w:pPr>
        <w:rPr>
          <w:lang w:val="en-US"/>
        </w:rPr>
      </w:pPr>
    </w:p>
    <w:p w14:paraId="23C8DC17" w14:textId="77777777" w:rsidR="00D60259" w:rsidRDefault="00D60259" w:rsidP="002302A6">
      <w:pPr>
        <w:rPr>
          <w:lang w:val="en-US"/>
        </w:rPr>
      </w:pPr>
    </w:p>
    <w:p w14:paraId="5FF8E3E6" w14:textId="77777777" w:rsidR="00D60259" w:rsidRDefault="00D60259" w:rsidP="002302A6">
      <w:pPr>
        <w:rPr>
          <w:lang w:val="en-US"/>
        </w:rPr>
      </w:pPr>
    </w:p>
    <w:p w14:paraId="7A0E4872" w14:textId="77777777" w:rsidR="00D60259" w:rsidRDefault="00D60259" w:rsidP="002302A6">
      <w:pPr>
        <w:rPr>
          <w:lang w:val="en-US"/>
        </w:rPr>
      </w:pPr>
    </w:p>
    <w:p w14:paraId="3E674AE8" w14:textId="77777777" w:rsidR="007C05D4" w:rsidRDefault="007C05D4" w:rsidP="002302A6">
      <w:pPr>
        <w:rPr>
          <w:lang w:val="en-US"/>
        </w:rPr>
      </w:pPr>
    </w:p>
    <w:p w14:paraId="08BE2220" w14:textId="6F5BF7D9" w:rsidR="002302A6" w:rsidRDefault="002302A6" w:rsidP="00A21487">
      <w:pPr>
        <w:autoSpaceDE w:val="0"/>
        <w:autoSpaceDN w:val="0"/>
        <w:adjustRightInd w:val="0"/>
        <w:rPr>
          <w:rFonts w:ascii="Times New Roman" w:hAnsi="Times New Roman" w:cs="Times New Roman"/>
          <w:kern w:val="0"/>
          <w:lang w:val="en-US"/>
        </w:rPr>
      </w:pPr>
      <w:r>
        <w:rPr>
          <w:rFonts w:ascii="Times New Roman" w:hAnsi="Times New Roman" w:cs="Times New Roman"/>
          <w:noProof/>
          <w:kern w:val="0"/>
          <w:lang w:val="en-US"/>
        </w:rPr>
        <w:lastRenderedPageBreak/>
        <w:drawing>
          <wp:inline distT="0" distB="0" distL="0" distR="0" wp14:anchorId="788D9F14" wp14:editId="11DE2CBC">
            <wp:extent cx="5731510" cy="3373120"/>
            <wp:effectExtent l="0" t="0" r="2540" b="0"/>
            <wp:docPr id="1777460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012FD0A3" w14:textId="6394CD66" w:rsidR="002302A6" w:rsidRDefault="002302A6" w:rsidP="002302A6">
      <w:pPr>
        <w:autoSpaceDE w:val="0"/>
        <w:autoSpaceDN w:val="0"/>
        <w:adjustRightInd w:val="0"/>
        <w:rPr>
          <w:rFonts w:ascii="Times New Roman" w:hAnsi="Times New Roman" w:cs="Times New Roman"/>
          <w:kern w:val="0"/>
          <w:lang w:val="en-US"/>
        </w:rPr>
      </w:pPr>
      <w:r>
        <w:rPr>
          <w:rFonts w:ascii="Times New Roman" w:hAnsi="Times New Roman" w:cs="Times New Roman"/>
          <w:noProof/>
          <w:kern w:val="0"/>
          <w:lang w:val="en-US"/>
        </w:rPr>
        <w:drawing>
          <wp:inline distT="0" distB="0" distL="0" distR="0" wp14:anchorId="6C1CB19B" wp14:editId="49A89624">
            <wp:extent cx="5731510" cy="3373120"/>
            <wp:effectExtent l="0" t="0" r="2540" b="0"/>
            <wp:docPr id="1512823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735A9C53" w14:textId="15FF3FE2" w:rsidR="007C05D4" w:rsidRPr="00A21487" w:rsidRDefault="007D4DBC" w:rsidP="007C05D4">
      <w:pPr>
        <w:autoSpaceDE w:val="0"/>
        <w:autoSpaceDN w:val="0"/>
        <w:adjustRightInd w:val="0"/>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Figure </w:t>
      </w:r>
      <w:r w:rsidR="00A21487">
        <w:rPr>
          <w:rFonts w:asciiTheme="majorBidi" w:hAnsiTheme="majorBidi" w:cstheme="majorBidi"/>
          <w:sz w:val="28"/>
          <w:szCs w:val="28"/>
          <w:lang w:val="en-US"/>
        </w:rPr>
        <w:t>8</w:t>
      </w:r>
      <w:r w:rsidR="007C05D4" w:rsidRPr="00A21487">
        <w:rPr>
          <w:rFonts w:asciiTheme="majorBidi" w:hAnsiTheme="majorBidi" w:cstheme="majorBidi"/>
          <w:sz w:val="28"/>
          <w:szCs w:val="28"/>
          <w:lang w:val="en-US"/>
        </w:rPr>
        <w:t>.</w:t>
      </w:r>
    </w:p>
    <w:p w14:paraId="128206AD" w14:textId="77777777" w:rsidR="002302A6" w:rsidRDefault="002302A6" w:rsidP="002302A6">
      <w:pPr>
        <w:tabs>
          <w:tab w:val="left" w:pos="7619"/>
        </w:tabs>
      </w:pPr>
    </w:p>
    <w:p w14:paraId="10085E80" w14:textId="77777777" w:rsidR="00A21487" w:rsidRDefault="00A21487" w:rsidP="002302A6">
      <w:pPr>
        <w:tabs>
          <w:tab w:val="left" w:pos="7619"/>
        </w:tabs>
      </w:pPr>
    </w:p>
    <w:p w14:paraId="18CE405B" w14:textId="77777777" w:rsidR="00A21487" w:rsidRDefault="00A21487" w:rsidP="002302A6">
      <w:pPr>
        <w:tabs>
          <w:tab w:val="left" w:pos="7619"/>
        </w:tabs>
      </w:pPr>
    </w:p>
    <w:p w14:paraId="5C2B117E" w14:textId="77777777" w:rsidR="00A21487" w:rsidRDefault="00A21487" w:rsidP="002302A6">
      <w:pPr>
        <w:tabs>
          <w:tab w:val="left" w:pos="7619"/>
        </w:tabs>
      </w:pPr>
    </w:p>
    <w:p w14:paraId="040F9D9B" w14:textId="77777777" w:rsidR="00A21487" w:rsidRDefault="00A21487" w:rsidP="002302A6">
      <w:pPr>
        <w:tabs>
          <w:tab w:val="left" w:pos="7619"/>
        </w:tabs>
      </w:pPr>
    </w:p>
    <w:p w14:paraId="073ECDFF" w14:textId="5C754BD6" w:rsidR="007A5346" w:rsidRPr="007D4DBC" w:rsidRDefault="007D4DBC" w:rsidP="007D4DBC">
      <w:pPr>
        <w:autoSpaceDE w:val="0"/>
        <w:autoSpaceDN w:val="0"/>
        <w:adjustRightInd w:val="0"/>
        <w:rPr>
          <w:rFonts w:asciiTheme="majorBidi" w:hAnsiTheme="majorBidi" w:cstheme="majorBidi"/>
          <w:sz w:val="28"/>
          <w:szCs w:val="28"/>
          <w:lang w:val="en-US"/>
        </w:rPr>
      </w:pPr>
      <w:r w:rsidRPr="007D4DBC">
        <w:rPr>
          <w:rFonts w:asciiTheme="majorBidi" w:hAnsiTheme="majorBidi" w:cstheme="majorBidi"/>
          <w:b/>
          <w:bCs/>
          <w:sz w:val="28"/>
          <w:szCs w:val="28"/>
          <w:lang w:val="en-US"/>
        </w:rPr>
        <w:t xml:space="preserve">Supplementary </w:t>
      </w:r>
      <w:r w:rsidRPr="007229A7">
        <w:rPr>
          <w:rFonts w:asciiTheme="majorBidi" w:hAnsiTheme="majorBidi" w:cstheme="majorBidi"/>
          <w:sz w:val="28"/>
          <w:szCs w:val="28"/>
          <w:lang w:val="en-US"/>
        </w:rPr>
        <w:t xml:space="preserve">Table 9. </w:t>
      </w:r>
      <w:r w:rsidR="007A5346" w:rsidRPr="007229A7">
        <w:rPr>
          <w:rFonts w:asciiTheme="majorBidi" w:hAnsiTheme="majorBidi" w:cstheme="majorBidi"/>
          <w:b/>
          <w:bCs/>
          <w:sz w:val="28"/>
          <w:szCs w:val="28"/>
          <w:u w:val="single"/>
          <w:lang w:val="en-US"/>
        </w:rPr>
        <w:t>Meta-regression analysis for LVEF</w:t>
      </w:r>
      <w:r>
        <w:rPr>
          <w:rFonts w:asciiTheme="majorBidi" w:hAnsiTheme="majorBidi" w:cstheme="majorBidi"/>
          <w:b/>
          <w:bCs/>
          <w:sz w:val="28"/>
          <w:szCs w:val="28"/>
          <w:u w:val="single"/>
          <w:lang w:val="en-US"/>
        </w:rPr>
        <w:t>.</w:t>
      </w:r>
      <w:r w:rsidR="007A5346" w:rsidRPr="007229A7">
        <w:rPr>
          <w:rFonts w:asciiTheme="majorBidi" w:hAnsiTheme="majorBidi" w:cstheme="majorBidi"/>
          <w:b/>
          <w:bCs/>
          <w:sz w:val="28"/>
          <w:szCs w:val="28"/>
          <w:u w:val="single"/>
          <w:lang w:val="en-US"/>
        </w:rPr>
        <w:t xml:space="preserve"> </w:t>
      </w:r>
    </w:p>
    <w:p w14:paraId="0D55B14E" w14:textId="70EB2473" w:rsidR="007A5346" w:rsidRDefault="00F25765" w:rsidP="002302A6">
      <w:pPr>
        <w:tabs>
          <w:tab w:val="left" w:pos="7619"/>
        </w:tabs>
      </w:pPr>
      <w:r>
        <w:rPr>
          <w:noProof/>
        </w:rPr>
        <w:drawing>
          <wp:inline distT="0" distB="0" distL="0" distR="0" wp14:anchorId="07E251C8" wp14:editId="3963D243">
            <wp:extent cx="5731510" cy="3100070"/>
            <wp:effectExtent l="0" t="0" r="0" b="0"/>
            <wp:docPr id="1094406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06623" name="Picture 1094406623"/>
                    <pic:cNvPicPr/>
                  </pic:nvPicPr>
                  <pic:blipFill>
                    <a:blip r:embed="rId31">
                      <a:extLst>
                        <a:ext uri="{28A0092B-C50C-407E-A947-70E740481C1C}">
                          <a14:useLocalDpi xmlns:a14="http://schemas.microsoft.com/office/drawing/2010/main" val="0"/>
                        </a:ext>
                      </a:extLst>
                    </a:blip>
                    <a:stretch>
                      <a:fillRect/>
                    </a:stretch>
                  </pic:blipFill>
                  <pic:spPr>
                    <a:xfrm>
                      <a:off x="0" y="0"/>
                      <a:ext cx="5731510" cy="3100070"/>
                    </a:xfrm>
                    <a:prstGeom prst="rect">
                      <a:avLst/>
                    </a:prstGeom>
                  </pic:spPr>
                </pic:pic>
              </a:graphicData>
            </a:graphic>
          </wp:inline>
        </w:drawing>
      </w:r>
    </w:p>
    <w:p w14:paraId="5B645C1B" w14:textId="77777777" w:rsidR="007A5346" w:rsidRDefault="007A5346" w:rsidP="002302A6">
      <w:pPr>
        <w:tabs>
          <w:tab w:val="left" w:pos="7619"/>
        </w:tabs>
      </w:pPr>
    </w:p>
    <w:p w14:paraId="3543B162" w14:textId="77777777" w:rsidR="00A21487" w:rsidRDefault="00A21487" w:rsidP="002302A6">
      <w:pPr>
        <w:tabs>
          <w:tab w:val="left" w:pos="7619"/>
        </w:tabs>
      </w:pPr>
    </w:p>
    <w:p w14:paraId="65AEFA11" w14:textId="77777777" w:rsidR="00A21487" w:rsidRDefault="00A21487" w:rsidP="002302A6">
      <w:pPr>
        <w:tabs>
          <w:tab w:val="left" w:pos="7619"/>
        </w:tabs>
      </w:pPr>
    </w:p>
    <w:p w14:paraId="518E6060" w14:textId="77777777" w:rsidR="007229A7" w:rsidRDefault="007229A7" w:rsidP="00A21487">
      <w:pPr>
        <w:rPr>
          <w:rFonts w:asciiTheme="majorBidi" w:hAnsiTheme="majorBidi" w:cstheme="majorBidi"/>
          <w:sz w:val="24"/>
          <w:szCs w:val="24"/>
          <w:lang w:val="en-US"/>
        </w:rPr>
      </w:pPr>
    </w:p>
    <w:p w14:paraId="47E2E485" w14:textId="77777777" w:rsidR="007229A7" w:rsidRDefault="007229A7" w:rsidP="00A21487">
      <w:pPr>
        <w:rPr>
          <w:rFonts w:asciiTheme="majorBidi" w:hAnsiTheme="majorBidi" w:cstheme="majorBidi"/>
          <w:sz w:val="24"/>
          <w:szCs w:val="24"/>
          <w:lang w:val="en-US"/>
        </w:rPr>
      </w:pPr>
    </w:p>
    <w:p w14:paraId="6194EE2D" w14:textId="77777777" w:rsidR="007229A7" w:rsidRDefault="007229A7" w:rsidP="00A21487">
      <w:pPr>
        <w:rPr>
          <w:rFonts w:asciiTheme="majorBidi" w:hAnsiTheme="majorBidi" w:cstheme="majorBidi"/>
          <w:sz w:val="24"/>
          <w:szCs w:val="24"/>
          <w:lang w:val="en-US"/>
        </w:rPr>
      </w:pPr>
    </w:p>
    <w:p w14:paraId="02B0FC33" w14:textId="77777777" w:rsidR="007229A7" w:rsidRDefault="007229A7" w:rsidP="00A21487">
      <w:pPr>
        <w:rPr>
          <w:rFonts w:asciiTheme="majorBidi" w:hAnsiTheme="majorBidi" w:cstheme="majorBidi"/>
          <w:sz w:val="24"/>
          <w:szCs w:val="24"/>
          <w:lang w:val="en-US"/>
        </w:rPr>
      </w:pPr>
    </w:p>
    <w:p w14:paraId="43C4920B" w14:textId="77777777" w:rsidR="007229A7" w:rsidRDefault="007229A7" w:rsidP="00A21487">
      <w:pPr>
        <w:rPr>
          <w:rFonts w:asciiTheme="majorBidi" w:hAnsiTheme="majorBidi" w:cstheme="majorBidi"/>
          <w:sz w:val="24"/>
          <w:szCs w:val="24"/>
          <w:lang w:val="en-US"/>
        </w:rPr>
      </w:pPr>
    </w:p>
    <w:p w14:paraId="5965E8AC" w14:textId="77777777" w:rsidR="007229A7" w:rsidRDefault="007229A7" w:rsidP="00A21487">
      <w:pPr>
        <w:rPr>
          <w:rFonts w:asciiTheme="majorBidi" w:hAnsiTheme="majorBidi" w:cstheme="majorBidi"/>
          <w:sz w:val="24"/>
          <w:szCs w:val="24"/>
          <w:lang w:val="en-US"/>
        </w:rPr>
      </w:pPr>
    </w:p>
    <w:p w14:paraId="3A577C60" w14:textId="77777777" w:rsidR="007229A7" w:rsidRDefault="007229A7" w:rsidP="00A21487">
      <w:pPr>
        <w:rPr>
          <w:rFonts w:asciiTheme="majorBidi" w:hAnsiTheme="majorBidi" w:cstheme="majorBidi"/>
          <w:sz w:val="24"/>
          <w:szCs w:val="24"/>
          <w:lang w:val="en-US"/>
        </w:rPr>
      </w:pPr>
    </w:p>
    <w:p w14:paraId="6723324F" w14:textId="77777777" w:rsidR="007229A7" w:rsidRDefault="007229A7" w:rsidP="00A21487">
      <w:pPr>
        <w:rPr>
          <w:rFonts w:asciiTheme="majorBidi" w:hAnsiTheme="majorBidi" w:cstheme="majorBidi"/>
          <w:sz w:val="24"/>
          <w:szCs w:val="24"/>
          <w:lang w:val="en-US"/>
        </w:rPr>
      </w:pPr>
    </w:p>
    <w:p w14:paraId="62442C1D" w14:textId="77777777" w:rsidR="007229A7" w:rsidRDefault="007229A7" w:rsidP="00A21487">
      <w:pPr>
        <w:rPr>
          <w:rFonts w:asciiTheme="majorBidi" w:hAnsiTheme="majorBidi" w:cstheme="majorBidi"/>
          <w:sz w:val="24"/>
          <w:szCs w:val="24"/>
          <w:lang w:val="en-US"/>
        </w:rPr>
      </w:pPr>
    </w:p>
    <w:p w14:paraId="4F4A1937" w14:textId="77777777" w:rsidR="007229A7" w:rsidRDefault="007229A7" w:rsidP="00A21487">
      <w:pPr>
        <w:rPr>
          <w:rFonts w:asciiTheme="majorBidi" w:hAnsiTheme="majorBidi" w:cstheme="majorBidi"/>
          <w:sz w:val="24"/>
          <w:szCs w:val="24"/>
          <w:lang w:val="en-US"/>
        </w:rPr>
      </w:pPr>
    </w:p>
    <w:p w14:paraId="334C1EA6" w14:textId="77777777" w:rsidR="007229A7" w:rsidRDefault="007229A7" w:rsidP="00A21487">
      <w:pPr>
        <w:rPr>
          <w:rFonts w:asciiTheme="majorBidi" w:hAnsiTheme="majorBidi" w:cstheme="majorBidi"/>
          <w:sz w:val="24"/>
          <w:szCs w:val="24"/>
          <w:lang w:val="en-US"/>
        </w:rPr>
      </w:pPr>
    </w:p>
    <w:p w14:paraId="68756957" w14:textId="77777777" w:rsidR="007229A7" w:rsidRDefault="007229A7" w:rsidP="00A21487">
      <w:pPr>
        <w:rPr>
          <w:rFonts w:asciiTheme="majorBidi" w:hAnsiTheme="majorBidi" w:cstheme="majorBidi"/>
          <w:sz w:val="24"/>
          <w:szCs w:val="24"/>
          <w:lang w:val="en-US"/>
        </w:rPr>
      </w:pPr>
    </w:p>
    <w:p w14:paraId="59191EFA" w14:textId="77777777" w:rsidR="007229A7" w:rsidRDefault="007229A7" w:rsidP="00A21487">
      <w:pPr>
        <w:rPr>
          <w:rFonts w:asciiTheme="majorBidi" w:hAnsiTheme="majorBidi" w:cstheme="majorBidi"/>
          <w:sz w:val="24"/>
          <w:szCs w:val="24"/>
          <w:lang w:val="en-US"/>
        </w:rPr>
      </w:pPr>
    </w:p>
    <w:p w14:paraId="5659C0FF" w14:textId="77777777" w:rsidR="007229A7" w:rsidRDefault="007229A7" w:rsidP="00A21487">
      <w:pPr>
        <w:rPr>
          <w:rFonts w:asciiTheme="majorBidi" w:hAnsiTheme="majorBidi" w:cstheme="majorBidi"/>
          <w:sz w:val="24"/>
          <w:szCs w:val="24"/>
          <w:lang w:val="en-US"/>
        </w:rPr>
      </w:pPr>
    </w:p>
    <w:p w14:paraId="7B8B63C4" w14:textId="2CFB1AFC" w:rsidR="00A21487" w:rsidRPr="007D4DBC" w:rsidRDefault="00A21487" w:rsidP="00A21487">
      <w:pPr>
        <w:rPr>
          <w:rFonts w:asciiTheme="majorBidi" w:hAnsiTheme="majorBidi" w:cstheme="majorBidi"/>
          <w:b/>
          <w:bCs/>
          <w:sz w:val="24"/>
          <w:szCs w:val="24"/>
          <w:lang w:val="en-US"/>
        </w:rPr>
      </w:pPr>
      <w:r w:rsidRPr="007D4DBC">
        <w:rPr>
          <w:rFonts w:asciiTheme="majorBidi" w:hAnsiTheme="majorBidi" w:cstheme="majorBidi"/>
          <w:b/>
          <w:bCs/>
          <w:sz w:val="24"/>
          <w:szCs w:val="24"/>
          <w:lang w:val="en-US"/>
        </w:rPr>
        <w:t>Appendix 2. Definition of Major Adverse Cardiac Events (MACE).</w:t>
      </w:r>
    </w:p>
    <w:p w14:paraId="0573CFF3" w14:textId="38470F76" w:rsidR="00A21487" w:rsidRPr="00A21487" w:rsidRDefault="00A21487" w:rsidP="00A21487">
      <w:pPr>
        <w:rPr>
          <w:rFonts w:asciiTheme="majorBidi" w:hAnsiTheme="majorBidi" w:cstheme="majorBidi"/>
          <w:sz w:val="24"/>
          <w:szCs w:val="24"/>
          <w:lang w:val="en-US"/>
        </w:rPr>
      </w:pPr>
      <w:r w:rsidRPr="00A21487">
        <w:rPr>
          <w:rFonts w:asciiTheme="majorBidi" w:hAnsiTheme="majorBidi" w:cstheme="majorBidi"/>
          <w:sz w:val="24"/>
          <w:szCs w:val="24"/>
          <w:lang w:val="en-US"/>
        </w:rPr>
        <w:t xml:space="preserve">We defined major adverse cardiac events (MACE) as the occurrence of any of the following: </w:t>
      </w:r>
    </w:p>
    <w:p w14:paraId="46FD6043" w14:textId="77777777" w:rsidR="00A21487" w:rsidRPr="00A21487" w:rsidRDefault="00A21487" w:rsidP="00A21487">
      <w:pPr>
        <w:pStyle w:val="ListParagraph"/>
        <w:numPr>
          <w:ilvl w:val="0"/>
          <w:numId w:val="1"/>
        </w:numPr>
        <w:rPr>
          <w:rFonts w:asciiTheme="majorBidi" w:hAnsiTheme="majorBidi" w:cstheme="majorBidi"/>
          <w:lang w:val="en-US"/>
        </w:rPr>
      </w:pPr>
      <w:r w:rsidRPr="00A21487">
        <w:rPr>
          <w:rFonts w:asciiTheme="majorBidi" w:hAnsiTheme="majorBidi" w:cstheme="majorBidi"/>
        </w:rPr>
        <w:t>death or</w:t>
      </w:r>
      <w:r w:rsidRPr="00A21487">
        <w:rPr>
          <w:rFonts w:asciiTheme="majorBidi" w:hAnsiTheme="majorBidi" w:cstheme="majorBidi"/>
          <w:lang w:val="en-US"/>
        </w:rPr>
        <w:t>,</w:t>
      </w:r>
    </w:p>
    <w:p w14:paraId="0162D305" w14:textId="77777777" w:rsidR="00A21487" w:rsidRPr="00A21487" w:rsidRDefault="00A21487" w:rsidP="00A21487">
      <w:pPr>
        <w:pStyle w:val="ListParagraph"/>
        <w:numPr>
          <w:ilvl w:val="0"/>
          <w:numId w:val="1"/>
        </w:numPr>
        <w:rPr>
          <w:rFonts w:asciiTheme="majorBidi" w:hAnsiTheme="majorBidi" w:cstheme="majorBidi"/>
          <w:lang w:val="en-US"/>
        </w:rPr>
      </w:pPr>
      <w:r w:rsidRPr="00A21487">
        <w:rPr>
          <w:rFonts w:asciiTheme="majorBidi" w:hAnsiTheme="majorBidi" w:cstheme="majorBidi"/>
        </w:rPr>
        <w:t>hospitalization due to adverse events including</w:t>
      </w:r>
      <w:r w:rsidRPr="00A21487">
        <w:rPr>
          <w:rFonts w:asciiTheme="majorBidi" w:hAnsiTheme="majorBidi" w:cstheme="majorBidi"/>
          <w:lang w:val="en-US"/>
        </w:rPr>
        <w:t>:</w:t>
      </w:r>
      <w:r w:rsidRPr="00A21487">
        <w:rPr>
          <w:rFonts w:asciiTheme="majorBidi" w:hAnsiTheme="majorBidi" w:cstheme="majorBidi"/>
        </w:rPr>
        <w:t xml:space="preserve"> </w:t>
      </w:r>
    </w:p>
    <w:p w14:paraId="474610C7"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rPr>
        <w:t xml:space="preserve">worsening heart failure, </w:t>
      </w:r>
    </w:p>
    <w:p w14:paraId="65FE7157"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rPr>
        <w:t>ischemic heart disease,</w:t>
      </w:r>
      <w:r w:rsidRPr="00A21487">
        <w:rPr>
          <w:rFonts w:asciiTheme="majorBidi" w:hAnsiTheme="majorBidi" w:cstheme="majorBidi"/>
          <w:lang w:val="en-US"/>
        </w:rPr>
        <w:t xml:space="preserve"> </w:t>
      </w:r>
    </w:p>
    <w:p w14:paraId="6D4F141C"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lang w:val="en-US"/>
        </w:rPr>
        <w:t>cardiac arrest,</w:t>
      </w:r>
      <w:r w:rsidRPr="00A21487">
        <w:rPr>
          <w:rFonts w:asciiTheme="majorBidi" w:hAnsiTheme="majorBidi" w:cstheme="majorBidi"/>
        </w:rPr>
        <w:t xml:space="preserve"> </w:t>
      </w:r>
    </w:p>
    <w:p w14:paraId="0DC35988"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rPr>
        <w:t>arrhythmias (i.e., A-Fib, A-Flut, V-Fib, V-Tach, 3rd-degree block, and LBBB),</w:t>
      </w:r>
      <w:r w:rsidRPr="00A21487">
        <w:rPr>
          <w:rFonts w:asciiTheme="majorBidi" w:hAnsiTheme="majorBidi" w:cstheme="majorBidi"/>
          <w:lang w:val="en-US"/>
        </w:rPr>
        <w:t xml:space="preserve"> </w:t>
      </w:r>
    </w:p>
    <w:p w14:paraId="1A4E647D"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lang w:val="en-US"/>
        </w:rPr>
        <w:t xml:space="preserve">cardiogenic shock, </w:t>
      </w:r>
    </w:p>
    <w:p w14:paraId="4C71DE16"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rPr>
        <w:t xml:space="preserve">cardiac tamponade, </w:t>
      </w:r>
    </w:p>
    <w:p w14:paraId="4761C131"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rPr>
        <w:t>revascularization procedures</w:t>
      </w:r>
      <w:r w:rsidRPr="00A21487">
        <w:rPr>
          <w:rFonts w:asciiTheme="majorBidi" w:hAnsiTheme="majorBidi" w:cstheme="majorBidi"/>
          <w:lang w:val="en-US"/>
        </w:rPr>
        <w:t>,</w:t>
      </w:r>
      <w:r w:rsidRPr="00A21487">
        <w:rPr>
          <w:rFonts w:asciiTheme="majorBidi" w:hAnsiTheme="majorBidi" w:cstheme="majorBidi"/>
        </w:rPr>
        <w:t xml:space="preserve"> </w:t>
      </w:r>
    </w:p>
    <w:p w14:paraId="0C3D4E6B" w14:textId="77777777" w:rsidR="00A21487" w:rsidRPr="00A21487" w:rsidRDefault="00A21487" w:rsidP="00A21487">
      <w:pPr>
        <w:pStyle w:val="ListParagraph"/>
        <w:numPr>
          <w:ilvl w:val="1"/>
          <w:numId w:val="1"/>
        </w:numPr>
        <w:rPr>
          <w:rFonts w:asciiTheme="majorBidi" w:hAnsiTheme="majorBidi" w:cstheme="majorBidi"/>
          <w:lang w:val="en-US"/>
        </w:rPr>
      </w:pPr>
      <w:r w:rsidRPr="00A21487">
        <w:rPr>
          <w:rFonts w:asciiTheme="majorBidi" w:hAnsiTheme="majorBidi" w:cstheme="majorBidi"/>
        </w:rPr>
        <w:t>and ICD/CRT implantation/revision</w:t>
      </w:r>
    </w:p>
    <w:p w14:paraId="67798FE9" w14:textId="77777777" w:rsidR="00A21487" w:rsidRPr="00A21487" w:rsidRDefault="00A21487" w:rsidP="00A21487">
      <w:pPr>
        <w:rPr>
          <w:rFonts w:asciiTheme="majorBidi" w:hAnsiTheme="majorBidi" w:cstheme="majorBidi"/>
          <w:sz w:val="24"/>
          <w:szCs w:val="24"/>
          <w:lang w:val="en-US"/>
        </w:rPr>
      </w:pPr>
    </w:p>
    <w:p w14:paraId="1F65E290" w14:textId="33CBD019" w:rsidR="00A21487" w:rsidRPr="007D4DBC" w:rsidRDefault="00A21487" w:rsidP="00A21487">
      <w:pPr>
        <w:rPr>
          <w:rFonts w:asciiTheme="majorBidi" w:hAnsiTheme="majorBidi" w:cstheme="majorBidi"/>
          <w:b/>
          <w:bCs/>
          <w:sz w:val="24"/>
          <w:szCs w:val="24"/>
          <w:lang w:val="en-US"/>
        </w:rPr>
      </w:pPr>
      <w:r w:rsidRPr="007D4DBC">
        <w:rPr>
          <w:rFonts w:asciiTheme="majorBidi" w:hAnsiTheme="majorBidi" w:cstheme="majorBidi"/>
          <w:b/>
          <w:bCs/>
          <w:sz w:val="24"/>
          <w:szCs w:val="24"/>
          <w:lang w:val="en-US"/>
        </w:rPr>
        <w:t>Appendix 3. Analysis protocol.</w:t>
      </w:r>
    </w:p>
    <w:p w14:paraId="22B16BE8" w14:textId="77777777" w:rsidR="00A21487" w:rsidRPr="00A21487" w:rsidRDefault="00A21487" w:rsidP="00A21487">
      <w:pPr>
        <w:rPr>
          <w:rFonts w:asciiTheme="majorBidi" w:hAnsiTheme="majorBidi" w:cstheme="majorBidi"/>
          <w:sz w:val="24"/>
          <w:szCs w:val="24"/>
          <w:lang w:val="en-US"/>
        </w:rPr>
      </w:pPr>
      <w:r w:rsidRPr="00A21487">
        <w:rPr>
          <w:rFonts w:asciiTheme="majorBidi" w:hAnsiTheme="majorBidi" w:cstheme="majorBidi"/>
          <w:sz w:val="24"/>
          <w:szCs w:val="24"/>
          <w:lang w:val="en-US"/>
        </w:rPr>
        <w:t>This meta-analysis strictly follows the guidelines of the Cochrane Handbook for Systematic Reviews of Interventions.</w:t>
      </w:r>
    </w:p>
    <w:p w14:paraId="0B856299" w14:textId="77777777" w:rsidR="00A21487" w:rsidRPr="00A21487" w:rsidRDefault="00A21487" w:rsidP="00A21487">
      <w:pPr>
        <w:rPr>
          <w:rFonts w:asciiTheme="majorBidi" w:hAnsiTheme="majorBidi" w:cstheme="majorBidi"/>
          <w:sz w:val="24"/>
          <w:szCs w:val="24"/>
          <w:lang w:val="en-US"/>
        </w:rPr>
      </w:pPr>
    </w:p>
    <w:p w14:paraId="17244DB8" w14:textId="77777777" w:rsidR="00A21487" w:rsidRPr="00A21487" w:rsidRDefault="00A21487" w:rsidP="00A21487">
      <w:pPr>
        <w:rPr>
          <w:rFonts w:asciiTheme="majorBidi" w:eastAsia="Book Antiqua" w:hAnsiTheme="majorBidi" w:cstheme="majorBidi"/>
          <w:color w:val="000000" w:themeColor="text1"/>
          <w:sz w:val="24"/>
          <w:szCs w:val="24"/>
        </w:rPr>
      </w:pPr>
      <w:r w:rsidRPr="00A21487">
        <w:rPr>
          <w:rFonts w:asciiTheme="majorBidi" w:hAnsiTheme="majorBidi" w:cstheme="majorBidi"/>
          <w:sz w:val="24"/>
          <w:szCs w:val="24"/>
          <w:lang w:val="en-US"/>
        </w:rPr>
        <w:t xml:space="preserve">The analysis was conducted using </w:t>
      </w:r>
      <w:r w:rsidRPr="00A21487">
        <w:rPr>
          <w:rFonts w:asciiTheme="majorBidi" w:eastAsia="Book Antiqua" w:hAnsiTheme="majorBidi" w:cstheme="majorBidi"/>
          <w:color w:val="000000" w:themeColor="text1"/>
          <w:sz w:val="24"/>
          <w:szCs w:val="24"/>
        </w:rPr>
        <w:t>the statistical package of SPSS version 28 (SPSS Inc., Chicago, IL, USA).</w:t>
      </w:r>
    </w:p>
    <w:p w14:paraId="66C63FEB" w14:textId="77777777" w:rsidR="00A21487" w:rsidRPr="00A21487" w:rsidRDefault="00A21487" w:rsidP="00A21487">
      <w:pPr>
        <w:rPr>
          <w:rFonts w:asciiTheme="majorBidi" w:eastAsia="Book Antiqua" w:hAnsiTheme="majorBidi" w:cstheme="majorBidi"/>
          <w:color w:val="000000" w:themeColor="text1"/>
          <w:sz w:val="24"/>
          <w:szCs w:val="24"/>
        </w:rPr>
      </w:pPr>
    </w:p>
    <w:p w14:paraId="2E9D1D62" w14:textId="4BBD2F49" w:rsidR="00A21487" w:rsidRPr="007D4DBC" w:rsidRDefault="00A21487" w:rsidP="00A21487">
      <w:pPr>
        <w:rPr>
          <w:rFonts w:asciiTheme="majorBidi" w:eastAsia="Book Antiqua" w:hAnsiTheme="majorBidi" w:cstheme="majorBidi"/>
          <w:b/>
          <w:bCs/>
          <w:color w:val="000000" w:themeColor="text1"/>
          <w:sz w:val="24"/>
          <w:szCs w:val="24"/>
          <w:lang w:val="en-US"/>
        </w:rPr>
      </w:pPr>
      <w:r w:rsidRPr="007D4DBC">
        <w:rPr>
          <w:rFonts w:asciiTheme="majorBidi" w:eastAsia="Book Antiqua" w:hAnsiTheme="majorBidi" w:cstheme="majorBidi"/>
          <w:b/>
          <w:bCs/>
          <w:color w:val="000000" w:themeColor="text1"/>
          <w:sz w:val="24"/>
          <w:szCs w:val="24"/>
          <w:lang w:val="en-US"/>
        </w:rPr>
        <w:t>The protocol for the analysis will be as follows:</w:t>
      </w:r>
    </w:p>
    <w:p w14:paraId="5C7D09D3" w14:textId="77777777" w:rsidR="00A21487" w:rsidRPr="00A21487" w:rsidRDefault="00A21487" w:rsidP="00A21487">
      <w:pPr>
        <w:pStyle w:val="ListParagraph"/>
        <w:numPr>
          <w:ilvl w:val="0"/>
          <w:numId w:val="2"/>
        </w:numPr>
        <w:jc w:val="both"/>
        <w:rPr>
          <w:rFonts w:asciiTheme="majorBidi" w:hAnsiTheme="majorBidi" w:cstheme="majorBidi"/>
          <w:lang w:val="en-US"/>
        </w:rPr>
      </w:pPr>
      <w:r w:rsidRPr="00A21487">
        <w:rPr>
          <w:rFonts w:asciiTheme="majorBidi" w:hAnsiTheme="majorBidi" w:cstheme="majorBidi"/>
          <w:lang w:val="en-US"/>
        </w:rPr>
        <w:t>Data needed for the analysis were extracted and plotted in (Data Table 1). All the available data from the papers and their supplementary material were extracted.</w:t>
      </w:r>
    </w:p>
    <w:p w14:paraId="43EEB998" w14:textId="77777777" w:rsidR="00A21487" w:rsidRPr="00A21487" w:rsidRDefault="00A21487" w:rsidP="00A21487">
      <w:pPr>
        <w:pStyle w:val="ListParagraph"/>
        <w:jc w:val="both"/>
        <w:rPr>
          <w:rFonts w:asciiTheme="majorBidi" w:hAnsiTheme="majorBidi" w:cstheme="majorBidi"/>
          <w:lang w:val="en-US"/>
        </w:rPr>
      </w:pPr>
    </w:p>
    <w:p w14:paraId="3852E32C" w14:textId="77777777" w:rsidR="00A21487" w:rsidRPr="00A21487" w:rsidRDefault="00A21487" w:rsidP="00A21487">
      <w:pPr>
        <w:pStyle w:val="ListParagraph"/>
        <w:numPr>
          <w:ilvl w:val="0"/>
          <w:numId w:val="2"/>
        </w:numPr>
        <w:jc w:val="both"/>
        <w:rPr>
          <w:rFonts w:asciiTheme="majorBidi" w:hAnsiTheme="majorBidi" w:cstheme="majorBidi"/>
          <w:lang w:val="en-US"/>
        </w:rPr>
      </w:pPr>
      <w:r w:rsidRPr="00A21487">
        <w:rPr>
          <w:rFonts w:asciiTheme="majorBidi" w:hAnsiTheme="majorBidi" w:cstheme="majorBidi"/>
          <w:lang w:val="en-US"/>
        </w:rPr>
        <w:t>The corresponding authors of papers that did not provide the needed data in the original article or the supplementary material were contacted to provide the data. Reminders were sent in case the authors forgot to respond.</w:t>
      </w:r>
    </w:p>
    <w:p w14:paraId="5EE1D87D" w14:textId="77777777" w:rsidR="00A21487" w:rsidRPr="00A21487" w:rsidRDefault="00A21487" w:rsidP="00A21487">
      <w:pPr>
        <w:jc w:val="both"/>
        <w:rPr>
          <w:rFonts w:asciiTheme="majorBidi" w:hAnsiTheme="majorBidi" w:cstheme="majorBidi"/>
          <w:sz w:val="24"/>
          <w:szCs w:val="24"/>
          <w:lang w:val="en-US"/>
        </w:rPr>
      </w:pPr>
    </w:p>
    <w:p w14:paraId="193B1485" w14:textId="38BDBEE0" w:rsidR="00A21487" w:rsidRPr="00A21487" w:rsidRDefault="00A21487" w:rsidP="00A21487">
      <w:pPr>
        <w:pStyle w:val="ListParagraph"/>
        <w:numPr>
          <w:ilvl w:val="0"/>
          <w:numId w:val="2"/>
        </w:numPr>
        <w:jc w:val="both"/>
        <w:rPr>
          <w:rFonts w:asciiTheme="majorBidi" w:hAnsiTheme="majorBidi" w:cstheme="majorBidi"/>
          <w:lang w:val="en-US"/>
        </w:rPr>
      </w:pPr>
      <w:r w:rsidRPr="00A21487">
        <w:rPr>
          <w:rFonts w:asciiTheme="majorBidi" w:hAnsiTheme="majorBidi" w:cstheme="majorBidi"/>
          <w:lang w:val="en-US"/>
        </w:rPr>
        <w:t>In case the corresponding authors did not respond, data feasible for imputation were imputed following the Cochrane Handbook for Systematic Reviews of Interventions guidelines.</w:t>
      </w:r>
      <w:r w:rsidR="00F67CCB">
        <w:rPr>
          <w:rFonts w:asciiTheme="majorBidi" w:hAnsiTheme="majorBidi" w:cstheme="majorBidi"/>
          <w:lang w:val="en-US"/>
        </w:rPr>
        <w:t xml:space="preserve"> However, one-step imputation was followed to avoid inaccurate weighting, meaning that if data needed to be imputed multiple times to produce the data needed, they were not included in the analysis.</w:t>
      </w:r>
    </w:p>
    <w:p w14:paraId="0A8EF561" w14:textId="77777777" w:rsidR="00A21487" w:rsidRPr="00A21487" w:rsidRDefault="00A21487" w:rsidP="00A21487">
      <w:pPr>
        <w:jc w:val="both"/>
        <w:rPr>
          <w:rFonts w:asciiTheme="majorBidi" w:hAnsiTheme="majorBidi" w:cstheme="majorBidi"/>
          <w:sz w:val="24"/>
          <w:szCs w:val="24"/>
          <w:lang w:val="en-US"/>
        </w:rPr>
      </w:pPr>
    </w:p>
    <w:p w14:paraId="29685385" w14:textId="77777777" w:rsidR="00A21487" w:rsidRPr="00A21487" w:rsidRDefault="00A21487" w:rsidP="00A21487">
      <w:pPr>
        <w:pStyle w:val="ListParagraph"/>
        <w:numPr>
          <w:ilvl w:val="0"/>
          <w:numId w:val="2"/>
        </w:numPr>
        <w:jc w:val="both"/>
        <w:rPr>
          <w:rFonts w:asciiTheme="majorBidi" w:hAnsiTheme="majorBidi" w:cstheme="majorBidi"/>
          <w:lang w:val="en-US"/>
        </w:rPr>
      </w:pPr>
      <w:r w:rsidRPr="00A21487">
        <w:rPr>
          <w:rFonts w:asciiTheme="majorBidi" w:hAnsiTheme="majorBidi" w:cstheme="majorBidi"/>
          <w:lang w:val="en-US"/>
        </w:rPr>
        <w:t>If data needed to impute values were not available, the study was excluded from the respective analysis.</w:t>
      </w:r>
    </w:p>
    <w:p w14:paraId="2258E185" w14:textId="77777777" w:rsidR="00A21487" w:rsidRPr="00A21487" w:rsidRDefault="00A21487" w:rsidP="00A21487">
      <w:pPr>
        <w:jc w:val="both"/>
        <w:rPr>
          <w:rFonts w:asciiTheme="majorBidi" w:hAnsiTheme="majorBidi" w:cstheme="majorBidi"/>
          <w:sz w:val="24"/>
          <w:szCs w:val="24"/>
          <w:lang w:val="en-US"/>
        </w:rPr>
      </w:pPr>
    </w:p>
    <w:p w14:paraId="46D07ABE" w14:textId="77777777" w:rsidR="00A21487" w:rsidRDefault="00A21487" w:rsidP="00A21487">
      <w:pPr>
        <w:pStyle w:val="ListParagraph"/>
        <w:numPr>
          <w:ilvl w:val="0"/>
          <w:numId w:val="2"/>
        </w:numPr>
        <w:jc w:val="both"/>
        <w:rPr>
          <w:rFonts w:asciiTheme="majorBidi" w:hAnsiTheme="majorBidi" w:cstheme="majorBidi"/>
          <w:lang w:val="en-US"/>
        </w:rPr>
      </w:pPr>
      <w:r w:rsidRPr="00A21487">
        <w:rPr>
          <w:rFonts w:asciiTheme="majorBidi" w:hAnsiTheme="majorBidi" w:cstheme="majorBidi"/>
          <w:lang w:val="en-US"/>
        </w:rPr>
        <w:lastRenderedPageBreak/>
        <w:t xml:space="preserve">In case authors presented the data in figure form instead of text or tables, corresponding authors were first contacted, and in case of no response, the </w:t>
      </w:r>
      <w:proofErr w:type="spellStart"/>
      <w:r w:rsidRPr="00A21487">
        <w:rPr>
          <w:rFonts w:asciiTheme="majorBidi" w:hAnsiTheme="majorBidi" w:cstheme="majorBidi"/>
          <w:lang w:val="en-US"/>
        </w:rPr>
        <w:t>webplotdigitizer</w:t>
      </w:r>
      <w:proofErr w:type="spellEnd"/>
      <w:r w:rsidRPr="00A21487">
        <w:rPr>
          <w:rFonts w:asciiTheme="majorBidi" w:hAnsiTheme="majorBidi" w:cstheme="majorBidi"/>
          <w:lang w:val="en-US"/>
        </w:rPr>
        <w:t xml:space="preserve"> (</w:t>
      </w:r>
      <w:hyperlink r:id="rId32" w:history="1">
        <w:r w:rsidRPr="00A21487">
          <w:rPr>
            <w:rStyle w:val="Hyperlink"/>
            <w:rFonts w:asciiTheme="majorBidi" w:hAnsiTheme="majorBidi" w:cstheme="majorBidi"/>
            <w:lang w:val="en-US"/>
          </w:rPr>
          <w:t>https://automeris.io/WebPlotDigitizer/</w:t>
        </w:r>
      </w:hyperlink>
      <w:r w:rsidRPr="00A21487">
        <w:rPr>
          <w:rFonts w:asciiTheme="majorBidi" w:hAnsiTheme="majorBidi" w:cstheme="majorBidi"/>
          <w:lang w:val="en-US"/>
        </w:rPr>
        <w:t>) was used to extract the data, only if the figure offered the final data needed in complete form (</w:t>
      </w:r>
      <w:proofErr w:type="spellStart"/>
      <w:r w:rsidRPr="00A21487">
        <w:rPr>
          <w:rFonts w:asciiTheme="majorBidi" w:hAnsiTheme="majorBidi" w:cstheme="majorBidi"/>
          <w:lang w:val="en-US"/>
        </w:rPr>
        <w:t>i.e</w:t>
      </w:r>
      <w:proofErr w:type="spellEnd"/>
      <w:r w:rsidRPr="00A21487">
        <w:rPr>
          <w:rFonts w:asciiTheme="majorBidi" w:hAnsiTheme="majorBidi" w:cstheme="majorBidi"/>
          <w:lang w:val="en-US"/>
        </w:rPr>
        <w:t xml:space="preserve">, mean difference </w:t>
      </w:r>
      <w:r w:rsidRPr="00A21487">
        <w:rPr>
          <w:rFonts w:asciiTheme="majorBidi" w:hAnsiTheme="majorBidi" w:cstheme="majorBidi"/>
          <w:lang w:val="en-US"/>
        </w:rPr>
        <w:sym w:font="Symbol" w:char="F0B1"/>
      </w:r>
      <w:r w:rsidRPr="00A21487">
        <w:rPr>
          <w:rFonts w:asciiTheme="majorBidi" w:hAnsiTheme="majorBidi" w:cstheme="majorBidi"/>
          <w:lang w:val="en-US"/>
        </w:rPr>
        <w:t xml:space="preserve"> standard deviation). If data was in a form that requires further imputation, the study was excluded from the respective analysis.</w:t>
      </w:r>
    </w:p>
    <w:p w14:paraId="625B7CCD" w14:textId="77777777" w:rsidR="00F67CCB" w:rsidRPr="00F67CCB" w:rsidRDefault="00F67CCB" w:rsidP="00F67CCB">
      <w:pPr>
        <w:pStyle w:val="ListParagraph"/>
        <w:rPr>
          <w:rFonts w:asciiTheme="majorBidi" w:hAnsiTheme="majorBidi" w:cstheme="majorBidi"/>
          <w:lang w:val="en-US"/>
        </w:rPr>
      </w:pPr>
    </w:p>
    <w:p w14:paraId="4701932E" w14:textId="6C78A8A1" w:rsidR="00A21487" w:rsidRDefault="00F67CCB" w:rsidP="00A21487">
      <w:pPr>
        <w:pStyle w:val="ListParagraph"/>
        <w:numPr>
          <w:ilvl w:val="0"/>
          <w:numId w:val="2"/>
        </w:numPr>
        <w:jc w:val="both"/>
        <w:rPr>
          <w:rFonts w:asciiTheme="majorBidi" w:hAnsiTheme="majorBidi" w:cstheme="majorBidi"/>
          <w:lang w:val="en-US"/>
        </w:rPr>
      </w:pPr>
      <w:r>
        <w:rPr>
          <w:rFonts w:asciiTheme="majorBidi" w:hAnsiTheme="majorBidi" w:cstheme="majorBidi"/>
          <w:lang w:val="en-US"/>
        </w:rPr>
        <w:t>Low quality studies were excluded from the analysis to avoid bias.</w:t>
      </w:r>
    </w:p>
    <w:p w14:paraId="1A6DDB36" w14:textId="77777777" w:rsidR="007D4DBC" w:rsidRPr="007D4DBC" w:rsidRDefault="007D4DBC" w:rsidP="007D4DBC">
      <w:pPr>
        <w:pStyle w:val="ListParagraph"/>
        <w:rPr>
          <w:rFonts w:asciiTheme="majorBidi" w:hAnsiTheme="majorBidi" w:cstheme="majorBidi"/>
          <w:lang w:val="en-US"/>
        </w:rPr>
      </w:pPr>
    </w:p>
    <w:p w14:paraId="111980C6" w14:textId="77777777" w:rsidR="007D4DBC" w:rsidRPr="007D4DBC" w:rsidRDefault="007D4DBC" w:rsidP="007D4DBC">
      <w:pPr>
        <w:pStyle w:val="ListParagraph"/>
        <w:jc w:val="both"/>
        <w:rPr>
          <w:rFonts w:asciiTheme="majorBidi" w:hAnsiTheme="majorBidi" w:cstheme="majorBidi"/>
          <w:lang w:val="en-US"/>
        </w:rPr>
      </w:pPr>
    </w:p>
    <w:p w14:paraId="2278227B" w14:textId="77777777" w:rsidR="00A21487" w:rsidRPr="00A21487" w:rsidRDefault="00A21487" w:rsidP="00A21487">
      <w:pPr>
        <w:pStyle w:val="ListParagraph"/>
        <w:numPr>
          <w:ilvl w:val="0"/>
          <w:numId w:val="2"/>
        </w:numPr>
        <w:jc w:val="both"/>
        <w:rPr>
          <w:rFonts w:asciiTheme="majorBidi" w:hAnsiTheme="majorBidi" w:cstheme="majorBidi"/>
          <w:lang w:val="en-US"/>
        </w:rPr>
      </w:pPr>
      <w:r w:rsidRPr="00A21487">
        <w:rPr>
          <w:rFonts w:asciiTheme="majorBidi" w:hAnsiTheme="majorBidi" w:cstheme="majorBidi"/>
          <w:lang w:val="en-US"/>
        </w:rPr>
        <w:t>An unstandardized mean difference meta-analysis using a restricted maximum likelihood inference with the intention to treat protocol.</w:t>
      </w:r>
    </w:p>
    <w:p w14:paraId="4C580F9B" w14:textId="77777777" w:rsidR="00CA2263" w:rsidRDefault="00CA2263" w:rsidP="00A21487">
      <w:pPr>
        <w:jc w:val="both"/>
        <w:rPr>
          <w:rFonts w:asciiTheme="majorBidi" w:hAnsiTheme="majorBidi" w:cstheme="majorBidi"/>
          <w:sz w:val="24"/>
          <w:szCs w:val="24"/>
          <w:lang w:val="en-US"/>
        </w:rPr>
      </w:pPr>
    </w:p>
    <w:p w14:paraId="3BE433AF" w14:textId="485B4D64" w:rsidR="00A21487" w:rsidRPr="007D4DBC" w:rsidRDefault="00A21487" w:rsidP="00A21487">
      <w:pPr>
        <w:jc w:val="both"/>
        <w:rPr>
          <w:rFonts w:asciiTheme="majorBidi" w:hAnsiTheme="majorBidi" w:cstheme="majorBidi"/>
          <w:b/>
          <w:bCs/>
          <w:sz w:val="24"/>
          <w:szCs w:val="24"/>
          <w:lang w:val="en-US"/>
        </w:rPr>
      </w:pPr>
      <w:r w:rsidRPr="007D4DBC">
        <w:rPr>
          <w:rFonts w:asciiTheme="majorBidi" w:hAnsiTheme="majorBidi" w:cstheme="majorBidi"/>
          <w:b/>
          <w:bCs/>
          <w:sz w:val="24"/>
          <w:szCs w:val="24"/>
          <w:lang w:val="en-US"/>
        </w:rPr>
        <w:t>Left Ventricular Ejection Fraction (LVEF) analysis:</w:t>
      </w:r>
    </w:p>
    <w:p w14:paraId="3C9F8D60" w14:textId="77777777" w:rsidR="00A21487" w:rsidRPr="00A21487" w:rsidRDefault="00A21487" w:rsidP="00A21487">
      <w:pPr>
        <w:pStyle w:val="ListParagraph"/>
        <w:numPr>
          <w:ilvl w:val="0"/>
          <w:numId w:val="3"/>
        </w:numPr>
        <w:jc w:val="both"/>
        <w:rPr>
          <w:rFonts w:asciiTheme="majorBidi" w:hAnsiTheme="majorBidi" w:cstheme="majorBidi"/>
          <w:lang w:val="en-US"/>
        </w:rPr>
      </w:pPr>
      <w:r w:rsidRPr="00A21487">
        <w:rPr>
          <w:rFonts w:asciiTheme="majorBidi" w:hAnsiTheme="majorBidi" w:cstheme="majorBidi"/>
          <w:lang w:val="en-US"/>
        </w:rPr>
        <w:t xml:space="preserve">The MSC-HFT, Perin et al., Athena, RIMECARD, TAC-HFT, CONCERT-HF, SCIENCE and DREAM-HF trials provided all the data needed in the form of mean difference </w:t>
      </w:r>
      <w:r w:rsidRPr="00A21487">
        <w:rPr>
          <w:rFonts w:asciiTheme="majorBidi" w:hAnsiTheme="majorBidi" w:cstheme="majorBidi"/>
          <w:lang w:val="en-US"/>
        </w:rPr>
        <w:sym w:font="Symbol" w:char="F0B1"/>
      </w:r>
      <w:r w:rsidRPr="00A21487">
        <w:rPr>
          <w:rFonts w:asciiTheme="majorBidi" w:hAnsiTheme="majorBidi" w:cstheme="majorBidi"/>
          <w:lang w:val="en-US"/>
        </w:rPr>
        <w:t xml:space="preserve"> standard deviation.</w:t>
      </w:r>
    </w:p>
    <w:p w14:paraId="4FFF7CAF" w14:textId="77777777" w:rsidR="00A21487" w:rsidRPr="00A21487" w:rsidRDefault="00A21487" w:rsidP="00A21487">
      <w:pPr>
        <w:pStyle w:val="ListParagraph"/>
        <w:jc w:val="both"/>
        <w:rPr>
          <w:rFonts w:asciiTheme="majorBidi" w:hAnsiTheme="majorBidi" w:cstheme="majorBidi"/>
          <w:lang w:val="en-US"/>
        </w:rPr>
      </w:pPr>
    </w:p>
    <w:p w14:paraId="175F1321" w14:textId="77777777" w:rsidR="00A21487" w:rsidRPr="00A21487" w:rsidRDefault="00A21487" w:rsidP="00A21487">
      <w:pPr>
        <w:pStyle w:val="ListParagraph"/>
        <w:numPr>
          <w:ilvl w:val="0"/>
          <w:numId w:val="3"/>
        </w:numPr>
        <w:jc w:val="both"/>
        <w:rPr>
          <w:rFonts w:asciiTheme="majorBidi" w:hAnsiTheme="majorBidi" w:cstheme="majorBidi"/>
          <w:lang w:val="en-US"/>
        </w:rPr>
      </w:pPr>
      <w:r w:rsidRPr="00A21487">
        <w:rPr>
          <w:rFonts w:asciiTheme="majorBidi" w:hAnsiTheme="majorBidi" w:cstheme="majorBidi"/>
          <w:lang w:val="en-US"/>
        </w:rPr>
        <w:t>Butler et al. provided the mean difference without its standard deviation. The corresponding authors were contacted with no response. The standard deviation was calculated as demonstrated in the Cochrane Handbook for Systematic Reviews of Interventions, section 6.5.2.3 (</w:t>
      </w:r>
      <w:hyperlink r:id="rId33" w:anchor="section-6-5-2-3" w:history="1">
        <w:r w:rsidRPr="00A21487">
          <w:rPr>
            <w:rStyle w:val="Hyperlink"/>
            <w:rFonts w:asciiTheme="majorBidi" w:hAnsiTheme="majorBidi" w:cstheme="majorBidi"/>
            <w:lang w:val="en-US"/>
          </w:rPr>
          <w:t>https://training.cochrane.org/handbook/current/chapter-06#section-6-5-2-3</w:t>
        </w:r>
      </w:hyperlink>
      <w:r w:rsidRPr="00A21487">
        <w:rPr>
          <w:rFonts w:asciiTheme="majorBidi" w:hAnsiTheme="majorBidi" w:cstheme="majorBidi"/>
          <w:lang w:val="en-US"/>
        </w:rPr>
        <w:t>)</w:t>
      </w:r>
    </w:p>
    <w:p w14:paraId="356D8C64" w14:textId="77777777" w:rsidR="00A21487" w:rsidRPr="00A21487" w:rsidRDefault="00A21487" w:rsidP="00A21487">
      <w:pPr>
        <w:pStyle w:val="ListParagraph"/>
        <w:rPr>
          <w:rFonts w:asciiTheme="majorBidi" w:hAnsiTheme="majorBidi" w:cstheme="majorBidi"/>
          <w:lang w:val="en-US"/>
        </w:rPr>
      </w:pPr>
    </w:p>
    <w:p w14:paraId="46AFA308" w14:textId="77777777" w:rsidR="00A21487" w:rsidRPr="00A21487" w:rsidRDefault="00A21487" w:rsidP="00A21487">
      <w:pPr>
        <w:pStyle w:val="ListParagraph"/>
        <w:numPr>
          <w:ilvl w:val="0"/>
          <w:numId w:val="3"/>
        </w:numPr>
        <w:jc w:val="both"/>
        <w:rPr>
          <w:rFonts w:asciiTheme="majorBidi" w:hAnsiTheme="majorBidi" w:cstheme="majorBidi"/>
          <w:lang w:val="en-US"/>
        </w:rPr>
      </w:pPr>
      <w:r w:rsidRPr="00A21487">
        <w:rPr>
          <w:rFonts w:asciiTheme="majorBidi" w:hAnsiTheme="majorBidi" w:cstheme="majorBidi"/>
          <w:lang w:val="en-US"/>
        </w:rPr>
        <w:t xml:space="preserve">The Danish Phase II trial offered the mean difference and standard deviation in a figure form. The corresponding authors were contacted with no response. the </w:t>
      </w:r>
      <w:proofErr w:type="spellStart"/>
      <w:r w:rsidRPr="00A21487">
        <w:rPr>
          <w:rFonts w:asciiTheme="majorBidi" w:hAnsiTheme="majorBidi" w:cstheme="majorBidi"/>
          <w:lang w:val="en-US"/>
        </w:rPr>
        <w:t>webplotdigitizer</w:t>
      </w:r>
      <w:proofErr w:type="spellEnd"/>
      <w:r w:rsidRPr="00A21487">
        <w:rPr>
          <w:rFonts w:asciiTheme="majorBidi" w:hAnsiTheme="majorBidi" w:cstheme="majorBidi"/>
          <w:lang w:val="en-US"/>
        </w:rPr>
        <w:t xml:space="preserve"> was used to extract the data. </w:t>
      </w:r>
    </w:p>
    <w:p w14:paraId="5B0E476A" w14:textId="77777777" w:rsidR="00A21487" w:rsidRPr="00A21487" w:rsidRDefault="00A21487" w:rsidP="00A21487">
      <w:pPr>
        <w:pStyle w:val="ListParagraph"/>
        <w:rPr>
          <w:rFonts w:asciiTheme="majorBidi" w:hAnsiTheme="majorBidi" w:cstheme="majorBidi"/>
          <w:lang w:val="en-US"/>
        </w:rPr>
      </w:pPr>
    </w:p>
    <w:p w14:paraId="4DD6A1B9" w14:textId="44320A7A" w:rsidR="00A21487" w:rsidRPr="00A21487" w:rsidRDefault="00A21487" w:rsidP="00A21487">
      <w:pPr>
        <w:pStyle w:val="ListParagraph"/>
        <w:numPr>
          <w:ilvl w:val="0"/>
          <w:numId w:val="3"/>
        </w:numPr>
        <w:jc w:val="both"/>
        <w:rPr>
          <w:rFonts w:asciiTheme="majorBidi" w:hAnsiTheme="majorBidi" w:cstheme="majorBidi"/>
          <w:lang w:val="en-US"/>
        </w:rPr>
      </w:pPr>
      <w:r w:rsidRPr="00A21487">
        <w:rPr>
          <w:rFonts w:asciiTheme="majorBidi" w:hAnsiTheme="majorBidi" w:cstheme="majorBidi"/>
          <w:lang w:val="en-US"/>
        </w:rPr>
        <w:t>Xiao et al.</w:t>
      </w:r>
      <w:r>
        <w:rPr>
          <w:rFonts w:asciiTheme="majorBidi" w:hAnsiTheme="majorBidi" w:cstheme="majorBidi"/>
          <w:lang w:val="en-US"/>
        </w:rPr>
        <w:t xml:space="preserve"> and Zhao et al.</w:t>
      </w:r>
      <w:r w:rsidRPr="00A21487">
        <w:rPr>
          <w:rFonts w:asciiTheme="majorBidi" w:hAnsiTheme="majorBidi" w:cstheme="majorBidi"/>
          <w:lang w:val="en-US"/>
        </w:rPr>
        <w:t xml:space="preserve"> provided the mean difference without its standard deviation. The corresponding authors were contacted with no response. The standard deviation was calculated as demonstrated in the Cochrane Handbook for Systematic Reviews of Interventions, section 6.5.2.8 (</w:t>
      </w:r>
      <w:hyperlink r:id="rId34" w:anchor="section-6-5-2-8" w:history="1">
        <w:r w:rsidRPr="00A21487">
          <w:rPr>
            <w:rStyle w:val="Hyperlink"/>
            <w:rFonts w:asciiTheme="majorBidi" w:hAnsiTheme="majorBidi" w:cstheme="majorBidi"/>
            <w:lang w:val="en-US"/>
          </w:rPr>
          <w:t>https://training.cochrane.org/handbook/current/chapter-06#section-6-5-2-8</w:t>
        </w:r>
      </w:hyperlink>
      <w:r w:rsidRPr="00A21487">
        <w:rPr>
          <w:rFonts w:asciiTheme="majorBidi" w:hAnsiTheme="majorBidi" w:cstheme="majorBidi"/>
          <w:lang w:val="en-US"/>
        </w:rPr>
        <w:t>). However, the study was not included due to low quality.</w:t>
      </w:r>
    </w:p>
    <w:p w14:paraId="3E07057B" w14:textId="77777777" w:rsidR="00A21487" w:rsidRPr="00A21487" w:rsidRDefault="00A21487" w:rsidP="00A21487">
      <w:pPr>
        <w:pStyle w:val="ListParagraph"/>
        <w:rPr>
          <w:rFonts w:asciiTheme="majorBidi" w:hAnsiTheme="majorBidi" w:cstheme="majorBidi"/>
          <w:lang w:val="en-US"/>
        </w:rPr>
      </w:pPr>
    </w:p>
    <w:p w14:paraId="2E6A2044" w14:textId="77777777" w:rsidR="00A21487" w:rsidRDefault="00A21487" w:rsidP="00A21487">
      <w:pPr>
        <w:jc w:val="both"/>
        <w:rPr>
          <w:rFonts w:asciiTheme="majorBidi" w:hAnsiTheme="majorBidi" w:cstheme="majorBidi"/>
          <w:sz w:val="24"/>
          <w:szCs w:val="24"/>
          <w:lang w:val="en-US"/>
        </w:rPr>
      </w:pPr>
    </w:p>
    <w:p w14:paraId="12C5D646" w14:textId="77777777" w:rsidR="007D4DBC" w:rsidRDefault="007D4DBC" w:rsidP="00A21487">
      <w:pPr>
        <w:jc w:val="both"/>
        <w:rPr>
          <w:rFonts w:asciiTheme="majorBidi" w:hAnsiTheme="majorBidi" w:cstheme="majorBidi"/>
          <w:sz w:val="24"/>
          <w:szCs w:val="24"/>
          <w:lang w:val="en-US"/>
        </w:rPr>
      </w:pPr>
    </w:p>
    <w:p w14:paraId="5C900F1D" w14:textId="77777777" w:rsidR="007D4DBC" w:rsidRPr="00A21487" w:rsidRDefault="007D4DBC" w:rsidP="00A21487">
      <w:pPr>
        <w:jc w:val="both"/>
        <w:rPr>
          <w:rFonts w:asciiTheme="majorBidi" w:hAnsiTheme="majorBidi" w:cstheme="majorBidi"/>
          <w:sz w:val="24"/>
          <w:szCs w:val="24"/>
          <w:lang w:val="en-US"/>
        </w:rPr>
      </w:pPr>
    </w:p>
    <w:p w14:paraId="3864AFB7" w14:textId="77777777" w:rsidR="00A21487" w:rsidRPr="00A21487" w:rsidRDefault="00A21487" w:rsidP="00A21487">
      <w:pPr>
        <w:jc w:val="both"/>
        <w:rPr>
          <w:rFonts w:asciiTheme="majorBidi" w:hAnsiTheme="majorBidi" w:cstheme="majorBidi"/>
          <w:sz w:val="24"/>
          <w:szCs w:val="24"/>
          <w:lang w:val="en-US"/>
        </w:rPr>
      </w:pPr>
      <w:r w:rsidRPr="00A21487">
        <w:rPr>
          <w:rFonts w:asciiTheme="majorBidi" w:hAnsiTheme="majorBidi" w:cstheme="majorBidi"/>
          <w:sz w:val="24"/>
          <w:szCs w:val="24"/>
          <w:lang w:val="en-US"/>
        </w:rPr>
        <w:t>6 minutes walking distance (6-MWD):</w:t>
      </w:r>
    </w:p>
    <w:p w14:paraId="09B5BF40" w14:textId="77777777" w:rsidR="00A21487" w:rsidRPr="00A21487" w:rsidRDefault="00A21487" w:rsidP="00A21487">
      <w:pPr>
        <w:jc w:val="both"/>
        <w:rPr>
          <w:rFonts w:asciiTheme="majorBidi" w:hAnsiTheme="majorBidi" w:cstheme="majorBidi"/>
          <w:sz w:val="24"/>
          <w:szCs w:val="24"/>
          <w:lang w:val="en-US"/>
        </w:rPr>
      </w:pPr>
    </w:p>
    <w:p w14:paraId="1C769D78" w14:textId="77777777" w:rsidR="00A21487" w:rsidRPr="00A21487" w:rsidRDefault="00A21487" w:rsidP="00A21487">
      <w:pPr>
        <w:pStyle w:val="ListParagraph"/>
        <w:numPr>
          <w:ilvl w:val="0"/>
          <w:numId w:val="4"/>
        </w:numPr>
        <w:jc w:val="both"/>
        <w:rPr>
          <w:rFonts w:asciiTheme="majorBidi" w:hAnsiTheme="majorBidi" w:cstheme="majorBidi"/>
          <w:lang w:val="en-US"/>
        </w:rPr>
      </w:pPr>
      <w:r w:rsidRPr="00A21487">
        <w:rPr>
          <w:rFonts w:asciiTheme="majorBidi" w:hAnsiTheme="majorBidi" w:cstheme="majorBidi"/>
          <w:lang w:val="en-US"/>
        </w:rPr>
        <w:t>Only CONCERT-HF, Perin et al., TAC-HFT and Butler et al. trials provided the mean difference for the 6-MWD. Of those, only CONCERT-HF and TAC-HFT trials provided the standard deviation with the mean difference.</w:t>
      </w:r>
    </w:p>
    <w:p w14:paraId="0D83C64F" w14:textId="77777777" w:rsidR="00A21487" w:rsidRPr="00A21487" w:rsidRDefault="00A21487" w:rsidP="00A21487">
      <w:pPr>
        <w:pStyle w:val="ListParagraph"/>
        <w:jc w:val="both"/>
        <w:rPr>
          <w:rFonts w:asciiTheme="majorBidi" w:hAnsiTheme="majorBidi" w:cstheme="majorBidi"/>
          <w:lang w:val="en-US"/>
        </w:rPr>
      </w:pPr>
    </w:p>
    <w:p w14:paraId="135B83A4" w14:textId="77777777" w:rsidR="00A21487" w:rsidRPr="00A21487" w:rsidRDefault="00A21487" w:rsidP="00A21487">
      <w:pPr>
        <w:pStyle w:val="ListParagraph"/>
        <w:numPr>
          <w:ilvl w:val="0"/>
          <w:numId w:val="4"/>
        </w:numPr>
        <w:jc w:val="both"/>
        <w:rPr>
          <w:rFonts w:asciiTheme="majorBidi" w:hAnsiTheme="majorBidi" w:cstheme="majorBidi"/>
          <w:lang w:val="en-US"/>
        </w:rPr>
      </w:pPr>
      <w:r w:rsidRPr="00A21487">
        <w:rPr>
          <w:rFonts w:asciiTheme="majorBidi" w:hAnsiTheme="majorBidi" w:cstheme="majorBidi"/>
          <w:lang w:val="en-US"/>
        </w:rPr>
        <w:lastRenderedPageBreak/>
        <w:t>Butler et al. and Perin et al. provided the mean difference without its standard deviation. The corresponding authors were contacted with no response. The standard deviation was calculated as demonstrated in the Cochrane Handbook for Systematic Reviews of Interventions, section 6.5.2.3 (</w:t>
      </w:r>
      <w:hyperlink r:id="rId35" w:anchor="section-6-5-2-3" w:history="1">
        <w:r w:rsidRPr="00A21487">
          <w:rPr>
            <w:rStyle w:val="Hyperlink"/>
            <w:rFonts w:asciiTheme="majorBidi" w:hAnsiTheme="majorBidi" w:cstheme="majorBidi"/>
            <w:lang w:val="en-US"/>
          </w:rPr>
          <w:t>https://training.cochrane.org/handbook/current/chapter-06#section-6-5-2-3</w:t>
        </w:r>
      </w:hyperlink>
      <w:r w:rsidRPr="00A21487">
        <w:rPr>
          <w:rFonts w:asciiTheme="majorBidi" w:hAnsiTheme="majorBidi" w:cstheme="majorBidi"/>
          <w:lang w:val="en-US"/>
        </w:rPr>
        <w:t>)</w:t>
      </w:r>
    </w:p>
    <w:p w14:paraId="03076A7B" w14:textId="77777777" w:rsidR="00A21487" w:rsidRPr="007D4DBC" w:rsidRDefault="00A21487" w:rsidP="00A21487">
      <w:pPr>
        <w:jc w:val="both"/>
        <w:rPr>
          <w:rFonts w:asciiTheme="majorBidi" w:hAnsiTheme="majorBidi" w:cstheme="majorBidi"/>
          <w:b/>
          <w:bCs/>
          <w:sz w:val="24"/>
          <w:szCs w:val="24"/>
          <w:lang w:val="en-US"/>
        </w:rPr>
      </w:pPr>
    </w:p>
    <w:p w14:paraId="059C3DE6" w14:textId="1DA0A6A6" w:rsidR="00A21487" w:rsidRPr="007D4DBC" w:rsidRDefault="00A21487" w:rsidP="007D4DBC">
      <w:pPr>
        <w:jc w:val="both"/>
        <w:rPr>
          <w:rFonts w:asciiTheme="majorBidi" w:hAnsiTheme="majorBidi" w:cstheme="majorBidi"/>
          <w:b/>
          <w:bCs/>
          <w:sz w:val="24"/>
          <w:szCs w:val="24"/>
          <w:lang w:val="en-US"/>
        </w:rPr>
      </w:pPr>
      <w:r w:rsidRPr="007D4DBC">
        <w:rPr>
          <w:rFonts w:asciiTheme="majorBidi" w:hAnsiTheme="majorBidi" w:cstheme="majorBidi"/>
          <w:b/>
          <w:bCs/>
          <w:sz w:val="24"/>
          <w:szCs w:val="24"/>
          <w:lang w:val="en-US"/>
        </w:rPr>
        <w:t>Left Ventricular End Systolic Volume (LVESV):</w:t>
      </w:r>
    </w:p>
    <w:p w14:paraId="55FF565A" w14:textId="7FACA59E" w:rsidR="00A21487" w:rsidRPr="00A21487" w:rsidRDefault="00A21487" w:rsidP="00A21487">
      <w:pPr>
        <w:pStyle w:val="ListParagraph"/>
        <w:numPr>
          <w:ilvl w:val="0"/>
          <w:numId w:val="5"/>
        </w:numPr>
        <w:ind w:left="360"/>
        <w:jc w:val="both"/>
        <w:rPr>
          <w:rFonts w:asciiTheme="majorBidi" w:hAnsiTheme="majorBidi" w:cstheme="majorBidi"/>
          <w:lang w:val="en-US"/>
        </w:rPr>
      </w:pPr>
      <w:r w:rsidRPr="00A21487">
        <w:rPr>
          <w:rFonts w:asciiTheme="majorBidi" w:hAnsiTheme="majorBidi" w:cstheme="majorBidi"/>
          <w:lang w:val="en-US"/>
        </w:rPr>
        <w:t>The MSC-HFT, Perin et al., Athena, RIMECARD, SCIENCE, Danish Phase II, and DREAM-HF trials provided LVE</w:t>
      </w:r>
      <w:r>
        <w:rPr>
          <w:rFonts w:asciiTheme="majorBidi" w:hAnsiTheme="majorBidi" w:cstheme="majorBidi"/>
          <w:lang w:val="en-US"/>
        </w:rPr>
        <w:t>S</w:t>
      </w:r>
      <w:r w:rsidRPr="00A21487">
        <w:rPr>
          <w:rFonts w:asciiTheme="majorBidi" w:hAnsiTheme="majorBidi" w:cstheme="majorBidi"/>
          <w:lang w:val="en-US"/>
        </w:rPr>
        <w:t>V measurements.</w:t>
      </w:r>
    </w:p>
    <w:p w14:paraId="3FA0A492" w14:textId="77777777" w:rsidR="00A21487" w:rsidRPr="00A21487" w:rsidRDefault="00A21487" w:rsidP="00A21487">
      <w:pPr>
        <w:pStyle w:val="ListParagraph"/>
        <w:ind w:left="360"/>
        <w:jc w:val="both"/>
        <w:rPr>
          <w:rFonts w:asciiTheme="majorBidi" w:hAnsiTheme="majorBidi" w:cstheme="majorBidi"/>
          <w:lang w:val="en-US"/>
        </w:rPr>
      </w:pPr>
    </w:p>
    <w:p w14:paraId="10D641C5" w14:textId="77777777" w:rsidR="00A21487" w:rsidRPr="00A21487" w:rsidRDefault="00A21487" w:rsidP="00A21487">
      <w:pPr>
        <w:pStyle w:val="ListParagraph"/>
        <w:numPr>
          <w:ilvl w:val="0"/>
          <w:numId w:val="5"/>
        </w:numPr>
        <w:ind w:left="360"/>
        <w:jc w:val="both"/>
        <w:rPr>
          <w:rFonts w:asciiTheme="majorBidi" w:hAnsiTheme="majorBidi" w:cstheme="majorBidi"/>
          <w:lang w:val="en-US"/>
        </w:rPr>
      </w:pPr>
      <w:r w:rsidRPr="00A21487">
        <w:rPr>
          <w:rFonts w:asciiTheme="majorBidi" w:hAnsiTheme="majorBidi" w:cstheme="majorBidi"/>
          <w:lang w:val="en-US"/>
        </w:rPr>
        <w:t xml:space="preserve">Only MSC-HFT, Perin et al., Athena SCIENCE, and Danish Phase II trials reported the mean difference with its standard deviation. </w:t>
      </w:r>
    </w:p>
    <w:p w14:paraId="06A5D60C" w14:textId="77777777" w:rsidR="00A21487" w:rsidRPr="00A21487" w:rsidRDefault="00A21487" w:rsidP="00A21487">
      <w:pPr>
        <w:pStyle w:val="ListParagraph"/>
        <w:rPr>
          <w:rFonts w:asciiTheme="majorBidi" w:hAnsiTheme="majorBidi" w:cstheme="majorBidi"/>
          <w:lang w:val="en-US"/>
        </w:rPr>
      </w:pPr>
    </w:p>
    <w:p w14:paraId="231135AC" w14:textId="77777777" w:rsidR="00A21487" w:rsidRDefault="00A21487" w:rsidP="00A21487">
      <w:pPr>
        <w:pStyle w:val="ListParagraph"/>
        <w:numPr>
          <w:ilvl w:val="0"/>
          <w:numId w:val="5"/>
        </w:numPr>
        <w:ind w:left="360"/>
        <w:jc w:val="both"/>
        <w:rPr>
          <w:rFonts w:asciiTheme="majorBidi" w:hAnsiTheme="majorBidi" w:cstheme="majorBidi"/>
          <w:lang w:val="en-US"/>
        </w:rPr>
      </w:pPr>
      <w:r w:rsidRPr="00A21487">
        <w:rPr>
          <w:rFonts w:asciiTheme="majorBidi" w:hAnsiTheme="majorBidi" w:cstheme="majorBidi"/>
          <w:lang w:val="en-US"/>
        </w:rPr>
        <w:t>RIMECARD and DREAM-HF provided the mean difference without its standard deviation. The corresponding authors were contacted with no response. The standard deviation was calculated as demonstrated in the Cochrane Handbook for Systematic Reviews of Interventions, section 6.5.2.3 (</w:t>
      </w:r>
      <w:hyperlink r:id="rId36" w:anchor="section-6-5-2-3" w:history="1">
        <w:r w:rsidRPr="00A21487">
          <w:rPr>
            <w:rStyle w:val="Hyperlink"/>
            <w:rFonts w:asciiTheme="majorBidi" w:hAnsiTheme="majorBidi" w:cstheme="majorBidi"/>
            <w:lang w:val="en-US"/>
          </w:rPr>
          <w:t>https://training.cochrane.org/handbook/current/chapter-06#section-6-5-2-3</w:t>
        </w:r>
      </w:hyperlink>
      <w:r w:rsidRPr="00A21487">
        <w:rPr>
          <w:rFonts w:asciiTheme="majorBidi" w:hAnsiTheme="majorBidi" w:cstheme="majorBidi"/>
          <w:lang w:val="en-US"/>
        </w:rPr>
        <w:t>)</w:t>
      </w:r>
    </w:p>
    <w:p w14:paraId="7F70DAF2" w14:textId="77777777" w:rsidR="00A21487" w:rsidRPr="00A21487" w:rsidRDefault="00A21487" w:rsidP="00A21487">
      <w:pPr>
        <w:pStyle w:val="ListParagraph"/>
        <w:rPr>
          <w:rFonts w:asciiTheme="majorBidi" w:hAnsiTheme="majorBidi" w:cstheme="majorBidi"/>
          <w:lang w:val="en-US"/>
        </w:rPr>
      </w:pPr>
    </w:p>
    <w:p w14:paraId="67FD674D" w14:textId="77777777" w:rsidR="00A21487" w:rsidRDefault="00A21487" w:rsidP="00A21487">
      <w:pPr>
        <w:jc w:val="both"/>
        <w:rPr>
          <w:rFonts w:asciiTheme="majorBidi" w:hAnsiTheme="majorBidi" w:cstheme="majorBidi"/>
          <w:lang w:val="en-US"/>
        </w:rPr>
      </w:pPr>
    </w:p>
    <w:p w14:paraId="1AD96AB7" w14:textId="37260359" w:rsidR="00A21487" w:rsidRPr="007D4DBC" w:rsidRDefault="00A21487" w:rsidP="007D4DBC">
      <w:pPr>
        <w:jc w:val="both"/>
        <w:rPr>
          <w:rFonts w:asciiTheme="majorBidi" w:hAnsiTheme="majorBidi" w:cstheme="majorBidi"/>
          <w:b/>
          <w:bCs/>
          <w:sz w:val="24"/>
          <w:szCs w:val="24"/>
          <w:lang w:val="en-US"/>
        </w:rPr>
      </w:pPr>
      <w:r w:rsidRPr="007D4DBC">
        <w:rPr>
          <w:rFonts w:asciiTheme="majorBidi" w:hAnsiTheme="majorBidi" w:cstheme="majorBidi"/>
          <w:b/>
          <w:bCs/>
          <w:sz w:val="24"/>
          <w:szCs w:val="24"/>
          <w:lang w:val="en-US"/>
        </w:rPr>
        <w:t>Left Ventricular End Diastolic Volume (LVEDV):</w:t>
      </w:r>
    </w:p>
    <w:p w14:paraId="21DFA03C" w14:textId="0C47821F" w:rsidR="00A21487" w:rsidRPr="00A21487" w:rsidRDefault="00A21487" w:rsidP="00A21487">
      <w:pPr>
        <w:pStyle w:val="ListParagraph"/>
        <w:numPr>
          <w:ilvl w:val="0"/>
          <w:numId w:val="5"/>
        </w:numPr>
        <w:ind w:left="360"/>
        <w:jc w:val="both"/>
        <w:rPr>
          <w:rFonts w:asciiTheme="majorBidi" w:hAnsiTheme="majorBidi" w:cstheme="majorBidi"/>
          <w:lang w:val="en-US"/>
        </w:rPr>
      </w:pPr>
      <w:r w:rsidRPr="00A21487">
        <w:rPr>
          <w:rFonts w:asciiTheme="majorBidi" w:hAnsiTheme="majorBidi" w:cstheme="majorBidi"/>
          <w:lang w:val="en-US"/>
        </w:rPr>
        <w:t>The MSC-HFT, Perin et al., Athena, RIMECARD, SCIENCE, Danish Phase II, and DREAM-HF trials provided LVE</w:t>
      </w:r>
      <w:r>
        <w:rPr>
          <w:rFonts w:asciiTheme="majorBidi" w:hAnsiTheme="majorBidi" w:cstheme="majorBidi"/>
          <w:lang w:val="en-US"/>
        </w:rPr>
        <w:t>D</w:t>
      </w:r>
      <w:r w:rsidRPr="00A21487">
        <w:rPr>
          <w:rFonts w:asciiTheme="majorBidi" w:hAnsiTheme="majorBidi" w:cstheme="majorBidi"/>
          <w:lang w:val="en-US"/>
        </w:rPr>
        <w:t>V measurements.</w:t>
      </w:r>
    </w:p>
    <w:p w14:paraId="1B12E8A7" w14:textId="77777777" w:rsidR="00A21487" w:rsidRPr="00A21487" w:rsidRDefault="00A21487" w:rsidP="00A21487">
      <w:pPr>
        <w:pStyle w:val="ListParagraph"/>
        <w:ind w:left="360"/>
        <w:jc w:val="both"/>
        <w:rPr>
          <w:rFonts w:asciiTheme="majorBidi" w:hAnsiTheme="majorBidi" w:cstheme="majorBidi"/>
          <w:lang w:val="en-US"/>
        </w:rPr>
      </w:pPr>
    </w:p>
    <w:p w14:paraId="3F7413C1" w14:textId="77777777" w:rsidR="00A21487" w:rsidRPr="00A21487" w:rsidRDefault="00A21487" w:rsidP="00A21487">
      <w:pPr>
        <w:pStyle w:val="ListParagraph"/>
        <w:numPr>
          <w:ilvl w:val="0"/>
          <w:numId w:val="5"/>
        </w:numPr>
        <w:ind w:left="360"/>
        <w:jc w:val="both"/>
        <w:rPr>
          <w:rFonts w:asciiTheme="majorBidi" w:hAnsiTheme="majorBidi" w:cstheme="majorBidi"/>
          <w:lang w:val="en-US"/>
        </w:rPr>
      </w:pPr>
      <w:r w:rsidRPr="00A21487">
        <w:rPr>
          <w:rFonts w:asciiTheme="majorBidi" w:hAnsiTheme="majorBidi" w:cstheme="majorBidi"/>
          <w:lang w:val="en-US"/>
        </w:rPr>
        <w:t xml:space="preserve">Only MSC-HFT, Perin et al., Athena SCIENCE, and Danish Phase II trials reported the mean difference with its standard deviation. </w:t>
      </w:r>
    </w:p>
    <w:p w14:paraId="632698B8" w14:textId="77777777" w:rsidR="00A21487" w:rsidRPr="00A21487" w:rsidRDefault="00A21487" w:rsidP="00A21487">
      <w:pPr>
        <w:pStyle w:val="ListParagraph"/>
        <w:rPr>
          <w:rFonts w:asciiTheme="majorBidi" w:hAnsiTheme="majorBidi" w:cstheme="majorBidi"/>
          <w:lang w:val="en-US"/>
        </w:rPr>
      </w:pPr>
    </w:p>
    <w:p w14:paraId="5ABDC13B" w14:textId="77777777" w:rsidR="00A21487" w:rsidRPr="00A21487" w:rsidRDefault="00A21487" w:rsidP="00A21487">
      <w:pPr>
        <w:pStyle w:val="ListParagraph"/>
        <w:numPr>
          <w:ilvl w:val="0"/>
          <w:numId w:val="5"/>
        </w:numPr>
        <w:ind w:left="360"/>
        <w:jc w:val="both"/>
        <w:rPr>
          <w:rFonts w:asciiTheme="majorBidi" w:hAnsiTheme="majorBidi" w:cstheme="majorBidi"/>
          <w:lang w:val="en-US"/>
        </w:rPr>
      </w:pPr>
      <w:r w:rsidRPr="00A21487">
        <w:rPr>
          <w:rFonts w:asciiTheme="majorBidi" w:hAnsiTheme="majorBidi" w:cstheme="majorBidi"/>
          <w:lang w:val="en-US"/>
        </w:rPr>
        <w:t>RIMECARD and DREAM-HF provided the mean difference without its standard deviation. The corresponding authors were contacted with no response. The standard deviation was calculated as demonstrated in the Cochrane Handbook for Systematic Reviews of Interventions, section 6.5.2.3 (</w:t>
      </w:r>
      <w:hyperlink r:id="rId37" w:anchor="section-6-5-2-3" w:history="1">
        <w:r w:rsidRPr="00A21487">
          <w:rPr>
            <w:rStyle w:val="Hyperlink"/>
            <w:rFonts w:asciiTheme="majorBidi" w:hAnsiTheme="majorBidi" w:cstheme="majorBidi"/>
            <w:lang w:val="en-US"/>
          </w:rPr>
          <w:t>https://training.cochrane.org/handbook/current/chapter-06#section-6-5-2-3</w:t>
        </w:r>
      </w:hyperlink>
      <w:r w:rsidRPr="00A21487">
        <w:rPr>
          <w:rFonts w:asciiTheme="majorBidi" w:hAnsiTheme="majorBidi" w:cstheme="majorBidi"/>
          <w:lang w:val="en-US"/>
        </w:rPr>
        <w:t>)</w:t>
      </w:r>
    </w:p>
    <w:p w14:paraId="3CAACDF9" w14:textId="77777777" w:rsidR="00A21487" w:rsidRPr="00AA6C8D" w:rsidRDefault="00A21487" w:rsidP="00A21487">
      <w:pPr>
        <w:pStyle w:val="ListParagraph"/>
        <w:ind w:left="360"/>
        <w:jc w:val="both"/>
        <w:rPr>
          <w:rFonts w:asciiTheme="majorBidi" w:hAnsiTheme="majorBidi" w:cstheme="majorBidi"/>
          <w:lang w:val="en-US"/>
        </w:rPr>
      </w:pPr>
    </w:p>
    <w:p w14:paraId="6DB5222D" w14:textId="77777777" w:rsidR="00A21487" w:rsidRPr="00A21487" w:rsidRDefault="00A21487" w:rsidP="00A21487">
      <w:pPr>
        <w:jc w:val="both"/>
        <w:rPr>
          <w:rFonts w:asciiTheme="majorBidi" w:hAnsiTheme="majorBidi" w:cstheme="majorBidi"/>
          <w:lang w:val="en-US"/>
        </w:rPr>
      </w:pPr>
    </w:p>
    <w:p w14:paraId="6644BA82" w14:textId="77777777" w:rsidR="00A21487" w:rsidRPr="00AA6C8D" w:rsidRDefault="00A21487" w:rsidP="00A21487">
      <w:pPr>
        <w:pStyle w:val="ListParagraph"/>
        <w:ind w:left="360"/>
        <w:jc w:val="both"/>
        <w:rPr>
          <w:rFonts w:asciiTheme="majorBidi" w:hAnsiTheme="majorBidi" w:cstheme="majorBidi"/>
          <w:lang w:val="en-US"/>
        </w:rPr>
      </w:pPr>
    </w:p>
    <w:p w14:paraId="14C040AB" w14:textId="77777777" w:rsidR="008D2A8B" w:rsidRDefault="008D2A8B" w:rsidP="008D2A8B">
      <w:pPr>
        <w:rPr>
          <w:rFonts w:asciiTheme="majorBidi" w:hAnsiTheme="majorBidi" w:cstheme="majorBidi"/>
          <w:b/>
          <w:bCs/>
          <w:sz w:val="32"/>
          <w:szCs w:val="32"/>
          <w:u w:val="single"/>
        </w:rPr>
      </w:pPr>
    </w:p>
    <w:p w14:paraId="2399BA7D" w14:textId="77777777" w:rsidR="008D2A8B" w:rsidRDefault="008D2A8B" w:rsidP="008D2A8B">
      <w:pPr>
        <w:rPr>
          <w:rFonts w:asciiTheme="majorBidi" w:hAnsiTheme="majorBidi" w:cstheme="majorBidi"/>
          <w:b/>
          <w:bCs/>
          <w:sz w:val="32"/>
          <w:szCs w:val="32"/>
          <w:u w:val="single"/>
        </w:rPr>
      </w:pPr>
    </w:p>
    <w:p w14:paraId="592C280A" w14:textId="77777777" w:rsidR="008D2A8B" w:rsidRDefault="008D2A8B" w:rsidP="008D2A8B">
      <w:pPr>
        <w:rPr>
          <w:rFonts w:asciiTheme="majorBidi" w:hAnsiTheme="majorBidi" w:cstheme="majorBidi"/>
          <w:b/>
          <w:bCs/>
          <w:sz w:val="32"/>
          <w:szCs w:val="32"/>
          <w:u w:val="single"/>
        </w:rPr>
      </w:pPr>
    </w:p>
    <w:p w14:paraId="0759BE24" w14:textId="77777777" w:rsidR="008D2A8B" w:rsidRDefault="008D2A8B" w:rsidP="008D2A8B">
      <w:pPr>
        <w:rPr>
          <w:rFonts w:asciiTheme="majorBidi" w:hAnsiTheme="majorBidi" w:cstheme="majorBidi"/>
          <w:b/>
          <w:bCs/>
          <w:sz w:val="32"/>
          <w:szCs w:val="32"/>
          <w:u w:val="single"/>
        </w:rPr>
      </w:pPr>
    </w:p>
    <w:p w14:paraId="66DBF7F5" w14:textId="77777777" w:rsidR="008D2A8B" w:rsidRDefault="008D2A8B" w:rsidP="008D2A8B">
      <w:pPr>
        <w:rPr>
          <w:rFonts w:asciiTheme="majorBidi" w:hAnsiTheme="majorBidi" w:cstheme="majorBidi"/>
          <w:b/>
          <w:bCs/>
          <w:sz w:val="32"/>
          <w:szCs w:val="32"/>
          <w:u w:val="single"/>
        </w:rPr>
      </w:pPr>
    </w:p>
    <w:p w14:paraId="5B961BB5" w14:textId="1257B327" w:rsidR="008D2A8B" w:rsidRPr="00F56A46" w:rsidRDefault="008D2A8B" w:rsidP="008D2A8B">
      <w:pPr>
        <w:rPr>
          <w:rFonts w:asciiTheme="majorBidi" w:hAnsiTheme="majorBidi" w:cstheme="majorBidi"/>
          <w:b/>
          <w:bCs/>
          <w:sz w:val="32"/>
          <w:szCs w:val="32"/>
          <w:u w:val="single"/>
        </w:rPr>
      </w:pPr>
      <w:r w:rsidRPr="00F56A46">
        <w:rPr>
          <w:rFonts w:asciiTheme="majorBidi" w:hAnsiTheme="majorBidi" w:cstheme="majorBidi"/>
          <w:b/>
          <w:bCs/>
          <w:sz w:val="32"/>
          <w:szCs w:val="32"/>
          <w:u w:val="single"/>
        </w:rPr>
        <w:lastRenderedPageBreak/>
        <w:t>ITEMIZED RESPONSE TO THE REVIEWERS’ COMMENTS</w:t>
      </w:r>
    </w:p>
    <w:p w14:paraId="4BD8ADCE" w14:textId="49809B56" w:rsidR="008D2A8B" w:rsidRPr="008D2A8B" w:rsidRDefault="008D2A8B" w:rsidP="008D2A8B">
      <w:pPr>
        <w:rPr>
          <w:rFonts w:asciiTheme="majorBidi" w:hAnsiTheme="majorBidi" w:cstheme="majorBidi"/>
          <w:b/>
          <w:bCs/>
          <w:sz w:val="32"/>
          <w:szCs w:val="32"/>
          <w:u w:val="single"/>
        </w:rPr>
      </w:pPr>
      <w:r w:rsidRPr="00F56A46">
        <w:rPr>
          <w:rFonts w:asciiTheme="majorBidi" w:hAnsiTheme="majorBidi" w:cstheme="majorBidi"/>
          <w:b/>
          <w:bCs/>
          <w:sz w:val="32"/>
          <w:szCs w:val="32"/>
          <w:u w:val="single"/>
        </w:rPr>
        <w:t>Reviewer #1</w:t>
      </w:r>
      <w:r>
        <w:rPr>
          <w:rFonts w:asciiTheme="majorBidi" w:hAnsiTheme="majorBidi" w:cstheme="majorBidi"/>
          <w:b/>
          <w:bCs/>
          <w:sz w:val="32"/>
          <w:szCs w:val="32"/>
          <w:u w:val="single"/>
        </w:rPr>
        <w:t xml:space="preserve"> [REV #1 responses]</w:t>
      </w:r>
      <w:r w:rsidRPr="00F56A46">
        <w:rPr>
          <w:rFonts w:asciiTheme="majorBidi" w:hAnsiTheme="majorBidi" w:cstheme="majorBidi"/>
          <w:b/>
          <w:bCs/>
          <w:sz w:val="32"/>
          <w:szCs w:val="32"/>
          <w:u w:val="single"/>
        </w:rPr>
        <w:t>:</w:t>
      </w:r>
    </w:p>
    <w:p w14:paraId="1264A6AA" w14:textId="65D4069C" w:rsidR="008D2A8B" w:rsidRPr="00F56A46" w:rsidRDefault="008D2A8B" w:rsidP="008D2A8B">
      <w:pPr>
        <w:jc w:val="both"/>
        <w:rPr>
          <w:rFonts w:asciiTheme="majorBidi" w:hAnsiTheme="majorBidi" w:cstheme="majorBidi"/>
        </w:rPr>
      </w:pPr>
      <w:r w:rsidRPr="00F56A46">
        <w:rPr>
          <w:rFonts w:asciiTheme="majorBidi" w:hAnsiTheme="majorBidi" w:cstheme="majorBidi"/>
          <w:b/>
          <w:bCs/>
        </w:rPr>
        <w:t>Comment #</w:t>
      </w:r>
      <w:r w:rsidRPr="00F56A46">
        <w:rPr>
          <w:rFonts w:asciiTheme="majorBidi" w:hAnsiTheme="majorBidi" w:cstheme="majorBidi"/>
        </w:rPr>
        <w:t>1. The language needs revision by a native speaker, accompanied by a certificate of language editing service and a manuscript with tracked editing records as a Suppl.</w:t>
      </w:r>
    </w:p>
    <w:p w14:paraId="3E5B85C5" w14:textId="120E7CBF" w:rsidR="008D2A8B" w:rsidRPr="00F56A46" w:rsidRDefault="008D2A8B" w:rsidP="008D2A8B">
      <w:pPr>
        <w:jc w:val="both"/>
        <w:rPr>
          <w:rFonts w:asciiTheme="majorBidi" w:hAnsiTheme="majorBidi" w:cstheme="majorBidi"/>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thank the reviewer for their meticulous review and attention to language. We have extensively reviewed and revised the manuscript for language, typos, and syntax.</w:t>
      </w:r>
      <w:r>
        <w:rPr>
          <w:rFonts w:asciiTheme="majorBidi" w:hAnsiTheme="majorBidi" w:cstheme="majorBidi"/>
          <w:color w:val="4472C4" w:themeColor="accent1"/>
        </w:rPr>
        <w:t xml:space="preserve"> We have also consulted an academic English native to revise the manuscript.</w:t>
      </w:r>
    </w:p>
    <w:p w14:paraId="029C5A81" w14:textId="50D45858" w:rsidR="008D2A8B" w:rsidRPr="00F56A46" w:rsidRDefault="008D2A8B" w:rsidP="008D2A8B">
      <w:pPr>
        <w:jc w:val="both"/>
        <w:rPr>
          <w:rFonts w:asciiTheme="majorBidi" w:hAnsiTheme="majorBidi" w:cstheme="majorBidi"/>
        </w:rPr>
      </w:pPr>
      <w:r w:rsidRPr="00F56A46">
        <w:rPr>
          <w:rFonts w:asciiTheme="majorBidi" w:hAnsiTheme="majorBidi" w:cstheme="majorBidi"/>
          <w:b/>
          <w:bCs/>
        </w:rPr>
        <w:t>Comment #</w:t>
      </w:r>
      <w:r w:rsidRPr="00F56A46">
        <w:rPr>
          <w:rFonts w:asciiTheme="majorBidi" w:hAnsiTheme="majorBidi" w:cstheme="majorBidi"/>
        </w:rPr>
        <w:t>2. For a better understanding of the Introduction and Discussion, please cite the following literature in the appropriate site (PMID): Methodology of meta-analysis/systematic review: 33516224, 37666311, 35032305, 35345532</w:t>
      </w:r>
    </w:p>
    <w:p w14:paraId="58B406AF" w14:textId="7D4E0134" w:rsid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thank the reviewer for the valuable insight; we have cited these papers in the introduction and </w:t>
      </w:r>
      <w:r>
        <w:rPr>
          <w:rFonts w:asciiTheme="majorBidi" w:hAnsiTheme="majorBidi" w:cstheme="majorBidi"/>
          <w:color w:val="4472C4" w:themeColor="accent1"/>
        </w:rPr>
        <w:t>discussion sections for a better understanding as follows:</w:t>
      </w:r>
    </w:p>
    <w:p w14:paraId="4D8849F0" w14:textId="349134E8" w:rsidR="008D2A8B" w:rsidRPr="00160ED5" w:rsidRDefault="008D2A8B" w:rsidP="008D2A8B">
      <w:pPr>
        <w:jc w:val="both"/>
        <w:rPr>
          <w:rFonts w:asciiTheme="majorBidi" w:hAnsiTheme="majorBidi" w:cstheme="majorBidi"/>
          <w:color w:val="4472C4" w:themeColor="accent1"/>
          <w:lang w:val="nl-NL"/>
        </w:rPr>
      </w:pPr>
      <w:r>
        <w:rPr>
          <w:rFonts w:asciiTheme="majorBidi" w:hAnsiTheme="majorBidi" w:cstheme="majorBidi"/>
          <w:color w:val="4472C4" w:themeColor="accent1"/>
        </w:rPr>
        <w:t xml:space="preserve">Line 135: </w:t>
      </w:r>
      <w:r w:rsidRPr="00A70A33">
        <w:rPr>
          <w:rFonts w:asciiTheme="majorBidi" w:hAnsiTheme="majorBidi" w:cstheme="majorBidi"/>
          <w:color w:val="4472C4" w:themeColor="accent1"/>
        </w:rPr>
        <w:t>35345532</w:t>
      </w:r>
      <w:r>
        <w:rPr>
          <w:rFonts w:asciiTheme="majorBidi" w:hAnsiTheme="majorBidi" w:cstheme="majorBidi"/>
          <w:color w:val="4472C4" w:themeColor="accent1"/>
        </w:rPr>
        <w:t xml:space="preserve">, </w:t>
      </w:r>
      <w:r w:rsidRPr="00A70A33">
        <w:rPr>
          <w:rFonts w:asciiTheme="majorBidi" w:hAnsiTheme="majorBidi" w:cstheme="majorBidi"/>
          <w:color w:val="4472C4" w:themeColor="accent1"/>
        </w:rPr>
        <w:t>33516224</w:t>
      </w:r>
      <w:r>
        <w:rPr>
          <w:rFonts w:asciiTheme="majorBidi" w:hAnsiTheme="majorBidi" w:cstheme="majorBidi"/>
          <w:color w:val="4472C4" w:themeColor="accent1"/>
        </w:rPr>
        <w:t xml:space="preserve"> (</w:t>
      </w:r>
      <w:r w:rsidRPr="00A70A33">
        <w:rPr>
          <w:rFonts w:asciiTheme="majorBidi" w:hAnsiTheme="majorBidi" w:cstheme="majorBidi"/>
          <w:color w:val="4472C4" w:themeColor="accent1"/>
        </w:rPr>
        <w:t xml:space="preserve">HF remains incurable and irreversible, causing a significant global health burden besides steadily impairing the affected population's physiological capacity and negatively impacting their quality of life. </w:t>
      </w:r>
      <w:r w:rsidRPr="00160ED5">
        <w:rPr>
          <w:rFonts w:asciiTheme="majorBidi" w:hAnsiTheme="majorBidi" w:cstheme="majorBidi"/>
          <w:color w:val="4472C4" w:themeColor="accent1"/>
          <w:lang w:val="nl-NL"/>
        </w:rPr>
        <w:t xml:space="preserve">(Uygur and Lee et al., 2016, Li et al., 2021, Ning et al., 2022). </w:t>
      </w:r>
    </w:p>
    <w:p w14:paraId="2F8DDE07" w14:textId="41A77C6D" w:rsidR="008D2A8B" w:rsidRDefault="008D2A8B" w:rsidP="008D2A8B">
      <w:pPr>
        <w:jc w:val="both"/>
        <w:rPr>
          <w:rFonts w:asciiTheme="majorBidi" w:hAnsiTheme="majorBidi" w:cstheme="majorBidi"/>
          <w:color w:val="4472C4" w:themeColor="accent1"/>
        </w:rPr>
      </w:pPr>
      <w:r>
        <w:rPr>
          <w:rFonts w:asciiTheme="majorBidi" w:hAnsiTheme="majorBidi" w:cstheme="majorBidi"/>
          <w:color w:val="4472C4" w:themeColor="accent1"/>
        </w:rPr>
        <w:t xml:space="preserve">Line 160: </w:t>
      </w:r>
      <w:r w:rsidRPr="00A70A33">
        <w:rPr>
          <w:rFonts w:asciiTheme="majorBidi" w:hAnsiTheme="majorBidi" w:cstheme="majorBidi"/>
          <w:color w:val="4472C4" w:themeColor="accent1"/>
        </w:rPr>
        <w:t>37666311</w:t>
      </w:r>
      <w:r>
        <w:rPr>
          <w:rFonts w:asciiTheme="majorBidi" w:hAnsiTheme="majorBidi" w:cstheme="majorBidi"/>
          <w:color w:val="4472C4" w:themeColor="accent1"/>
        </w:rPr>
        <w:t xml:space="preserve"> (</w:t>
      </w:r>
      <w:r w:rsidRPr="00A70A33">
        <w:rPr>
          <w:rFonts w:asciiTheme="majorBidi" w:hAnsiTheme="majorBidi" w:cstheme="majorBidi"/>
          <w:color w:val="4472C4" w:themeColor="accent1"/>
        </w:rPr>
        <w:t xml:space="preserve">Also, </w:t>
      </w:r>
      <w:proofErr w:type="spellStart"/>
      <w:r w:rsidRPr="00A70A33">
        <w:rPr>
          <w:rFonts w:asciiTheme="majorBidi" w:hAnsiTheme="majorBidi" w:cstheme="majorBidi"/>
          <w:color w:val="4472C4" w:themeColor="accent1"/>
        </w:rPr>
        <w:t>xenogenic</w:t>
      </w:r>
      <w:proofErr w:type="spellEnd"/>
      <w:r w:rsidRPr="00A70A33">
        <w:rPr>
          <w:rFonts w:asciiTheme="majorBidi" w:hAnsiTheme="majorBidi" w:cstheme="majorBidi"/>
          <w:color w:val="4472C4" w:themeColor="accent1"/>
        </w:rPr>
        <w:t xml:space="preserve"> MSCs from intractable interspecies differences are common reasons xenogeneic MSC treatment fails (Jiang et al., 2021</w:t>
      </w:r>
      <w:r>
        <w:rPr>
          <w:rFonts w:asciiTheme="majorBidi" w:hAnsiTheme="majorBidi" w:cstheme="majorBidi"/>
          <w:color w:val="4472C4" w:themeColor="accent1"/>
        </w:rPr>
        <w:t>;</w:t>
      </w:r>
      <w:r w:rsidRPr="00A70A33">
        <w:rPr>
          <w:rFonts w:asciiTheme="majorBidi" w:hAnsiTheme="majorBidi" w:cstheme="majorBidi"/>
          <w:color w:val="4472C4" w:themeColor="accent1"/>
        </w:rPr>
        <w:t xml:space="preserve"> Chen et al., 2023).</w:t>
      </w:r>
    </w:p>
    <w:p w14:paraId="31AA0A67" w14:textId="515D3AC3" w:rsidR="008D2A8B" w:rsidRPr="008D2A8B" w:rsidRDefault="008D2A8B" w:rsidP="008D2A8B">
      <w:pPr>
        <w:jc w:val="both"/>
        <w:rPr>
          <w:rFonts w:asciiTheme="majorBidi" w:hAnsiTheme="majorBidi" w:cstheme="majorBidi"/>
          <w:color w:val="4472C4" w:themeColor="accent1"/>
        </w:rPr>
      </w:pPr>
      <w:r>
        <w:rPr>
          <w:rFonts w:asciiTheme="majorBidi" w:hAnsiTheme="majorBidi" w:cstheme="majorBidi"/>
          <w:color w:val="4472C4" w:themeColor="accent1"/>
        </w:rPr>
        <w:t xml:space="preserve">Line 401: </w:t>
      </w:r>
      <w:r w:rsidRPr="00A70A33">
        <w:rPr>
          <w:rFonts w:asciiTheme="majorBidi" w:hAnsiTheme="majorBidi" w:cstheme="majorBidi"/>
          <w:color w:val="4472C4" w:themeColor="accent1"/>
        </w:rPr>
        <w:t>35032305</w:t>
      </w:r>
      <w:r>
        <w:rPr>
          <w:rFonts w:asciiTheme="majorBidi" w:hAnsiTheme="majorBidi" w:cstheme="majorBidi"/>
          <w:color w:val="4472C4" w:themeColor="accent1"/>
        </w:rPr>
        <w:t xml:space="preserve"> (</w:t>
      </w:r>
      <w:r w:rsidRPr="00A70A33">
        <w:rPr>
          <w:rFonts w:asciiTheme="majorBidi" w:hAnsiTheme="majorBidi" w:cstheme="majorBidi"/>
          <w:color w:val="4472C4" w:themeColor="accent1"/>
        </w:rPr>
        <w:t xml:space="preserve">Different mechanisms contribute to </w:t>
      </w:r>
      <w:proofErr w:type="spellStart"/>
      <w:r w:rsidRPr="00A70A33">
        <w:rPr>
          <w:rFonts w:asciiTheme="majorBidi" w:hAnsiTheme="majorBidi" w:cstheme="majorBidi"/>
          <w:color w:val="4472C4" w:themeColor="accent1"/>
        </w:rPr>
        <w:t>HFpEF</w:t>
      </w:r>
      <w:proofErr w:type="spellEnd"/>
      <w:r w:rsidRPr="00A70A33">
        <w:rPr>
          <w:rFonts w:asciiTheme="majorBidi" w:hAnsiTheme="majorBidi" w:cstheme="majorBidi"/>
          <w:color w:val="4472C4" w:themeColor="accent1"/>
        </w:rPr>
        <w:t xml:space="preserve"> than those of </w:t>
      </w:r>
      <w:proofErr w:type="spellStart"/>
      <w:r w:rsidRPr="00A70A33">
        <w:rPr>
          <w:rFonts w:asciiTheme="majorBidi" w:hAnsiTheme="majorBidi" w:cstheme="majorBidi"/>
          <w:color w:val="4472C4" w:themeColor="accent1"/>
        </w:rPr>
        <w:t>HFrEF</w:t>
      </w:r>
      <w:proofErr w:type="spellEnd"/>
      <w:r w:rsidRPr="00A70A33">
        <w:rPr>
          <w:rFonts w:asciiTheme="majorBidi" w:hAnsiTheme="majorBidi" w:cstheme="majorBidi"/>
          <w:color w:val="4472C4" w:themeColor="accent1"/>
        </w:rPr>
        <w:t>; hence, the mechanisms by which cell therapy exerts its effects in both states appear to differ (</w:t>
      </w:r>
      <w:proofErr w:type="spellStart"/>
      <w:r w:rsidRPr="00A70A33">
        <w:rPr>
          <w:rFonts w:asciiTheme="majorBidi" w:hAnsiTheme="majorBidi" w:cstheme="majorBidi"/>
          <w:color w:val="4472C4" w:themeColor="accent1"/>
        </w:rPr>
        <w:t>Domaszk</w:t>
      </w:r>
      <w:proofErr w:type="spellEnd"/>
      <w:r w:rsidRPr="00A70A33">
        <w:rPr>
          <w:rFonts w:asciiTheme="majorBidi" w:hAnsiTheme="majorBidi" w:cstheme="majorBidi"/>
          <w:color w:val="4472C4" w:themeColor="accent1"/>
        </w:rPr>
        <w:t xml:space="preserve"> et al., 2023, Li et al., 2022).</w:t>
      </w:r>
    </w:p>
    <w:p w14:paraId="211202F3" w14:textId="00A42A87" w:rsidR="008D2A8B" w:rsidRPr="00F56A46" w:rsidRDefault="008D2A8B" w:rsidP="008D2A8B">
      <w:pPr>
        <w:jc w:val="both"/>
        <w:rPr>
          <w:rFonts w:asciiTheme="majorBidi" w:hAnsiTheme="majorBidi" w:cstheme="majorBidi"/>
        </w:rPr>
      </w:pPr>
      <w:r w:rsidRPr="00F56A46">
        <w:rPr>
          <w:rFonts w:asciiTheme="majorBidi" w:hAnsiTheme="majorBidi" w:cstheme="majorBidi"/>
          <w:b/>
          <w:bCs/>
        </w:rPr>
        <w:t>Comment #</w:t>
      </w:r>
      <w:r w:rsidRPr="00F56A46">
        <w:rPr>
          <w:rFonts w:asciiTheme="majorBidi" w:hAnsiTheme="majorBidi" w:cstheme="majorBidi"/>
        </w:rPr>
        <w:t>3. Similar studies were found in PubMed. The authors shall cite some of them and discuss what is new and different from this article.</w:t>
      </w:r>
    </w:p>
    <w:p w14:paraId="097C3B4D" w14:textId="35002ECC" w:rsid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thank you for your detailed literature search.</w:t>
      </w:r>
      <w:r>
        <w:rPr>
          <w:rFonts w:asciiTheme="majorBidi" w:hAnsiTheme="majorBidi" w:cstheme="majorBidi"/>
          <w:color w:val="4472C4" w:themeColor="accent1"/>
        </w:rPr>
        <w:t xml:space="preserve"> Clinical trials have compared autologous and allogeneic MSCs, as can be seen in lines 418-425 (</w:t>
      </w:r>
      <w:r w:rsidRPr="00AD2ADE">
        <w:rPr>
          <w:rFonts w:asciiTheme="majorBidi" w:hAnsiTheme="majorBidi" w:cstheme="majorBidi"/>
          <w:color w:val="4472C4" w:themeColor="accent1"/>
        </w:rPr>
        <w:t xml:space="preserve">The POSEIDON trial, a phase 1/2 study in 30 patients, is the only one that directly compared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to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(Hare et al., 2012). It is also a dose-escalation study in which 20 million, 100 million, or 200 million cells were delivered through trans-endocardial injection. The results indicated that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and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were safe and exhibited potential regenerative bioactivity. However, it was excluded from our analysis due to lacking a control group (Hare et al., 2012). One systematic review and meta-analysis, including 82 studies from large animal models of ischemic heart disease, showed significant improvement in LVEF irrespective of the cells’ origin (</w:t>
      </w:r>
      <w:proofErr w:type="spellStart"/>
      <w:r w:rsidRPr="00AD2ADE">
        <w:rPr>
          <w:rFonts w:asciiTheme="majorBidi" w:hAnsiTheme="majorBidi" w:cstheme="majorBidi"/>
          <w:color w:val="4472C4" w:themeColor="accent1"/>
        </w:rPr>
        <w:t>Lorkeers</w:t>
      </w:r>
      <w:proofErr w:type="spellEnd"/>
      <w:r w:rsidRPr="00AD2ADE">
        <w:rPr>
          <w:rFonts w:asciiTheme="majorBidi" w:hAnsiTheme="majorBidi" w:cstheme="majorBidi"/>
          <w:color w:val="4472C4" w:themeColor="accent1"/>
        </w:rPr>
        <w:t xml:space="preserve"> et al., 2015).</w:t>
      </w:r>
    </w:p>
    <w:p w14:paraId="3DEDA89A" w14:textId="631012F6" w:rsidR="008D2A8B" w:rsidRPr="00F56A46" w:rsidRDefault="008D2A8B" w:rsidP="008D2A8B">
      <w:pPr>
        <w:jc w:val="both"/>
        <w:rPr>
          <w:rFonts w:asciiTheme="majorBidi" w:hAnsiTheme="majorBidi" w:cstheme="majorBidi"/>
        </w:rPr>
      </w:pPr>
      <w:r w:rsidRPr="00F56A46">
        <w:rPr>
          <w:rFonts w:asciiTheme="majorBidi" w:hAnsiTheme="majorBidi" w:cstheme="majorBidi"/>
          <w:color w:val="4472C4" w:themeColor="accent1"/>
        </w:rPr>
        <w:t xml:space="preserve">Although similar studies on MSCs' efficacy in HF are cited in the paper, no </w:t>
      </w:r>
      <w:r>
        <w:rPr>
          <w:rFonts w:asciiTheme="majorBidi" w:hAnsiTheme="majorBidi" w:cstheme="majorBidi"/>
          <w:color w:val="4472C4" w:themeColor="accent1"/>
        </w:rPr>
        <w:t>systematic review and meta-analysis</w:t>
      </w:r>
      <w:r w:rsidRPr="00F56A46">
        <w:rPr>
          <w:rFonts w:asciiTheme="majorBidi" w:hAnsiTheme="majorBidi" w:cstheme="majorBidi"/>
          <w:color w:val="4472C4" w:themeColor="accent1"/>
        </w:rPr>
        <w:t xml:space="preserve"> </w:t>
      </w:r>
      <w:r>
        <w:rPr>
          <w:rFonts w:asciiTheme="majorBidi" w:hAnsiTheme="majorBidi" w:cstheme="majorBidi"/>
          <w:color w:val="4472C4" w:themeColor="accent1"/>
        </w:rPr>
        <w:t>have</w:t>
      </w:r>
      <w:r w:rsidRPr="00F56A46">
        <w:rPr>
          <w:rFonts w:asciiTheme="majorBidi" w:hAnsiTheme="majorBidi" w:cstheme="majorBidi"/>
          <w:color w:val="4472C4" w:themeColor="accent1"/>
        </w:rPr>
        <w:t xml:space="preserve"> compared the efficacy of autologous vs. allogeneic MSCs</w:t>
      </w:r>
      <w:r>
        <w:rPr>
          <w:rFonts w:asciiTheme="majorBidi" w:hAnsiTheme="majorBidi" w:cstheme="majorBidi"/>
          <w:color w:val="4472C4" w:themeColor="accent1"/>
        </w:rPr>
        <w:t xml:space="preserve"> in clinical trials</w:t>
      </w:r>
      <w:r w:rsidRPr="00F56A46">
        <w:rPr>
          <w:rFonts w:asciiTheme="majorBidi" w:hAnsiTheme="majorBidi" w:cstheme="majorBidi"/>
          <w:color w:val="4472C4" w:themeColor="accent1"/>
        </w:rPr>
        <w:t>, which forms the basis of our paper's novelty.</w:t>
      </w:r>
    </w:p>
    <w:p w14:paraId="3752055A" w14:textId="7AB45E50" w:rsidR="008D2A8B" w:rsidRPr="00F56A46" w:rsidRDefault="008D2A8B" w:rsidP="008D2A8B">
      <w:pPr>
        <w:jc w:val="both"/>
        <w:rPr>
          <w:rFonts w:asciiTheme="majorBidi" w:hAnsiTheme="majorBidi" w:cstheme="majorBidi"/>
        </w:rPr>
      </w:pPr>
      <w:r w:rsidRPr="00F56A46">
        <w:rPr>
          <w:rFonts w:asciiTheme="majorBidi" w:hAnsiTheme="majorBidi" w:cstheme="majorBidi"/>
          <w:b/>
          <w:bCs/>
        </w:rPr>
        <w:t>Comment #</w:t>
      </w:r>
      <w:r w:rsidRPr="00F56A46">
        <w:rPr>
          <w:rFonts w:asciiTheme="majorBidi" w:hAnsiTheme="majorBidi" w:cstheme="majorBidi"/>
        </w:rPr>
        <w:t>4. Prepare a paragraph on the limitations of this article in the Section discussion. The discussion is not in-depth, limitations are lacking, and the clinical implications shall also be added.</w:t>
      </w:r>
    </w:p>
    <w:p w14:paraId="60A40D4F" w14:textId="77777777" w:rsid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Limitations and clinical implications have been added in the Discussion section. </w:t>
      </w:r>
      <w:r>
        <w:rPr>
          <w:rFonts w:asciiTheme="majorBidi" w:hAnsiTheme="majorBidi" w:cstheme="majorBidi"/>
          <w:color w:val="4472C4" w:themeColor="accent1"/>
        </w:rPr>
        <w:t>Please see lines 454-480 as follows:</w:t>
      </w:r>
    </w:p>
    <w:p w14:paraId="109F71B5" w14:textId="77777777" w:rsidR="008D2A8B" w:rsidRDefault="008D2A8B" w:rsidP="008D2A8B">
      <w:pPr>
        <w:jc w:val="both"/>
        <w:rPr>
          <w:rFonts w:asciiTheme="majorBidi" w:hAnsiTheme="majorBidi" w:cstheme="majorBidi"/>
          <w:color w:val="4472C4" w:themeColor="accent1"/>
        </w:rPr>
      </w:pPr>
    </w:p>
    <w:p w14:paraId="77DA624E" w14:textId="74931DA4" w:rsidR="008D2A8B" w:rsidRDefault="008D2A8B" w:rsidP="008D2A8B">
      <w:pPr>
        <w:jc w:val="both"/>
        <w:rPr>
          <w:rFonts w:asciiTheme="majorBidi" w:hAnsiTheme="majorBidi" w:cstheme="majorBidi"/>
          <w:color w:val="4472C4" w:themeColor="accent1"/>
        </w:rPr>
      </w:pPr>
      <w:r>
        <w:rPr>
          <w:rFonts w:asciiTheme="majorBidi" w:hAnsiTheme="majorBidi" w:cstheme="majorBidi"/>
          <w:color w:val="4472C4" w:themeColor="accent1"/>
        </w:rPr>
        <w:lastRenderedPageBreak/>
        <w:t>“</w:t>
      </w:r>
      <w:r w:rsidRPr="00AD2ADE">
        <w:rPr>
          <w:rFonts w:asciiTheme="majorBidi" w:hAnsiTheme="majorBidi" w:cstheme="majorBidi"/>
          <w:color w:val="4472C4" w:themeColor="accent1"/>
        </w:rPr>
        <w:t xml:space="preserve">Despite promising results, the lack of comprehensive cost-effectiveness analyses hinders informed decision-making regarding their adoption. Future research must prioritize economic evaluations to assess the feasibility of MSC-based therapies in real-world settings, ensuring they deliver both clinical benefits and sustainable value for healthcare systems. When writing this revised version of the manuscript, no new advanced phase clinical study has been reported providing a head-to-head comparison of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vs.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This lack of direct comparison evidence has already hindered a definitive conclusion about the superiority of one over the other. The use of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faces several potential limitations. Firstly, sourcing sufficient quantities of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from patients is challenging, particularly in cases where the source is compromised, such as in thin individuals or patients with myelofibrosis. Secondly, the biological activity and stemness of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decrease with age and the morbid health status of the donor, thus making it a challenge to acquire enough healthy and therapeutically effective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(Jung et al., 2014), Therefore, it is challenging to acquire enough healthy and therapeutically effective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(Cianfarani et al., 2013; Nie et al., 2010). Moreover, </w:t>
      </w:r>
      <w:proofErr w:type="spellStart"/>
      <w:r w:rsidRPr="00AD2ADE">
        <w:rPr>
          <w:rFonts w:asciiTheme="majorBidi" w:hAnsiTheme="majorBidi" w:cstheme="majorBidi"/>
          <w:color w:val="4472C4" w:themeColor="accent1"/>
        </w:rPr>
        <w:t>AutoMSCs</w:t>
      </w:r>
      <w:proofErr w:type="spellEnd"/>
      <w:r w:rsidRPr="00AD2ADE">
        <w:rPr>
          <w:rFonts w:asciiTheme="majorBidi" w:hAnsiTheme="majorBidi" w:cstheme="majorBidi"/>
          <w:color w:val="4472C4" w:themeColor="accent1"/>
        </w:rPr>
        <w:t xml:space="preserve"> are logistically time-intensive, requiring longer waiting to isolate, purify, and expand the cells to achieve the required cell number, rendering their emergency room utility very difficult to treat acute conditions, i.e., stroke and myocardial infarction. On the contrary,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provide an off-the-shelf, ready-to-use availability of cells to overcome logistic issues. Also, their use may help avoid donor age and health-related issues. Although most in vitro studies have highlighted the immunosuppressive properties of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several studies have evidenced their immunogenicity, which is accentuated in the proinflammatory milieu (Ankrum et al., 2014). Preclinical investigations showed alloantibodies after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delivery (Poncelet et al., 2007; Schu et al., 2012) besides an increased number of neutrophils, monocytes, and T cells at the site of intracranial injection of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(Camp et al., 2009). There is evidence of productive allorecognition by B cells and anti-donor T-cell and NK-cell responses to </w:t>
      </w:r>
      <w:proofErr w:type="spellStart"/>
      <w:r w:rsidRPr="00AD2ADE">
        <w:rPr>
          <w:rFonts w:asciiTheme="majorBidi" w:hAnsiTheme="majorBidi" w:cstheme="majorBidi"/>
          <w:color w:val="4472C4" w:themeColor="accent1"/>
        </w:rPr>
        <w:t>AlloMSCs</w:t>
      </w:r>
      <w:proofErr w:type="spellEnd"/>
      <w:r w:rsidRPr="00AD2ADE">
        <w:rPr>
          <w:rFonts w:asciiTheme="majorBidi" w:hAnsiTheme="majorBidi" w:cstheme="majorBidi"/>
          <w:color w:val="4472C4" w:themeColor="accent1"/>
        </w:rPr>
        <w:t xml:space="preserve"> delivery in immuno-competent rhesus macaques (Isakova et al., 2014). The magnitude of the host </w:t>
      </w:r>
      <w:proofErr w:type="spellStart"/>
      <w:r w:rsidRPr="00AD2ADE">
        <w:rPr>
          <w:rFonts w:asciiTheme="majorBidi" w:hAnsiTheme="majorBidi" w:cstheme="majorBidi"/>
          <w:color w:val="4472C4" w:themeColor="accent1"/>
        </w:rPr>
        <w:t>allo</w:t>
      </w:r>
      <w:proofErr w:type="spellEnd"/>
      <w:r w:rsidRPr="00AD2ADE">
        <w:rPr>
          <w:rFonts w:asciiTheme="majorBidi" w:hAnsiTheme="majorBidi" w:cstheme="majorBidi"/>
          <w:color w:val="4472C4" w:themeColor="accent1"/>
        </w:rPr>
        <w:t>-response was influenced by the degree of MHC class I and II mismatch between the donor and host.</w:t>
      </w:r>
      <w:r>
        <w:rPr>
          <w:rFonts w:asciiTheme="majorBidi" w:hAnsiTheme="majorBidi" w:cstheme="majorBidi"/>
          <w:color w:val="4472C4" w:themeColor="accent1"/>
        </w:rPr>
        <w:t>”</w:t>
      </w:r>
    </w:p>
    <w:p w14:paraId="0EABB1A9" w14:textId="4AE52313" w:rsidR="008D2A8B" w:rsidRDefault="008D2A8B" w:rsidP="008D2A8B">
      <w:pPr>
        <w:jc w:val="both"/>
        <w:rPr>
          <w:rFonts w:asciiTheme="majorBidi" w:hAnsiTheme="majorBidi" w:cstheme="majorBidi"/>
          <w:color w:val="4472C4" w:themeColor="accent1"/>
        </w:rPr>
      </w:pPr>
      <w:r>
        <w:rPr>
          <w:rFonts w:asciiTheme="majorBidi" w:hAnsiTheme="majorBidi" w:cstheme="majorBidi"/>
          <w:color w:val="4472C4" w:themeColor="accent1"/>
        </w:rPr>
        <w:t>Also, new insights into limitations have been introduced in lines 490-498 as follows:</w:t>
      </w:r>
    </w:p>
    <w:p w14:paraId="73F2B172" w14:textId="537F6B8A" w:rsidR="008D2A8B" w:rsidRPr="008D2A8B" w:rsidRDefault="008D2A8B" w:rsidP="008D2A8B">
      <w:pPr>
        <w:jc w:val="both"/>
        <w:rPr>
          <w:rFonts w:asciiTheme="majorBidi" w:hAnsiTheme="majorBidi" w:cstheme="majorBidi"/>
          <w:color w:val="4472C4" w:themeColor="accent1"/>
        </w:rPr>
      </w:pPr>
      <w:r>
        <w:rPr>
          <w:rFonts w:asciiTheme="majorBidi" w:hAnsiTheme="majorBidi" w:cstheme="majorBidi"/>
          <w:color w:val="4472C4" w:themeColor="accent1"/>
        </w:rPr>
        <w:t>“</w:t>
      </w:r>
      <w:r w:rsidRPr="00A40636">
        <w:rPr>
          <w:rFonts w:asciiTheme="majorBidi" w:hAnsiTheme="majorBidi" w:cstheme="majorBidi"/>
          <w:color w:val="4472C4" w:themeColor="accent1"/>
        </w:rPr>
        <w:t xml:space="preserve">Although the study demonstrated promising safety and efficacy data with improved functional outcomes, such as the 6-MWD, it has certain limitations. For instance, inconsistencies in reporting functional parameters, including the 6-MWD and New York Heart Association (NYHA) class during follow-up, hindered </w:t>
      </w:r>
      <w:r>
        <w:rPr>
          <w:rFonts w:asciiTheme="majorBidi" w:hAnsiTheme="majorBidi" w:cstheme="majorBidi"/>
          <w:color w:val="4472C4" w:themeColor="accent1"/>
        </w:rPr>
        <w:t xml:space="preserve">the </w:t>
      </w:r>
      <w:r w:rsidRPr="00A40636">
        <w:rPr>
          <w:rFonts w:asciiTheme="majorBidi" w:hAnsiTheme="majorBidi" w:cstheme="majorBidi"/>
          <w:color w:val="4472C4" w:themeColor="accent1"/>
        </w:rPr>
        <w:t xml:space="preserve">accurate assessment of valuable clinical outcomes. Furthermore, trials exploring head-to-head comparison of </w:t>
      </w:r>
      <w:proofErr w:type="spellStart"/>
      <w:r w:rsidRPr="00A40636">
        <w:rPr>
          <w:rFonts w:asciiTheme="majorBidi" w:hAnsiTheme="majorBidi" w:cstheme="majorBidi"/>
          <w:color w:val="4472C4" w:themeColor="accent1"/>
        </w:rPr>
        <w:t>AutoMSCs</w:t>
      </w:r>
      <w:proofErr w:type="spellEnd"/>
      <w:r w:rsidRPr="00A40636">
        <w:rPr>
          <w:rFonts w:asciiTheme="majorBidi" w:hAnsiTheme="majorBidi" w:cstheme="majorBidi"/>
          <w:color w:val="4472C4" w:themeColor="accent1"/>
        </w:rPr>
        <w:t xml:space="preserve"> vs. </w:t>
      </w:r>
      <w:proofErr w:type="spellStart"/>
      <w:r w:rsidRPr="00A40636">
        <w:rPr>
          <w:rFonts w:asciiTheme="majorBidi" w:hAnsiTheme="majorBidi" w:cstheme="majorBidi"/>
          <w:color w:val="4472C4" w:themeColor="accent1"/>
        </w:rPr>
        <w:t>AlloMSCs</w:t>
      </w:r>
      <w:proofErr w:type="spellEnd"/>
      <w:r w:rsidRPr="00A40636">
        <w:rPr>
          <w:rFonts w:asciiTheme="majorBidi" w:hAnsiTheme="majorBidi" w:cstheme="majorBidi"/>
          <w:color w:val="4472C4" w:themeColor="accent1"/>
        </w:rPr>
        <w:t xml:space="preserve"> via multi-arm comparison were excluded, primarily due to the absence of a control arm. Additionally, variability in clinical design elements, such as the administration route, source, sampling site, and follow-up duration, may introduce bias and impact result reliability. Nonetheless, the findings offer initial insights into the dose-response relationship to inform future clinical trial designs.</w:t>
      </w:r>
      <w:r>
        <w:rPr>
          <w:rFonts w:asciiTheme="majorBidi" w:hAnsiTheme="majorBidi" w:cstheme="majorBidi"/>
          <w:color w:val="4472C4" w:themeColor="accent1"/>
        </w:rPr>
        <w:t>”</w:t>
      </w:r>
    </w:p>
    <w:p w14:paraId="3084237E" w14:textId="5A4D6C97" w:rsidR="008D2A8B" w:rsidRPr="00F56A46" w:rsidRDefault="008D2A8B" w:rsidP="008D2A8B">
      <w:pPr>
        <w:jc w:val="both"/>
        <w:rPr>
          <w:rFonts w:asciiTheme="majorBidi" w:hAnsiTheme="majorBidi" w:cstheme="majorBidi"/>
        </w:rPr>
      </w:pPr>
      <w:r w:rsidRPr="00F56A46">
        <w:rPr>
          <w:rFonts w:asciiTheme="majorBidi" w:hAnsiTheme="majorBidi" w:cstheme="majorBidi"/>
          <w:b/>
          <w:bCs/>
        </w:rPr>
        <w:t>Comment #</w:t>
      </w:r>
      <w:r w:rsidRPr="00F56A46">
        <w:rPr>
          <w:rFonts w:asciiTheme="majorBidi" w:hAnsiTheme="majorBidi" w:cstheme="majorBidi"/>
        </w:rPr>
        <w:t>5. The reference style may be incorrect. Please refer to the author's guidelines carefully.</w:t>
      </w:r>
    </w:p>
    <w:p w14:paraId="6CA7F25A" w14:textId="674BC66D"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have revisited the reference section and corrected the reference style </w:t>
      </w:r>
      <w:r>
        <w:rPr>
          <w:rFonts w:asciiTheme="majorBidi" w:hAnsiTheme="majorBidi" w:cstheme="majorBidi"/>
          <w:color w:val="4472C4" w:themeColor="accent1"/>
        </w:rPr>
        <w:t>using the Vancouver style per the author's guidelines</w:t>
      </w:r>
      <w:r w:rsidRPr="00F56A46">
        <w:rPr>
          <w:rFonts w:asciiTheme="majorBidi" w:hAnsiTheme="majorBidi" w:cstheme="majorBidi"/>
          <w:color w:val="4472C4" w:themeColor="accent1"/>
        </w:rPr>
        <w:t>.</w:t>
      </w:r>
    </w:p>
    <w:p w14:paraId="02096661" w14:textId="77777777" w:rsidR="008D2A8B" w:rsidRPr="00386095" w:rsidRDefault="008D2A8B" w:rsidP="008D2A8B">
      <w:pPr>
        <w:rPr>
          <w:rFonts w:cstheme="minorHAnsi"/>
          <w:b/>
          <w:bCs/>
          <w:color w:val="000000" w:themeColor="text1"/>
          <w:sz w:val="32"/>
          <w:szCs w:val="32"/>
          <w:u w:val="single"/>
        </w:rPr>
      </w:pPr>
      <w:r w:rsidRPr="00386095">
        <w:rPr>
          <w:rFonts w:cstheme="minorHAnsi"/>
          <w:b/>
          <w:bCs/>
          <w:color w:val="000000" w:themeColor="text1"/>
          <w:sz w:val="32"/>
          <w:szCs w:val="32"/>
          <w:u w:val="single"/>
        </w:rPr>
        <w:t>Reviewer #1 [Rev 2 Comments]:</w:t>
      </w:r>
    </w:p>
    <w:p w14:paraId="1FDB403B" w14:textId="77777777" w:rsidR="008D2A8B" w:rsidRPr="008D2A8B" w:rsidRDefault="008D2A8B" w:rsidP="008D2A8B">
      <w:pPr>
        <w:jc w:val="both"/>
        <w:rPr>
          <w:b/>
          <w:bCs/>
          <w:sz w:val="24"/>
          <w:szCs w:val="24"/>
        </w:rPr>
      </w:pPr>
      <w:r w:rsidRPr="008D2A8B">
        <w:rPr>
          <w:b/>
          <w:bCs/>
          <w:sz w:val="24"/>
          <w:szCs w:val="24"/>
        </w:rPr>
        <w:t>Comments #1:</w:t>
      </w:r>
      <w:r w:rsidRPr="008D2A8B">
        <w:rPr>
          <w:sz w:val="24"/>
          <w:szCs w:val="24"/>
        </w:rPr>
        <w:t xml:space="preserve"> The author shall re-read the previous questions carefully and resubmit this manuscript + response letter.</w:t>
      </w:r>
      <w:r w:rsidRPr="008D2A8B">
        <w:rPr>
          <w:sz w:val="24"/>
          <w:szCs w:val="24"/>
        </w:rPr>
        <w:br/>
      </w:r>
      <w:r w:rsidRPr="008D2A8B">
        <w:rPr>
          <w:b/>
          <w:bCs/>
          <w:sz w:val="24"/>
          <w:szCs w:val="24"/>
        </w:rPr>
        <w:t>Authors’ response:</w:t>
      </w:r>
    </w:p>
    <w:p w14:paraId="47346F2F" w14:textId="6108412D" w:rsidR="008D2A8B" w:rsidRPr="008D2A8B" w:rsidRDefault="008D2A8B" w:rsidP="008D2A8B">
      <w:pPr>
        <w:jc w:val="both"/>
        <w:rPr>
          <w:color w:val="0070C0"/>
          <w:sz w:val="24"/>
          <w:szCs w:val="24"/>
        </w:rPr>
      </w:pPr>
      <w:r w:rsidRPr="008D2A8B">
        <w:rPr>
          <w:color w:val="0070C0"/>
          <w:sz w:val="24"/>
          <w:szCs w:val="24"/>
        </w:rPr>
        <w:lastRenderedPageBreak/>
        <w:t>The manuscript has been revised, and the reviewer's comments have been responded to and provided as a separate file (itemized response in blue text). The changes have also been highlighted in the manuscript.</w:t>
      </w:r>
    </w:p>
    <w:p w14:paraId="419A4806" w14:textId="77777777" w:rsidR="008D2A8B" w:rsidRPr="008D2A8B" w:rsidRDefault="008D2A8B" w:rsidP="008D2A8B">
      <w:pPr>
        <w:jc w:val="both"/>
        <w:rPr>
          <w:sz w:val="24"/>
          <w:szCs w:val="24"/>
        </w:rPr>
      </w:pPr>
      <w:r w:rsidRPr="008D2A8B">
        <w:rPr>
          <w:b/>
          <w:bCs/>
          <w:sz w:val="24"/>
          <w:szCs w:val="24"/>
        </w:rPr>
        <w:t>Comments #2:</w:t>
      </w:r>
      <w:r w:rsidRPr="008D2A8B">
        <w:rPr>
          <w:sz w:val="24"/>
          <w:szCs w:val="24"/>
        </w:rPr>
        <w:t xml:space="preserve"> Please upload the response letter as a PDF file in the Supplementary materials in the online submission system. </w:t>
      </w:r>
    </w:p>
    <w:p w14:paraId="56C9E1E0" w14:textId="77777777" w:rsidR="008D2A8B" w:rsidRPr="008D2A8B" w:rsidRDefault="008D2A8B" w:rsidP="008D2A8B">
      <w:pPr>
        <w:jc w:val="both"/>
        <w:rPr>
          <w:b/>
          <w:bCs/>
          <w:sz w:val="24"/>
          <w:szCs w:val="24"/>
        </w:rPr>
      </w:pPr>
      <w:r w:rsidRPr="008D2A8B">
        <w:rPr>
          <w:b/>
          <w:bCs/>
          <w:sz w:val="24"/>
          <w:szCs w:val="24"/>
        </w:rPr>
        <w:t>Authors’ response:</w:t>
      </w:r>
    </w:p>
    <w:p w14:paraId="6CD47EC3" w14:textId="14B945AD" w:rsidR="008D2A8B" w:rsidRPr="008D2A8B" w:rsidRDefault="008D2A8B" w:rsidP="008D2A8B">
      <w:pPr>
        <w:jc w:val="both"/>
        <w:rPr>
          <w:color w:val="0070C0"/>
          <w:sz w:val="24"/>
          <w:szCs w:val="24"/>
        </w:rPr>
      </w:pPr>
      <w:r w:rsidRPr="008D2A8B">
        <w:rPr>
          <w:color w:val="0070C0"/>
          <w:sz w:val="24"/>
          <w:szCs w:val="24"/>
        </w:rPr>
        <w:t>The itemized response has been included in the Supplementary materials per the reviewer's suggestion.</w:t>
      </w:r>
    </w:p>
    <w:p w14:paraId="2F0FFB13" w14:textId="77777777" w:rsidR="008D2A8B" w:rsidRPr="008D2A8B" w:rsidRDefault="008D2A8B" w:rsidP="008D2A8B">
      <w:pPr>
        <w:jc w:val="both"/>
        <w:rPr>
          <w:sz w:val="24"/>
          <w:szCs w:val="24"/>
        </w:rPr>
      </w:pPr>
      <w:r w:rsidRPr="008D2A8B">
        <w:rPr>
          <w:b/>
          <w:bCs/>
          <w:sz w:val="24"/>
          <w:szCs w:val="24"/>
        </w:rPr>
        <w:t>Comments #3:</w:t>
      </w:r>
      <w:r w:rsidRPr="008D2A8B">
        <w:rPr>
          <w:sz w:val="24"/>
          <w:szCs w:val="24"/>
        </w:rPr>
        <w:t xml:space="preserve"> Please give a detailed response. Please write down what changes have been made in the response letter rather than reading the manuscript to find what has been revised. Please avoid using Microsoft Office's revisions mode. Please mark this revised font as blue only. And please note that any uncompleted or improper corrections by the authors during </w:t>
      </w:r>
    </w:p>
    <w:p w14:paraId="131FC1AD" w14:textId="77777777" w:rsidR="008D2A8B" w:rsidRPr="008D2A8B" w:rsidRDefault="008D2A8B" w:rsidP="008D2A8B">
      <w:pPr>
        <w:jc w:val="both"/>
        <w:rPr>
          <w:b/>
          <w:bCs/>
          <w:sz w:val="24"/>
          <w:szCs w:val="24"/>
        </w:rPr>
      </w:pPr>
      <w:r w:rsidRPr="008D2A8B">
        <w:rPr>
          <w:b/>
          <w:bCs/>
          <w:sz w:val="24"/>
          <w:szCs w:val="24"/>
        </w:rPr>
        <w:t>Authors’ response:</w:t>
      </w:r>
    </w:p>
    <w:p w14:paraId="4455BF0C" w14:textId="77777777" w:rsidR="008D2A8B" w:rsidRPr="008D2A8B" w:rsidRDefault="008D2A8B" w:rsidP="008D2A8B">
      <w:pPr>
        <w:jc w:val="both"/>
        <w:rPr>
          <w:rFonts w:cstheme="minorHAnsi"/>
          <w:color w:val="000000" w:themeColor="text1"/>
          <w:sz w:val="24"/>
          <w:szCs w:val="24"/>
        </w:rPr>
      </w:pPr>
      <w:r w:rsidRPr="008D2A8B">
        <w:rPr>
          <w:rFonts w:cstheme="minorHAnsi"/>
          <w:color w:val="0070C0"/>
          <w:sz w:val="24"/>
          <w:szCs w:val="24"/>
        </w:rPr>
        <w:t>A detailed response has been provided as an “Itemized response to the reviewer’s comments” in blue font, as suggested by the reviewer. For the ease of the reviewers, the responses to the comments for Rev1 and Rev2 have been consolidated in one file.</w:t>
      </w:r>
      <w:r w:rsidRPr="008D2A8B">
        <w:rPr>
          <w:rFonts w:cstheme="minorHAnsi"/>
          <w:color w:val="000000" w:themeColor="text1"/>
          <w:sz w:val="24"/>
          <w:szCs w:val="24"/>
        </w:rPr>
        <w:t xml:space="preserve"> </w:t>
      </w:r>
      <w:r w:rsidRPr="008D2A8B">
        <w:rPr>
          <w:rFonts w:cstheme="minorHAnsi"/>
          <w:color w:val="0070C0"/>
          <w:sz w:val="24"/>
          <w:szCs w:val="24"/>
        </w:rPr>
        <w:t xml:space="preserve">Also, the changes have been highlighted in </w:t>
      </w:r>
      <w:r w:rsidRPr="008D2A8B">
        <w:rPr>
          <w:rFonts w:cstheme="minorHAnsi"/>
          <w:color w:val="0070C0"/>
          <w:sz w:val="24"/>
          <w:szCs w:val="24"/>
          <w:u w:val="single"/>
        </w:rPr>
        <w:t>blue underlined text</w:t>
      </w:r>
      <w:r w:rsidRPr="008D2A8B">
        <w:rPr>
          <w:rFonts w:cstheme="minorHAnsi"/>
          <w:color w:val="0070C0"/>
          <w:sz w:val="24"/>
          <w:szCs w:val="24"/>
        </w:rPr>
        <w:t xml:space="preserve"> </w:t>
      </w:r>
      <w:r w:rsidRPr="008D2A8B">
        <w:rPr>
          <w:rFonts w:cstheme="minorHAnsi"/>
          <w:sz w:val="24"/>
          <w:szCs w:val="24"/>
        </w:rPr>
        <w:t>in the manuscript per the reviewer's suggestion</w:t>
      </w:r>
      <w:r w:rsidRPr="008D2A8B">
        <w:rPr>
          <w:rFonts w:cstheme="minorHAnsi"/>
          <w:color w:val="0070C0"/>
          <w:sz w:val="24"/>
          <w:szCs w:val="24"/>
        </w:rPr>
        <w:t>.</w:t>
      </w:r>
    </w:p>
    <w:p w14:paraId="48F56D23" w14:textId="0D671144" w:rsidR="008D2A8B" w:rsidRPr="008D2A8B" w:rsidRDefault="008D2A8B" w:rsidP="008D2A8B">
      <w:pPr>
        <w:rPr>
          <w:rFonts w:asciiTheme="majorBidi" w:hAnsiTheme="majorBidi" w:cstheme="majorBidi"/>
          <w:b/>
          <w:bCs/>
          <w:color w:val="000000" w:themeColor="text1"/>
          <w:sz w:val="32"/>
          <w:szCs w:val="32"/>
          <w:u w:val="single"/>
        </w:rPr>
      </w:pPr>
      <w:r w:rsidRPr="00F56A46">
        <w:rPr>
          <w:rFonts w:asciiTheme="majorBidi" w:hAnsiTheme="majorBidi" w:cstheme="majorBidi"/>
          <w:b/>
          <w:bCs/>
          <w:color w:val="000000" w:themeColor="text1"/>
          <w:sz w:val="32"/>
          <w:szCs w:val="32"/>
          <w:u w:val="single"/>
        </w:rPr>
        <w:t>Reviewer #2</w:t>
      </w:r>
      <w:r>
        <w:rPr>
          <w:rFonts w:asciiTheme="majorBidi" w:hAnsiTheme="majorBidi" w:cstheme="majorBidi"/>
          <w:b/>
          <w:bCs/>
          <w:color w:val="000000" w:themeColor="text1"/>
          <w:sz w:val="32"/>
          <w:szCs w:val="32"/>
          <w:u w:val="single"/>
        </w:rPr>
        <w:t xml:space="preserve"> [Rev 1 Comments]</w:t>
      </w:r>
      <w:r w:rsidRPr="00F56A46">
        <w:rPr>
          <w:rFonts w:asciiTheme="majorBidi" w:hAnsiTheme="majorBidi" w:cstheme="majorBidi"/>
          <w:b/>
          <w:bCs/>
          <w:color w:val="000000" w:themeColor="text1"/>
          <w:sz w:val="32"/>
          <w:szCs w:val="32"/>
          <w:u w:val="single"/>
        </w:rPr>
        <w:t>:</w:t>
      </w:r>
    </w:p>
    <w:p w14:paraId="6EB537A4" w14:textId="460E2615"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color w:val="000000" w:themeColor="text1"/>
        </w:rPr>
        <w:t>This manuscript presents a systematic review and meta-analysis comparing allogeneic and autologous mesenchymal stem cells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vs.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in the treatment of heart failure with reduced ejection fraction (</w:t>
      </w:r>
      <w:proofErr w:type="spellStart"/>
      <w:r w:rsidRPr="00F56A46">
        <w:rPr>
          <w:rFonts w:asciiTheme="majorBidi" w:hAnsiTheme="majorBidi" w:cstheme="majorBidi"/>
          <w:color w:val="000000" w:themeColor="text1"/>
        </w:rPr>
        <w:t>HFrEF</w:t>
      </w:r>
      <w:proofErr w:type="spellEnd"/>
      <w:r w:rsidRPr="00F56A46">
        <w:rPr>
          <w:rFonts w:asciiTheme="majorBidi" w:hAnsiTheme="majorBidi" w:cstheme="majorBidi"/>
          <w:color w:val="000000" w:themeColor="text1"/>
        </w:rPr>
        <w:t xml:space="preserve">). While comparative analyses of MSC therapies have been previously conducted, the focus on the head-to-head comparison of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and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xml:space="preserve"> in cardiovascular applications is novel and timely. However, several points must be further addressed to support the conclusion fully.</w:t>
      </w:r>
    </w:p>
    <w:p w14:paraId="49A90A70" w14:textId="27D7DF4D" w:rsidR="008D2A8B" w:rsidRPr="008D2A8B" w:rsidRDefault="008D2A8B" w:rsidP="008D2A8B">
      <w:pPr>
        <w:jc w:val="both"/>
        <w:rPr>
          <w:rFonts w:asciiTheme="majorBidi" w:hAnsiTheme="majorBidi" w:cstheme="majorBidi"/>
          <w:b/>
          <w:bCs/>
          <w:color w:val="000000" w:themeColor="text1"/>
        </w:rPr>
      </w:pPr>
      <w:r w:rsidRPr="00F56A46">
        <w:rPr>
          <w:rFonts w:asciiTheme="majorBidi" w:hAnsiTheme="majorBidi" w:cstheme="majorBidi"/>
          <w:b/>
          <w:bCs/>
          <w:color w:val="000000" w:themeColor="text1"/>
        </w:rPr>
        <w:t>Major points:</w:t>
      </w:r>
    </w:p>
    <w:p w14:paraId="75023610" w14:textId="77777777"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 The authors report a systematic literature search across four major databases and registers, adhering to PRISMA guidelines. However, the selection of only 13 RCTs raises concerns about whether potentially relevant studies were excluded prematurely, especially given the large initial pool of articles retrieved. Please provide more details about the inclusion/exclusion process, particularly for excluded articles after full-text review.</w:t>
      </w:r>
    </w:p>
    <w:p w14:paraId="70E0F9AC" w14:textId="77777777" w:rsidR="008D2A8B" w:rsidRPr="00F56A46" w:rsidRDefault="008D2A8B" w:rsidP="008D2A8B">
      <w:pPr>
        <w:jc w:val="both"/>
        <w:rPr>
          <w:rFonts w:asciiTheme="majorBidi" w:hAnsiTheme="majorBidi" w:cstheme="majorBidi"/>
          <w:color w:val="000000" w:themeColor="text1"/>
        </w:rPr>
      </w:pPr>
    </w:p>
    <w:p w14:paraId="01D7310D" w14:textId="77777777" w:rsidR="008D2A8B" w:rsidRPr="00F56A46"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thank you for the valid observation. A critical factor for study exclusion was adjunct interventions alongside MSC-based therapy. We intended to eliminate any confounder effect of the adjunct interventions that might render the actual impact of MSCs unclear. Second, the proposed use of MSCs in clinical settings so far is of cell therapy injection (regardless of the route of administration), and other accompanying interventions to MSC treatment might not be feasible for clinical utility in differing clinical settings. In addition, as we are directly comparing two different sources of MSCs, it would be more advisable to compare them as sole-treatment modalities. A second </w:t>
      </w:r>
      <w:r w:rsidRPr="00F56A46">
        <w:rPr>
          <w:rFonts w:asciiTheme="majorBidi" w:hAnsiTheme="majorBidi" w:cstheme="majorBidi"/>
          <w:color w:val="4472C4" w:themeColor="accent1"/>
        </w:rPr>
        <w:lastRenderedPageBreak/>
        <w:t xml:space="preserve">reason for the exclusion was the lack of control groups in those trials, which hindered their inclusion in a meta-analysis. </w:t>
      </w:r>
    </w:p>
    <w:p w14:paraId="7C277D75" w14:textId="1F9E677D"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color w:val="4472C4" w:themeColor="accent1"/>
        </w:rPr>
        <w:t>This information has been included in the inclusion and exclusion criteria.</w:t>
      </w:r>
    </w:p>
    <w:p w14:paraId="61972BA3" w14:textId="1AF4EA13"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2. The exploration of heterogeneity sources is limited. Subgroup analyses based on cell source, delivery method, and follow-up duration are presented but lack sufficient discussion. Please conduct additional subgroup analyses or meta-regression to identify the impact of variables like baseline patient characteristics or differences in trial design on heterogeneity.</w:t>
      </w:r>
    </w:p>
    <w:p w14:paraId="50BB8B70" w14:textId="40C48F34"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 xml:space="preserve">Author’s Response: </w:t>
      </w:r>
      <w:r w:rsidRPr="00F56A46">
        <w:rPr>
          <w:rFonts w:asciiTheme="majorBidi" w:hAnsiTheme="majorBidi" w:cstheme="majorBidi"/>
          <w:color w:val="4472C4" w:themeColor="accent1"/>
        </w:rPr>
        <w:t>We thank you for your valuable suggestion. To include continuous and categorical variables, we have conducted a meta-regression analysis for the primary parameter, LVEF, showing significant prediction and sources of heterogeneity. Please see lines 268-271 and 361-366 and Supplementary Table 9.</w:t>
      </w:r>
    </w:p>
    <w:p w14:paraId="6862CEA1" w14:textId="4FB68F7D"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3. Please provide more details on the quality assessment criteria (Jadad scale) and their implications for the meta-analysis outcomes. Elaborate on the selection rationale for excluding specific trials.</w:t>
      </w:r>
    </w:p>
    <w:p w14:paraId="0EB57389" w14:textId="29AB80D5"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have added an explanation of applying the Jadad score and the exclusion process (lines 235-245).</w:t>
      </w:r>
    </w:p>
    <w:p w14:paraId="34FB348B" w14:textId="337A3DBA"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4. For the discussion section, please emphasize the practical challenges of translating MSC therapies into clinical practice and highlight the need for cost-effectiveness analyses in future research.</w:t>
      </w:r>
    </w:p>
    <w:p w14:paraId="4CECEB67" w14:textId="2F35E0C7"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have incorporated the suggested information in the discussion sections. Please refer to lines 469-500</w:t>
      </w:r>
    </w:p>
    <w:p w14:paraId="4B608187" w14:textId="40FD017E"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5. The statistical methods are rigorous, but the interpretation of results could be more nuanced. Explain how small effect sizes, such as LVEF improvements, translate to clinical outcomes. Could a 1-2% change in LVEF justify the adoption of MSC therapy?</w:t>
      </w:r>
    </w:p>
    <w:p w14:paraId="0D63AECF" w14:textId="452F1863"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As suggested, we have implemented this into our discussion; kindly check lines 452-466. </w:t>
      </w:r>
    </w:p>
    <w:p w14:paraId="664B5AE9" w14:textId="3AC77118" w:rsidR="008D2A8B" w:rsidRPr="008D2A8B" w:rsidRDefault="008D2A8B" w:rsidP="008D2A8B">
      <w:pPr>
        <w:jc w:val="both"/>
        <w:rPr>
          <w:rFonts w:asciiTheme="majorBidi" w:hAnsiTheme="majorBidi" w:cstheme="majorBidi"/>
          <w:b/>
          <w:bCs/>
          <w:color w:val="000000" w:themeColor="text1"/>
        </w:rPr>
      </w:pPr>
      <w:r w:rsidRPr="00F56A46">
        <w:rPr>
          <w:rFonts w:asciiTheme="majorBidi" w:hAnsiTheme="majorBidi" w:cstheme="majorBidi"/>
          <w:b/>
          <w:bCs/>
          <w:color w:val="000000" w:themeColor="text1"/>
        </w:rPr>
        <w:t>Minor points:</w:t>
      </w:r>
    </w:p>
    <w:p w14:paraId="2F4F1521" w14:textId="104A8B79"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1. Pooled effect sizes are scattered across multiple forest plots, making it difficult to summarize the findings. Please add a summary table consolidating key effect sizes (e.g., LVEF, 6-MWD, LVEDV) with 95% CI and p-values. Divide the table into columns for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and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with an additional column for "Comparison Results" to indicate differences.</w:t>
      </w:r>
    </w:p>
    <w:p w14:paraId="44447662" w14:textId="16D56E10"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thank you for the suggestion. Please refer to Table 3. </w:t>
      </w:r>
    </w:p>
    <w:p w14:paraId="117E5982" w14:textId="77777777"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2. Sources of heterogeneity (I²) are not adequately visualized, and their impact on the results is only discussed in the text. Please create a bar chart or scatter plot to display I² values for each study and their effects on pooled estimates, helping readers quickly identify key contributors to heterogeneity.</w:t>
      </w:r>
    </w:p>
    <w:p w14:paraId="17264318" w14:textId="14EC0BC5"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thank you for the valuable suggestion. We added a Galbraith scatter plot demonstrating outlier studies raising the heterogeneity (Figure 7).</w:t>
      </w:r>
    </w:p>
    <w:p w14:paraId="48DA1805" w14:textId="3E8C41A2"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3. The literature search concluded in March 2024, which ensures recent studies are included. However, the review would benefit from a brief discussion on whether any significant trials published after the search period could alter the findings.</w:t>
      </w:r>
    </w:p>
    <w:p w14:paraId="1356E4FB" w14:textId="25BEBF1E"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lastRenderedPageBreak/>
        <w:t>Authors’ Response:</w:t>
      </w:r>
      <w:r w:rsidRPr="00F56A46">
        <w:rPr>
          <w:rFonts w:asciiTheme="majorBidi" w:hAnsiTheme="majorBidi" w:cstheme="majorBidi"/>
          <w:color w:val="4472C4" w:themeColor="accent1"/>
        </w:rPr>
        <w:t xml:space="preserve"> Thank you for pointing this out. We added an annotation to it; please see lines 476-80.</w:t>
      </w:r>
    </w:p>
    <w:p w14:paraId="68301E2A" w14:textId="21B69E85"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4. In the methods section of the abstract, you mentioned that the results of MACEs and death are also key findings of this study. Please report these results accordingly in the results section.</w:t>
      </w:r>
    </w:p>
    <w:p w14:paraId="02252515" w14:textId="75EC05C4"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Refer to lines 325-340 and figures 2 &amp; 4.</w:t>
      </w:r>
    </w:p>
    <w:p w14:paraId="7DDD5E00" w14:textId="7AA62BE8"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 xml:space="preserve">5. Introduction, paragraph 3: Most of the sentences describe the advantages of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xml:space="preserve"> themselves. Please compare the controversial points that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xml:space="preserve"> and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treat </w:t>
      </w:r>
      <w:proofErr w:type="spellStart"/>
      <w:r w:rsidRPr="00F56A46">
        <w:rPr>
          <w:rFonts w:asciiTheme="majorBidi" w:hAnsiTheme="majorBidi" w:cstheme="majorBidi"/>
          <w:color w:val="000000" w:themeColor="text1"/>
        </w:rPr>
        <w:t>HFrEF</w:t>
      </w:r>
      <w:proofErr w:type="spellEnd"/>
      <w:r w:rsidRPr="00F56A46">
        <w:rPr>
          <w:rFonts w:asciiTheme="majorBidi" w:hAnsiTheme="majorBidi" w:cstheme="majorBidi"/>
          <w:color w:val="000000" w:themeColor="text1"/>
        </w:rPr>
        <w:t>.</w:t>
      </w:r>
    </w:p>
    <w:p w14:paraId="3FA94E92" w14:textId="53EF5F49"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This information is included in the introduction and Discussion section.</w:t>
      </w:r>
    </w:p>
    <w:p w14:paraId="4CC0E454" w14:textId="2127650A"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6. Introduction, paragraph 4: please report the means of evaluating safety.</w:t>
      </w:r>
    </w:p>
    <w:p w14:paraId="047F690D" w14:textId="7F5BEB39"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 Amended accordingly; kindly</w:t>
      </w:r>
      <w:r w:rsidRPr="00F56A46">
        <w:rPr>
          <w:rFonts w:asciiTheme="majorBidi" w:hAnsiTheme="majorBidi" w:cstheme="majorBidi"/>
          <w:color w:val="4472C4" w:themeColor="accent1"/>
        </w:rPr>
        <w:t xml:space="preserve"> check lines 174-177.</w:t>
      </w:r>
    </w:p>
    <w:p w14:paraId="09B36B0F" w14:textId="045BEB90"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7. Inclusion and Exclusion Criteria: what are the reference points for setting these criteria? Please explain why trials without a clear statement about the number of cells administered to the intervention group should be excluded.</w:t>
      </w:r>
    </w:p>
    <w:p w14:paraId="113A1955" w14:textId="55689E8C"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The number of cells used has been mentioned sporadically in the studies. Given that this would impact the study's primary aim and better account for heterogeneity, we excluded cell dose as a parameter for the inclusion or exclusion of a study. Also, we have already published a meta-analysis regarding the effect of cell dose effect. The sentence noted here was mistakenly a remnant of the first draft. </w:t>
      </w:r>
    </w:p>
    <w:p w14:paraId="4CE25C08" w14:textId="29973348"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8. Safety reports are not displayed in the results section; safety evaluation should at least include adverse events.</w:t>
      </w:r>
    </w:p>
    <w:p w14:paraId="24504D75" w14:textId="28972381"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assessed safety using death, hospitalization, and major adverse cardiac events (MACE). We reported those accordingly in subsection 3.4.1. Kindly see Figure 4. </w:t>
      </w:r>
    </w:p>
    <w:p w14:paraId="34842870" w14:textId="4939D73E"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9. Page 9, lines 226 to 227: in my opinion, MACE, hospitalization, and death should be considered as part of the efficacy. It should not be viewed as a safety evaluation standard. Please carefully check the statements included in your manuscript.</w:t>
      </w:r>
    </w:p>
    <w:p w14:paraId="4D102116" w14:textId="77777777" w:rsidR="008D2A8B" w:rsidRPr="00F56A46"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Thank you for the annotation. When deciding the parameters used for safety assessment, we screened clinical trials of stem cells in disorders of the cardiovascular system. Major adverse cardiac events (MACE) are a specific safety outcome in this type of trial. Additionally, death as a parameter assessed in our study is that of a cardiac cause, which can be an endpoint of the named treatment. Given that trials do not report other means that can be used to assess the safety of the intervention. Since safety is an even more critical parameter than efficacy for a used intervention, we decided to go with death and hospitalization (both of which are of cardiac origin in our study) and MACE for safety assessment.</w:t>
      </w:r>
    </w:p>
    <w:p w14:paraId="7ED21F02" w14:textId="77777777" w:rsidR="008D2A8B" w:rsidRPr="00F56A46" w:rsidRDefault="008D2A8B" w:rsidP="008D2A8B">
      <w:pPr>
        <w:jc w:val="both"/>
        <w:rPr>
          <w:rFonts w:asciiTheme="majorBidi" w:hAnsiTheme="majorBidi" w:cstheme="majorBidi"/>
          <w:color w:val="000000" w:themeColor="text1"/>
        </w:rPr>
      </w:pPr>
    </w:p>
    <w:p w14:paraId="3A6D0EC4" w14:textId="4B033506"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Minor Comment #</w:t>
      </w:r>
      <w:r w:rsidRPr="00F56A46">
        <w:rPr>
          <w:rFonts w:asciiTheme="majorBidi" w:hAnsiTheme="majorBidi" w:cstheme="majorBidi"/>
          <w:color w:val="000000" w:themeColor="text1"/>
        </w:rPr>
        <w:t>10. All forest plots do not show heterogeneity within subgroups. Please demonstrate heterogeneity within subgroups and explain why subgroups based on other variables are not conducted.</w:t>
      </w:r>
    </w:p>
    <w:p w14:paraId="0F41F3AB" w14:textId="5515F64E" w:rsidR="008D2A8B" w:rsidRPr="00F56A46"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have added that to the text accordingly, with detailed statistics in the supplementary materials. </w:t>
      </w:r>
    </w:p>
    <w:p w14:paraId="20CD0E8A" w14:textId="4696E0FB" w:rsidR="008D2A8B" w:rsidRPr="008D2A8B" w:rsidRDefault="008D2A8B" w:rsidP="008D2A8B">
      <w:pPr>
        <w:rPr>
          <w:rFonts w:asciiTheme="majorBidi" w:hAnsiTheme="majorBidi" w:cstheme="majorBidi"/>
          <w:b/>
          <w:bCs/>
          <w:color w:val="000000" w:themeColor="text1"/>
          <w:sz w:val="32"/>
          <w:szCs w:val="32"/>
          <w:u w:val="single"/>
        </w:rPr>
      </w:pPr>
      <w:r w:rsidRPr="00F56A46">
        <w:rPr>
          <w:rFonts w:asciiTheme="majorBidi" w:hAnsiTheme="majorBidi" w:cstheme="majorBidi"/>
          <w:b/>
          <w:bCs/>
          <w:color w:val="000000" w:themeColor="text1"/>
          <w:sz w:val="32"/>
          <w:szCs w:val="32"/>
          <w:u w:val="single"/>
        </w:rPr>
        <w:lastRenderedPageBreak/>
        <w:t>Reviewer #3</w:t>
      </w:r>
      <w:r>
        <w:rPr>
          <w:rFonts w:asciiTheme="majorBidi" w:hAnsiTheme="majorBidi" w:cstheme="majorBidi"/>
          <w:b/>
          <w:bCs/>
          <w:color w:val="000000" w:themeColor="text1"/>
          <w:sz w:val="32"/>
          <w:szCs w:val="32"/>
          <w:u w:val="single"/>
        </w:rPr>
        <w:t xml:space="preserve"> [Rev 1 Comments]</w:t>
      </w:r>
      <w:r w:rsidRPr="00F56A46">
        <w:rPr>
          <w:rFonts w:asciiTheme="majorBidi" w:hAnsiTheme="majorBidi" w:cstheme="majorBidi"/>
          <w:b/>
          <w:bCs/>
          <w:color w:val="000000" w:themeColor="text1"/>
          <w:sz w:val="32"/>
          <w:szCs w:val="32"/>
          <w:u w:val="single"/>
        </w:rPr>
        <w:t>:</w:t>
      </w:r>
    </w:p>
    <w:p w14:paraId="05393CB9" w14:textId="2541E470"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color w:val="000000" w:themeColor="text1"/>
        </w:rPr>
        <w:t>This systematic review and meta-analysis highlight the safety and potential efficacy of MSC therapy for heart failure with reduced ejection fraction (</w:t>
      </w:r>
      <w:proofErr w:type="spellStart"/>
      <w:r w:rsidRPr="00F56A46">
        <w:rPr>
          <w:rFonts w:asciiTheme="majorBidi" w:hAnsiTheme="majorBidi" w:cstheme="majorBidi"/>
          <w:color w:val="000000" w:themeColor="text1"/>
        </w:rPr>
        <w:t>HFrEF</w:t>
      </w:r>
      <w:proofErr w:type="spellEnd"/>
      <w:r w:rsidRPr="00F56A46">
        <w:rPr>
          <w:rFonts w:asciiTheme="majorBidi" w:hAnsiTheme="majorBidi" w:cstheme="majorBidi"/>
          <w:color w:val="000000" w:themeColor="text1"/>
        </w:rPr>
        <w:t>), demonstrating that both autologous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and allogeneic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sources show similar outcomes, with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showing some advantages in improving functional parameters like 6-minute walk distance (6-MWD). Although this research may provide new insights into the effect of both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xml:space="preserve"> and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treating </w:t>
      </w:r>
      <w:proofErr w:type="spellStart"/>
      <w:r w:rsidRPr="00F56A46">
        <w:rPr>
          <w:rFonts w:asciiTheme="majorBidi" w:hAnsiTheme="majorBidi" w:cstheme="majorBidi"/>
          <w:color w:val="000000" w:themeColor="text1"/>
        </w:rPr>
        <w:t>HFrEF</w:t>
      </w:r>
      <w:proofErr w:type="spellEnd"/>
      <w:r w:rsidRPr="00F56A46">
        <w:rPr>
          <w:rFonts w:asciiTheme="majorBidi" w:hAnsiTheme="majorBidi" w:cstheme="majorBidi"/>
          <w:color w:val="000000" w:themeColor="text1"/>
        </w:rPr>
        <w:t>, many limitations need to be improved.</w:t>
      </w:r>
    </w:p>
    <w:p w14:paraId="15CFFDA2" w14:textId="6BE55BB3"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 The full names of abbreviated terms in an article should be provided when they first appear. For example, RCTs (Randomized controlled trials), PRISMA (Preferred Reporting Items for Systematic Reviews and Meta-Analyses), CABG (Coronary artery bypass grafting), etc. In addition, the full name is generally required in the abstract.</w:t>
      </w:r>
    </w:p>
    <w:p w14:paraId="6530E565" w14:textId="58FBD903" w:rsidR="008D2A8B" w:rsidRPr="008D2A8B" w:rsidRDefault="008D2A8B" w:rsidP="008D2A8B">
      <w:pPr>
        <w:jc w:val="both"/>
        <w:rPr>
          <w:rFonts w:asciiTheme="majorBidi" w:hAnsiTheme="majorBidi" w:cstheme="majorBidi"/>
          <w:color w:val="000000" w:themeColor="tex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Thank you for the meticulous review; we modified it accordingly.</w:t>
      </w:r>
    </w:p>
    <w:p w14:paraId="03FD4283" w14:textId="50C13303"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2. Why are phase I and II trials included, given their potential for bias and lack of conclusive evidence compared to phase III trials?</w:t>
      </w:r>
    </w:p>
    <w:p w14:paraId="1C388E43" w14:textId="1ECEDBA6"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Phase I and II trials have the potential for bias compared with Phase III trials. However, given the current lack of trials, only a few phase III trials exist, which would produce much weaker evidence alone. Additionally, no phase I trial was included in the meta-analysis, as both trials were of poor quality.</w:t>
      </w:r>
    </w:p>
    <w:p w14:paraId="328E52FD" w14:textId="00CD35D1"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3. How were variations in the MSC treatment protocols (e.g., cell type, dosage, delivery method) handled?</w:t>
      </w:r>
    </w:p>
    <w:p w14:paraId="76A9DDDE" w14:textId="5B96437A"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 xml:space="preserve">Author’s Response: </w:t>
      </w:r>
      <w:r>
        <w:rPr>
          <w:rFonts w:asciiTheme="majorBidi" w:hAnsiTheme="majorBidi" w:cstheme="majorBidi"/>
          <w:color w:val="4472C4" w:themeColor="accent1"/>
        </w:rPr>
        <w:t>We conducted a meta-regression analysis for the primary parameter, LVEF, to include continuous and categorical variables</w:t>
      </w:r>
      <w:r w:rsidRPr="00F56A46">
        <w:rPr>
          <w:rFonts w:asciiTheme="majorBidi" w:hAnsiTheme="majorBidi" w:cstheme="majorBidi"/>
          <w:color w:val="4472C4" w:themeColor="accent1"/>
        </w:rPr>
        <w:t>. The analysis showed significant prediction and sources of heterogeneity. Please refer to lines 253-258 and 342-347 and Supplementary Table 9.</w:t>
      </w:r>
    </w:p>
    <w:p w14:paraId="50876B56" w14:textId="2EA79423"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4. Can you explain the rationale behind the Boolean operators used in the search? Were there any variations in how these operators might affect the search results across different databases?</w:t>
      </w:r>
    </w:p>
    <w:p w14:paraId="50E04B3F" w14:textId="6DEAC878"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They were used during the PubMed search to ensure a broader search and screening and to avoid missing any potential candidate papers.</w:t>
      </w:r>
    </w:p>
    <w:p w14:paraId="4DC2F5B9" w14:textId="6319A7EA"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5. Why was the search limited to studies published between January and March 2024? Could this time window have excluded critical earlier studies?</w:t>
      </w:r>
    </w:p>
    <w:p w14:paraId="49C77D0B" w14:textId="6A4BB3D1"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This was the window during the literature search. Given the extensive database, it took some time. However, this is not a date range for the included studies, as we had no specific date for studies to be included or excluded.</w:t>
      </w:r>
    </w:p>
    <w:p w14:paraId="0514F307" w14:textId="77777777"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6. How did the two authors ensure consistency when extracting data? Was there any inter-rater reliability testing or discussion between authors to address discrepancies?</w:t>
      </w:r>
    </w:p>
    <w:p w14:paraId="0FBC19D4" w14:textId="77777777" w:rsidR="008D2A8B" w:rsidRPr="00F56A46" w:rsidRDefault="008D2A8B" w:rsidP="008D2A8B">
      <w:pPr>
        <w:jc w:val="both"/>
        <w:rPr>
          <w:rFonts w:asciiTheme="majorBidi" w:hAnsiTheme="majorBidi" w:cstheme="majorBidi"/>
          <w:color w:val="000000" w:themeColor="text1"/>
        </w:rPr>
      </w:pPr>
    </w:p>
    <w:p w14:paraId="7669935A" w14:textId="753E43C5"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After data extraction was completed, the co-authors responsible for data extraction discussed each derived data from the individual study and concluded their extraction mutually. A meeting was held to discuss the final extracted data with the analysis specialist to validate the extraction process and numbers.</w:t>
      </w:r>
    </w:p>
    <w:p w14:paraId="7A7C3678" w14:textId="70BADD84"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lastRenderedPageBreak/>
        <w:t>Comment #</w:t>
      </w:r>
      <w:r w:rsidRPr="00F56A46">
        <w:rPr>
          <w:rFonts w:asciiTheme="majorBidi" w:hAnsiTheme="majorBidi" w:cstheme="majorBidi"/>
          <w:color w:val="000000" w:themeColor="text1"/>
        </w:rPr>
        <w:t>7. Can you provide more information on the protocol for dealing with missing data, especially if the corresponding author did not respond? How might this impact the validity of the extracted data?</w:t>
      </w:r>
    </w:p>
    <w:p w14:paraId="381B988B" w14:textId="140F120E"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Thank you for the note. This is vital for the validity of the results, so we have provided details in the supplementary materials. We tried contacting the authors multiple times to provide the missing information, but unfortunately, we failed. Further extraction, imputation, and estimation methods were followed to compensate for as much data as possible, per the supplementary material appendix.</w:t>
      </w:r>
    </w:p>
    <w:p w14:paraId="4B3760F9" w14:textId="2134719D"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8. Did you consider other quality assessment tools (e.g., the Cochrane Risk of Bias tool), and if not, why was the Jadad scale chosen as the most appropriate? Any limitations?</w:t>
      </w:r>
    </w:p>
    <w:p w14:paraId="01129E53" w14:textId="4BD10205"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While the Cochrane risk of bias tool was the first choice, most co-authors were more comfortable and confident using the Jadad scale. Therefore, we decided that the Jadad scale would be a suitable alternative, although it is more limited (e.g., lack of allocation concealment assessment). However, we conducted a preliminary evaluation with the Cochrane tool and found that trials received similar quality levels overall.</w:t>
      </w:r>
    </w:p>
    <w:p w14:paraId="28354639" w14:textId="73F7554B"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9. The I-square value assesses heterogeneity, but the text does not discuss how heterogeneity was managed or whether sensitivity analyses were conducted. In meta-analyses, high heterogeneity can distort results, and it would be essential to examine whether any studies were excluded due to high heterogeneity or how this was accounted for in the analysis. Without addressing this, the conclusions may be misleading.</w:t>
      </w:r>
    </w:p>
    <w:p w14:paraId="3ABD8A85" w14:textId="72902677"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Thank you for the vital comment; we agree and have made extensive modifications. We have conducted a meta-regression to account for heterogeneity. Additionally, we provided a Galbraith scatter plot to help readers identify studies that contributed the most to the heterogeneity between studies. Given the small number of studies following exclusion, we thought excluding those studies would provide non-reliable evidence.</w:t>
      </w:r>
    </w:p>
    <w:p w14:paraId="585BC6D2" w14:textId="1F2085C3"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10. While the study uses WMD for clinical effectiveness and RR for safety, the rationale for choosing these specific statistical methods needs further explanation.</w:t>
      </w:r>
    </w:p>
    <w:p w14:paraId="6CA7A039" w14:textId="3DB85E49"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used WMD because we dealt with raw data, and the named variables were continuous. Additionally, a weighted mean difference would make clinical interpretation easier. RR was used due to its clinical relevance. This information has been included in the text and supplementary material. </w:t>
      </w:r>
    </w:p>
    <w:p w14:paraId="12AC1BE1" w14:textId="6505E531"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11. Funnel plots and Egger's regression are used to assess publication bias. Still, the method section does not specify how these analyses were interpreted or what threshold was used to determine bias. Moreover, if significant asymmetry or bias is detected in the funnel plots or regression, the study should discuss how it impacts the results or if adjustments were made. This is crucial for evaluating the robustness of the findings.</w:t>
      </w:r>
    </w:p>
    <w:p w14:paraId="40B575AF" w14:textId="2E367E5D"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understand the importance of this comment and have added a brief explanation in the text. Also, no significant publication bias was found across parameters for the included trials. We have added this, as you suggested, to the appendix.</w:t>
      </w:r>
    </w:p>
    <w:p w14:paraId="52EC9B5B" w14:textId="7B9A8F65"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 xml:space="preserve">12. The authors indicate that most trials used echocardiography to assess LVEF, while others used cardiac CT or MRI. The choice of imaging modality could introduce variability in outcomes. The text could benefit from discussing the potential impact of using different diagnostic tools and </w:t>
      </w:r>
      <w:r w:rsidRPr="00F56A46">
        <w:rPr>
          <w:rFonts w:asciiTheme="majorBidi" w:hAnsiTheme="majorBidi" w:cstheme="majorBidi"/>
          <w:color w:val="000000" w:themeColor="text1"/>
        </w:rPr>
        <w:lastRenderedPageBreak/>
        <w:t>whether there are any known discrepancies in LVEF measurement between these methods. This is crucial to understand how heterogeneity in assessment might influence the interpretation of the results.</w:t>
      </w:r>
    </w:p>
    <w:p w14:paraId="529BBA84" w14:textId="737C1F2F"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 xml:space="preserve">Author’s Response: </w:t>
      </w:r>
      <w:r w:rsidRPr="00F56A46">
        <w:rPr>
          <w:rFonts w:asciiTheme="majorBidi" w:hAnsiTheme="majorBidi" w:cstheme="majorBidi"/>
          <w:color w:val="4472C4" w:themeColor="accent1"/>
        </w:rPr>
        <w:t>This is a valid observation, and we addressed it accordingly. We have added the meta-regression data in the results section and discussed potential effects in the discussion section.</w:t>
      </w:r>
    </w:p>
    <w:p w14:paraId="6BF81C95" w14:textId="7BC533E6"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13. The term "mock injection technique" needs further clarification. Is this considered a placebo or a sham? The terminology here is inconsistent and could lead to confusion. It would be helpful to clearly define the difference between placebo, sham, and mock injections in the context of these trials.</w:t>
      </w:r>
    </w:p>
    <w:p w14:paraId="0B515518" w14:textId="5764F910"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The mock injection is a sham control. We used this term to be similar to the </w:t>
      </w:r>
      <w:proofErr w:type="gramStart"/>
      <w:r w:rsidRPr="00F56A46">
        <w:rPr>
          <w:rFonts w:asciiTheme="majorBidi" w:hAnsiTheme="majorBidi" w:cstheme="majorBidi"/>
          <w:color w:val="4472C4" w:themeColor="accent1"/>
        </w:rPr>
        <w:t>author's</w:t>
      </w:r>
      <w:proofErr w:type="gramEnd"/>
      <w:r w:rsidRPr="00F56A46">
        <w:rPr>
          <w:rFonts w:asciiTheme="majorBidi" w:hAnsiTheme="majorBidi" w:cstheme="majorBidi"/>
          <w:color w:val="4472C4" w:themeColor="accent1"/>
        </w:rPr>
        <w:t>, but as you stated, it might create confusion, so we removed it.</w:t>
      </w:r>
    </w:p>
    <w:p w14:paraId="3800E503" w14:textId="57B3B40D"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14. The subgroup analysis shows a more significant improvement with autologous MSCs (2.17%) compared to allogeneic MSCs (0.86%), but both results were non-significant. What is the clinical relevance of this difference, and should autologous MSCs be preferred despite the lack of statistical significance?</w:t>
      </w:r>
    </w:p>
    <w:p w14:paraId="6667F5BE" w14:textId="240F3D60"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The analysis shows that allogeneic MSCs are non-inferior to autologous. This supports the use of allogeneic in cases where autologous MSC availability is limited, which is the main advantage of allogeneic MSCs (of the shelf-ready-to-use availability from young donors). We have added a summary table to elaborate on this (Table 3). Regarding overall MSC efficacy in HF, other studies have investigated this topic, so we avoided repetition.</w:t>
      </w:r>
    </w:p>
    <w:p w14:paraId="0F0AE962" w14:textId="77B25FDE"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15. Excluding studies using ADRCs significantly improved allogeneic MSC treatment outcomes (2.03%). Could ADRCs be a confounding factor, and how should their impact be further evaluated in future trials?</w:t>
      </w:r>
    </w:p>
    <w:p w14:paraId="379E6C35" w14:textId="1114B93E"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We did this further sensitivity analysis to test for this, and apparently, the source of MSC (either bone marrow or adipose tissue) is a confounding factor. We have added some discussion points regarding this accordingly; kindly see lines 495-503. Thank you for the valuable comment.</w:t>
      </w:r>
    </w:p>
    <w:p w14:paraId="3CD655C7" w14:textId="63134115"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16. Several trials (RIMECARD, Athena, PRECISE, DREAM-HF) did not report changes in 6-MWD, even though baseline and follow-up measurements were taken. Clarification is needed on why these trials were excluded and whether this impacts the validity of the overall findings.</w:t>
      </w:r>
    </w:p>
    <w:p w14:paraId="3CED2E76" w14:textId="74B4C05B"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Unfortunately, these studies did not take 6-MWD as an endpoint in their analysis, nor did they report on or measure it. Some of these studies measured 6-MWD at baseline but did not follow up for some reason. Accordingly, we added these studies to our discussion to address this point, as improvement in 6-MWD should be interpreted with caution. Kindly see lines 452-456.</w:t>
      </w:r>
    </w:p>
    <w:p w14:paraId="40175D81" w14:textId="55445B51"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 xml:space="preserve">17. While the study suggests the non-inferiority of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compared to </w:t>
      </w:r>
      <w:proofErr w:type="spellStart"/>
      <w:r w:rsidRPr="00F56A46">
        <w:rPr>
          <w:rFonts w:asciiTheme="majorBidi" w:hAnsiTheme="majorBidi" w:cstheme="majorBidi"/>
          <w:color w:val="000000" w:themeColor="text1"/>
        </w:rPr>
        <w:t>AutoMSCs</w:t>
      </w:r>
      <w:proofErr w:type="spellEnd"/>
      <w:r w:rsidRPr="00F56A46">
        <w:rPr>
          <w:rFonts w:asciiTheme="majorBidi" w:hAnsiTheme="majorBidi" w:cstheme="majorBidi"/>
          <w:color w:val="000000" w:themeColor="text1"/>
        </w:rPr>
        <w:t xml:space="preserve">, the overall clinical evidence for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xml:space="preserve"> remains modest. Is this because of the smaller sample sizes? In addition, despite claims of immunosuppressive properties, evidence of immunogenic responses (alloantibodies, T cell activation) challenges the perceived safety of </w:t>
      </w:r>
      <w:proofErr w:type="spellStart"/>
      <w:r w:rsidRPr="00F56A46">
        <w:rPr>
          <w:rFonts w:asciiTheme="majorBidi" w:hAnsiTheme="majorBidi" w:cstheme="majorBidi"/>
          <w:color w:val="000000" w:themeColor="text1"/>
        </w:rPr>
        <w:t>AlloMSCs</w:t>
      </w:r>
      <w:proofErr w:type="spellEnd"/>
      <w:r w:rsidRPr="00F56A46">
        <w:rPr>
          <w:rFonts w:asciiTheme="majorBidi" w:hAnsiTheme="majorBidi" w:cstheme="majorBidi"/>
          <w:color w:val="000000" w:themeColor="text1"/>
        </w:rPr>
        <w:t>, particularly in inflammatory environments.</w:t>
      </w:r>
    </w:p>
    <w:p w14:paraId="31E7037A" w14:textId="3A7020CC" w:rsidR="008D2A8B" w:rsidRP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t>Author’s Response:</w:t>
      </w:r>
      <w:r w:rsidRPr="00F56A46">
        <w:rPr>
          <w:rFonts w:asciiTheme="majorBidi" w:hAnsiTheme="majorBidi" w:cstheme="majorBidi"/>
          <w:color w:val="4472C4" w:themeColor="accent1"/>
        </w:rPr>
        <w:t xml:space="preserve"> This is an interesting point, so we added it to the discussion sections. We thank you for pointing this out.</w:t>
      </w:r>
    </w:p>
    <w:p w14:paraId="0C1AF62D" w14:textId="7AA6FAF0" w:rsidR="008D2A8B" w:rsidRPr="00F56A46" w:rsidRDefault="008D2A8B" w:rsidP="008D2A8B">
      <w:pPr>
        <w:jc w:val="both"/>
        <w:rPr>
          <w:rFonts w:asciiTheme="majorBidi" w:hAnsiTheme="majorBidi" w:cstheme="majorBidi"/>
          <w:color w:val="000000" w:themeColor="text1"/>
        </w:rPr>
      </w:pPr>
      <w:r w:rsidRPr="00F56A46">
        <w:rPr>
          <w:rFonts w:asciiTheme="majorBidi" w:hAnsiTheme="majorBidi" w:cstheme="majorBidi"/>
          <w:b/>
          <w:bCs/>
        </w:rPr>
        <w:t>Comment #</w:t>
      </w:r>
      <w:r w:rsidRPr="00F56A46">
        <w:rPr>
          <w:rFonts w:asciiTheme="majorBidi" w:hAnsiTheme="majorBidi" w:cstheme="majorBidi"/>
          <w:color w:val="000000" w:themeColor="text1"/>
        </w:rPr>
        <w:t>18. Some sentences are not concise; please remove the repetition of words; for example, remove "release of" in this sentence: "These effects have been ascribed to the release of soluble and insoluble factors released by MSCs as part of their paracrine activity."</w:t>
      </w:r>
    </w:p>
    <w:p w14:paraId="45A0B0C6" w14:textId="72F5B84E" w:rsidR="008D2A8B" w:rsidRDefault="008D2A8B" w:rsidP="008D2A8B">
      <w:pPr>
        <w:jc w:val="both"/>
        <w:rPr>
          <w:rFonts w:asciiTheme="majorBidi" w:hAnsiTheme="majorBidi" w:cstheme="majorBidi"/>
          <w:color w:val="4472C4" w:themeColor="accent1"/>
        </w:rPr>
      </w:pPr>
      <w:r w:rsidRPr="00F56A46">
        <w:rPr>
          <w:rFonts w:asciiTheme="majorBidi" w:hAnsiTheme="majorBidi" w:cstheme="majorBidi"/>
          <w:b/>
          <w:bCs/>
          <w:color w:val="4472C4" w:themeColor="accent1"/>
        </w:rPr>
        <w:lastRenderedPageBreak/>
        <w:t>Author’s Response:</w:t>
      </w:r>
      <w:r w:rsidRPr="00F56A46">
        <w:rPr>
          <w:rFonts w:asciiTheme="majorBidi" w:hAnsiTheme="majorBidi" w:cstheme="majorBidi"/>
          <w:color w:val="4472C4" w:themeColor="accent1"/>
        </w:rPr>
        <w:t xml:space="preserve"> We have extensively revised the manuscript and made many modifications accordingly, including the suggested change.</w:t>
      </w:r>
    </w:p>
    <w:p w14:paraId="67609918" w14:textId="57AC708F" w:rsidR="008D2A8B" w:rsidRPr="008D2A8B" w:rsidRDefault="008D2A8B" w:rsidP="008D2A8B">
      <w:pPr>
        <w:rPr>
          <w:rFonts w:cstheme="minorHAnsi"/>
          <w:b/>
          <w:bCs/>
          <w:color w:val="000000" w:themeColor="text1"/>
          <w:sz w:val="32"/>
          <w:szCs w:val="32"/>
          <w:u w:val="single"/>
        </w:rPr>
      </w:pPr>
      <w:r w:rsidRPr="005757CD">
        <w:rPr>
          <w:rFonts w:cstheme="minorHAnsi"/>
          <w:b/>
          <w:bCs/>
          <w:color w:val="000000" w:themeColor="text1"/>
          <w:sz w:val="32"/>
          <w:szCs w:val="32"/>
          <w:u w:val="single"/>
        </w:rPr>
        <w:t>Reviewer #3 [Rev 2 Comments]</w:t>
      </w:r>
    </w:p>
    <w:p w14:paraId="7FDE2CCB" w14:textId="77777777" w:rsidR="008D2A8B" w:rsidRPr="005757CD" w:rsidRDefault="008D2A8B" w:rsidP="008D2A8B">
      <w:pPr>
        <w:spacing w:line="276" w:lineRule="auto"/>
        <w:rPr>
          <w:rFonts w:cstheme="minorHAnsi"/>
        </w:rPr>
      </w:pPr>
      <w:r w:rsidRPr="005757CD">
        <w:rPr>
          <w:rFonts w:cstheme="minorHAnsi"/>
          <w:b/>
          <w:bCs/>
        </w:rPr>
        <w:t>Comments #1:</w:t>
      </w:r>
      <w:r w:rsidRPr="005757CD">
        <w:rPr>
          <w:rFonts w:cstheme="minorHAnsi"/>
        </w:rPr>
        <w:t xml:space="preserve"> Further refinement of the sentences is needed to highlight the key points.</w:t>
      </w:r>
    </w:p>
    <w:p w14:paraId="09696A5A" w14:textId="77777777" w:rsidR="008D2A8B" w:rsidRPr="005757CD" w:rsidRDefault="008D2A8B" w:rsidP="008D2A8B">
      <w:pPr>
        <w:spacing w:line="276" w:lineRule="auto"/>
        <w:rPr>
          <w:rFonts w:cstheme="minorHAnsi"/>
        </w:rPr>
      </w:pPr>
      <w:r w:rsidRPr="005757CD">
        <w:rPr>
          <w:rFonts w:cstheme="minorHAnsi"/>
          <w:b/>
          <w:bCs/>
        </w:rPr>
        <w:t>Author Response:</w:t>
      </w:r>
      <w:r w:rsidRPr="005757CD">
        <w:rPr>
          <w:rFonts w:cstheme="minorHAnsi"/>
        </w:rPr>
        <w:t xml:space="preserve"> The following text has been added as the First paragraph of the Discussion section. </w:t>
      </w:r>
    </w:p>
    <w:p w14:paraId="2C21A2E3" w14:textId="77777777" w:rsidR="008D2A8B" w:rsidRPr="005757CD" w:rsidRDefault="008D2A8B" w:rsidP="008D2A8B">
      <w:pPr>
        <w:spacing w:line="276" w:lineRule="auto"/>
        <w:jc w:val="both"/>
        <w:rPr>
          <w:rFonts w:cstheme="minorHAnsi"/>
          <w:color w:val="0070C0"/>
        </w:rPr>
      </w:pPr>
      <w:r w:rsidRPr="005757CD">
        <w:rPr>
          <w:rFonts w:cstheme="minorHAnsi"/>
          <w:color w:val="0070C0"/>
        </w:rPr>
        <w:t xml:space="preserve">With the rapid emergence of regenerative medicine, various types of stem cells have progressed to the final phases of clinical trials. Notably, some of these cell types, particularly mesenchymal stem cells (MSCs), have already received clinical approval for use as living </w:t>
      </w:r>
      <w:proofErr w:type="spellStart"/>
      <w:r w:rsidRPr="005757CD">
        <w:rPr>
          <w:rFonts w:cstheme="minorHAnsi"/>
          <w:color w:val="0070C0"/>
        </w:rPr>
        <w:t>biodrugs</w:t>
      </w:r>
      <w:proofErr w:type="spellEnd"/>
      <w:r w:rsidRPr="005757CD">
        <w:rPr>
          <w:rFonts w:cstheme="minorHAnsi"/>
          <w:color w:val="0070C0"/>
        </w:rPr>
        <w:t xml:space="preserve">, such as </w:t>
      </w:r>
      <w:proofErr w:type="spellStart"/>
      <w:r w:rsidRPr="005757CD">
        <w:rPr>
          <w:rFonts w:cstheme="minorHAnsi"/>
          <w:color w:val="0070C0"/>
        </w:rPr>
        <w:t>Prochymal</w:t>
      </w:r>
      <w:proofErr w:type="spellEnd"/>
      <w:r w:rsidRPr="005757CD">
        <w:rPr>
          <w:rFonts w:cstheme="minorHAnsi"/>
          <w:color w:val="0070C0"/>
        </w:rPr>
        <w:t xml:space="preserve"> (Osiris Therapeutics, Canada), </w:t>
      </w:r>
      <w:proofErr w:type="spellStart"/>
      <w:r w:rsidRPr="005757CD">
        <w:rPr>
          <w:rFonts w:cstheme="minorHAnsi"/>
          <w:color w:val="0070C0"/>
        </w:rPr>
        <w:t>Cartistem</w:t>
      </w:r>
      <w:proofErr w:type="spellEnd"/>
      <w:r w:rsidRPr="005757CD">
        <w:rPr>
          <w:rFonts w:cstheme="minorHAnsi"/>
          <w:color w:val="0070C0"/>
        </w:rPr>
        <w:t xml:space="preserve"> (</w:t>
      </w:r>
      <w:proofErr w:type="spellStart"/>
      <w:r w:rsidRPr="005757CD">
        <w:rPr>
          <w:rFonts w:cstheme="minorHAnsi"/>
          <w:color w:val="0070C0"/>
        </w:rPr>
        <w:t>Medipost</w:t>
      </w:r>
      <w:proofErr w:type="spellEnd"/>
      <w:r w:rsidRPr="005757CD">
        <w:rPr>
          <w:rFonts w:cstheme="minorHAnsi"/>
          <w:color w:val="0070C0"/>
        </w:rPr>
        <w:t xml:space="preserve"> Co Ltd, Korea), </w:t>
      </w:r>
      <w:proofErr w:type="spellStart"/>
      <w:r w:rsidRPr="005757CD">
        <w:rPr>
          <w:rFonts w:cstheme="minorHAnsi"/>
          <w:color w:val="0070C0"/>
        </w:rPr>
        <w:t>Stempeucel</w:t>
      </w:r>
      <w:proofErr w:type="spellEnd"/>
      <w:r w:rsidRPr="005757CD">
        <w:rPr>
          <w:rFonts w:cstheme="minorHAnsi"/>
          <w:color w:val="0070C0"/>
        </w:rPr>
        <w:t xml:space="preserve"> (</w:t>
      </w:r>
      <w:proofErr w:type="spellStart"/>
      <w:r w:rsidRPr="005757CD">
        <w:rPr>
          <w:rFonts w:cstheme="minorHAnsi"/>
          <w:color w:val="0070C0"/>
        </w:rPr>
        <w:t>Stempeutics</w:t>
      </w:r>
      <w:proofErr w:type="spellEnd"/>
      <w:r w:rsidRPr="005757CD">
        <w:rPr>
          <w:rFonts w:cstheme="minorHAnsi"/>
          <w:color w:val="0070C0"/>
        </w:rPr>
        <w:t xml:space="preserve"> Research), and </w:t>
      </w:r>
      <w:proofErr w:type="spellStart"/>
      <w:r w:rsidRPr="005757CD">
        <w:rPr>
          <w:rFonts w:cstheme="minorHAnsi"/>
          <w:color w:val="0070C0"/>
        </w:rPr>
        <w:t>Cellgram</w:t>
      </w:r>
      <w:proofErr w:type="spellEnd"/>
      <w:r w:rsidRPr="005757CD">
        <w:rPr>
          <w:rFonts w:cstheme="minorHAnsi"/>
          <w:color w:val="0070C0"/>
        </w:rPr>
        <w:t xml:space="preserve">-AMI (FCB </w:t>
      </w:r>
      <w:proofErr w:type="spellStart"/>
      <w:r w:rsidRPr="005757CD">
        <w:rPr>
          <w:rFonts w:cstheme="minorHAnsi"/>
          <w:color w:val="0070C0"/>
        </w:rPr>
        <w:t>Pharmicell</w:t>
      </w:r>
      <w:proofErr w:type="spellEnd"/>
      <w:r w:rsidRPr="005757CD">
        <w:rPr>
          <w:rFonts w:cstheme="minorHAnsi"/>
          <w:color w:val="0070C0"/>
        </w:rPr>
        <w:t>, South Korea) (Alliance for Regenerative Medicine; https://alliancerm.org/available-products/). However, their performance continues to be monitored closely. Our systematic review of published randomized controlled trials (RCTs) and meta-analysis aims to compare the clinical safety and efficacy of autologous (</w:t>
      </w:r>
      <w:proofErr w:type="spellStart"/>
      <w:r w:rsidRPr="005757CD">
        <w:rPr>
          <w:rFonts w:cstheme="minorHAnsi"/>
          <w:color w:val="0070C0"/>
          <w:vertAlign w:val="superscript"/>
        </w:rPr>
        <w:t>Auto</w:t>
      </w:r>
      <w:r w:rsidRPr="005757CD">
        <w:rPr>
          <w:rFonts w:cstheme="minorHAnsi"/>
          <w:color w:val="0070C0"/>
        </w:rPr>
        <w:t>MSCs</w:t>
      </w:r>
      <w:proofErr w:type="spellEnd"/>
      <w:r w:rsidRPr="005757CD">
        <w:rPr>
          <w:rFonts w:cstheme="minorHAnsi"/>
          <w:color w:val="0070C0"/>
        </w:rPr>
        <w:t>) and allogeneic MSCs (</w:t>
      </w:r>
      <w:proofErr w:type="spellStart"/>
      <w:r w:rsidRPr="005757CD">
        <w:rPr>
          <w:rFonts w:cstheme="minorHAnsi"/>
          <w:color w:val="0070C0"/>
          <w:vertAlign w:val="superscript"/>
        </w:rPr>
        <w:t>Allo</w:t>
      </w:r>
      <w:r w:rsidRPr="005757CD">
        <w:rPr>
          <w:rFonts w:cstheme="minorHAnsi"/>
          <w:color w:val="0070C0"/>
        </w:rPr>
        <w:t>MSCs</w:t>
      </w:r>
      <w:proofErr w:type="spellEnd"/>
      <w:r w:rsidRPr="005757CD">
        <w:rPr>
          <w:rFonts w:cstheme="minorHAnsi"/>
          <w:color w:val="0070C0"/>
        </w:rPr>
        <w:t xml:space="preserve">). The key findings of our study include: </w:t>
      </w:r>
      <w:r w:rsidRPr="005757CD">
        <w:rPr>
          <w:rFonts w:cstheme="minorHAnsi"/>
          <w:color w:val="0070C0"/>
          <w:u w:val="single"/>
        </w:rPr>
        <w:t xml:space="preserve">(1) this is the first systematic review and meta-analysis to compare </w:t>
      </w:r>
      <w:proofErr w:type="spellStart"/>
      <w:r w:rsidRPr="005757CD">
        <w:rPr>
          <w:rFonts w:cstheme="minorHAnsi"/>
          <w:color w:val="0070C0"/>
          <w:u w:val="single"/>
          <w:vertAlign w:val="superscript"/>
        </w:rPr>
        <w:t>Auto</w:t>
      </w:r>
      <w:r w:rsidRPr="005757CD">
        <w:rPr>
          <w:rFonts w:cstheme="minorHAnsi"/>
          <w:color w:val="0070C0"/>
          <w:u w:val="single"/>
        </w:rPr>
        <w:t>MSCs</w:t>
      </w:r>
      <w:proofErr w:type="spellEnd"/>
      <w:r w:rsidRPr="005757CD">
        <w:rPr>
          <w:rFonts w:cstheme="minorHAnsi"/>
          <w:color w:val="0070C0"/>
          <w:u w:val="single"/>
        </w:rPr>
        <w:t xml:space="preserve"> with </w:t>
      </w:r>
      <w:proofErr w:type="spellStart"/>
      <w:r w:rsidRPr="005757CD">
        <w:rPr>
          <w:rFonts w:cstheme="minorHAnsi"/>
          <w:color w:val="0070C0"/>
          <w:u w:val="single"/>
          <w:vertAlign w:val="superscript"/>
        </w:rPr>
        <w:t>Allo</w:t>
      </w:r>
      <w:r w:rsidRPr="005757CD">
        <w:rPr>
          <w:rFonts w:cstheme="minorHAnsi"/>
          <w:color w:val="0070C0"/>
          <w:u w:val="single"/>
        </w:rPr>
        <w:t>MSCs</w:t>
      </w:r>
      <w:proofErr w:type="spellEnd"/>
      <w:r w:rsidRPr="005757CD">
        <w:rPr>
          <w:rFonts w:cstheme="minorHAnsi"/>
          <w:color w:val="0070C0"/>
          <w:u w:val="single"/>
        </w:rPr>
        <w:t xml:space="preserve"> for cardiovascular applications directly;</w:t>
      </w:r>
      <w:r w:rsidRPr="005757CD">
        <w:rPr>
          <w:rFonts w:cstheme="minorHAnsi"/>
          <w:color w:val="0070C0"/>
        </w:rPr>
        <w:t xml:space="preserve"> (2) </w:t>
      </w:r>
      <w:r w:rsidRPr="005757CD">
        <w:rPr>
          <w:rFonts w:cstheme="minorHAnsi"/>
          <w:color w:val="0070C0"/>
          <w:u w:val="single"/>
        </w:rPr>
        <w:t xml:space="preserve">while autologous cells are generally regarded as a safer and more practical choice, most reported clinical trials have focused on </w:t>
      </w:r>
      <w:proofErr w:type="spellStart"/>
      <w:r w:rsidRPr="005757CD">
        <w:rPr>
          <w:rFonts w:cstheme="minorHAnsi"/>
          <w:color w:val="0070C0"/>
          <w:u w:val="single"/>
          <w:vertAlign w:val="superscript"/>
        </w:rPr>
        <w:t>Auto</w:t>
      </w:r>
      <w:r w:rsidRPr="005757CD">
        <w:rPr>
          <w:rFonts w:cstheme="minorHAnsi"/>
          <w:color w:val="0070C0"/>
          <w:u w:val="single"/>
        </w:rPr>
        <w:t>MSCs</w:t>
      </w:r>
      <w:proofErr w:type="spellEnd"/>
      <w:r w:rsidRPr="005757CD">
        <w:rPr>
          <w:rFonts w:cstheme="minorHAnsi"/>
          <w:color w:val="0070C0"/>
          <w:u w:val="single"/>
        </w:rPr>
        <w:t>, resulting in limited evidence regarding efficacy based on the source;</w:t>
      </w:r>
      <w:r w:rsidRPr="005757CD">
        <w:rPr>
          <w:rFonts w:cstheme="minorHAnsi"/>
          <w:color w:val="0070C0"/>
        </w:rPr>
        <w:t xml:space="preserve"> (3) </w:t>
      </w:r>
      <w:r w:rsidRPr="005757CD">
        <w:rPr>
          <w:rFonts w:cstheme="minorHAnsi"/>
          <w:color w:val="0070C0"/>
          <w:u w:val="single"/>
        </w:rPr>
        <w:t xml:space="preserve">both </w:t>
      </w:r>
      <w:proofErr w:type="spellStart"/>
      <w:r w:rsidRPr="005757CD">
        <w:rPr>
          <w:rFonts w:cstheme="minorHAnsi"/>
          <w:color w:val="0070C0"/>
          <w:u w:val="single"/>
          <w:vertAlign w:val="superscript"/>
        </w:rPr>
        <w:t>Allo</w:t>
      </w:r>
      <w:r w:rsidRPr="005757CD">
        <w:rPr>
          <w:rFonts w:cstheme="minorHAnsi"/>
          <w:color w:val="0070C0"/>
          <w:u w:val="single"/>
        </w:rPr>
        <w:t>MSCs</w:t>
      </w:r>
      <w:proofErr w:type="spellEnd"/>
      <w:r w:rsidRPr="005757CD">
        <w:rPr>
          <w:rFonts w:cstheme="minorHAnsi"/>
          <w:color w:val="0070C0"/>
          <w:u w:val="single"/>
        </w:rPr>
        <w:t xml:space="preserve"> and </w:t>
      </w:r>
      <w:proofErr w:type="spellStart"/>
      <w:r w:rsidRPr="005757CD">
        <w:rPr>
          <w:rFonts w:cstheme="minorHAnsi"/>
          <w:color w:val="0070C0"/>
          <w:u w:val="single"/>
          <w:vertAlign w:val="superscript"/>
        </w:rPr>
        <w:t>Auto</w:t>
      </w:r>
      <w:r w:rsidRPr="005757CD">
        <w:rPr>
          <w:rFonts w:cstheme="minorHAnsi"/>
          <w:color w:val="0070C0"/>
          <w:u w:val="single"/>
        </w:rPr>
        <w:t>MSCs</w:t>
      </w:r>
      <w:proofErr w:type="spellEnd"/>
      <w:r w:rsidRPr="005757CD">
        <w:rPr>
          <w:rFonts w:cstheme="minorHAnsi"/>
          <w:color w:val="0070C0"/>
          <w:u w:val="single"/>
        </w:rPr>
        <w:t xml:space="preserve"> exhibited similar safety profiles;</w:t>
      </w:r>
      <w:r w:rsidRPr="005757CD">
        <w:rPr>
          <w:rFonts w:cstheme="minorHAnsi"/>
          <w:color w:val="0070C0"/>
        </w:rPr>
        <w:t xml:space="preserve"> and (4) </w:t>
      </w:r>
      <w:r w:rsidRPr="005757CD">
        <w:rPr>
          <w:rFonts w:cstheme="minorHAnsi"/>
          <w:color w:val="0070C0"/>
          <w:u w:val="single"/>
        </w:rPr>
        <w:t xml:space="preserve">our analysis demonstrated the non-inferiority of </w:t>
      </w:r>
      <w:proofErr w:type="spellStart"/>
      <w:r w:rsidRPr="005757CD">
        <w:rPr>
          <w:rFonts w:cstheme="minorHAnsi"/>
          <w:color w:val="0070C0"/>
          <w:u w:val="single"/>
          <w:vertAlign w:val="superscript"/>
        </w:rPr>
        <w:t>Allo</w:t>
      </w:r>
      <w:r w:rsidRPr="005757CD">
        <w:rPr>
          <w:rFonts w:cstheme="minorHAnsi"/>
          <w:color w:val="0070C0"/>
          <w:u w:val="single"/>
        </w:rPr>
        <w:t>MSCs</w:t>
      </w:r>
      <w:proofErr w:type="spellEnd"/>
      <w:r w:rsidRPr="005757CD">
        <w:rPr>
          <w:rFonts w:cstheme="minorHAnsi"/>
          <w:color w:val="0070C0"/>
          <w:u w:val="single"/>
        </w:rPr>
        <w:t xml:space="preserve"> compared to their autologous counterparts</w:t>
      </w:r>
      <w:r w:rsidRPr="005757CD">
        <w:rPr>
          <w:rFonts w:cstheme="minorHAnsi"/>
          <w:color w:val="0070C0"/>
        </w:rPr>
        <w:t>.</w:t>
      </w:r>
    </w:p>
    <w:p w14:paraId="2172AE0A" w14:textId="77777777" w:rsidR="008D2A8B" w:rsidRPr="005757CD" w:rsidRDefault="008D2A8B" w:rsidP="008D2A8B">
      <w:pPr>
        <w:spacing w:line="276" w:lineRule="auto"/>
        <w:rPr>
          <w:rFonts w:cstheme="minorHAnsi"/>
        </w:rPr>
      </w:pPr>
    </w:p>
    <w:p w14:paraId="478B8BBA" w14:textId="77777777" w:rsidR="008D2A8B" w:rsidRPr="002903B8" w:rsidRDefault="008D2A8B" w:rsidP="008D2A8B">
      <w:pPr>
        <w:spacing w:line="276" w:lineRule="auto"/>
        <w:jc w:val="both"/>
        <w:rPr>
          <w:rFonts w:asciiTheme="majorBidi" w:hAnsiTheme="majorBidi" w:cstheme="majorBidi"/>
          <w:color w:val="4472C4" w:themeColor="accent1"/>
        </w:rPr>
      </w:pPr>
    </w:p>
    <w:p w14:paraId="44700692" w14:textId="77777777" w:rsidR="00A21487" w:rsidRPr="008D2A8B" w:rsidRDefault="00A21487" w:rsidP="008D2A8B">
      <w:pPr>
        <w:tabs>
          <w:tab w:val="left" w:pos="7619"/>
        </w:tabs>
        <w:spacing w:line="276" w:lineRule="auto"/>
      </w:pPr>
    </w:p>
    <w:sectPr w:rsidR="00A21487" w:rsidRPr="008D2A8B">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0007F" w14:textId="77777777" w:rsidR="005B0377" w:rsidRDefault="005B0377" w:rsidP="007E7397">
      <w:pPr>
        <w:spacing w:after="0" w:line="240" w:lineRule="auto"/>
      </w:pPr>
      <w:r>
        <w:separator/>
      </w:r>
    </w:p>
  </w:endnote>
  <w:endnote w:type="continuationSeparator" w:id="0">
    <w:p w14:paraId="56012056" w14:textId="77777777" w:rsidR="005B0377" w:rsidRDefault="005B0377" w:rsidP="007E7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5196" w14:textId="77777777" w:rsidR="008D2A8B" w:rsidRDefault="008D2A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348601"/>
      <w:docPartObj>
        <w:docPartGallery w:val="Page Numbers (Bottom of Page)"/>
        <w:docPartUnique/>
      </w:docPartObj>
    </w:sdtPr>
    <w:sdtEndPr>
      <w:rPr>
        <w:noProof/>
      </w:rPr>
    </w:sdtEndPr>
    <w:sdtContent>
      <w:p w14:paraId="07F82440" w14:textId="2EA975FF" w:rsidR="00D60259" w:rsidRDefault="00D602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AEBE97" w14:textId="77777777" w:rsidR="00D60259" w:rsidRDefault="00D602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21F0" w14:textId="77777777" w:rsidR="008D2A8B" w:rsidRDefault="008D2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9D43C" w14:textId="77777777" w:rsidR="005B0377" w:rsidRDefault="005B0377" w:rsidP="007E7397">
      <w:pPr>
        <w:spacing w:after="0" w:line="240" w:lineRule="auto"/>
      </w:pPr>
      <w:r>
        <w:separator/>
      </w:r>
    </w:p>
  </w:footnote>
  <w:footnote w:type="continuationSeparator" w:id="0">
    <w:p w14:paraId="368C7398" w14:textId="77777777" w:rsidR="005B0377" w:rsidRDefault="005B0377" w:rsidP="007E7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6FC05" w14:textId="77777777" w:rsidR="008D2A8B" w:rsidRDefault="008D2A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B3CC" w14:textId="0DA38852" w:rsidR="00D60259" w:rsidRPr="00D60259" w:rsidRDefault="00D60259" w:rsidP="00D60259">
    <w:pPr>
      <w:jc w:val="center"/>
      <w:rPr>
        <w:rFonts w:asciiTheme="majorBidi" w:hAnsiTheme="majorBidi" w:cstheme="majorBidi"/>
        <w:b/>
        <w:bCs/>
        <w:sz w:val="36"/>
        <w:szCs w:val="36"/>
        <w:u w:val="single"/>
      </w:rPr>
    </w:pPr>
    <w:r w:rsidRPr="00D60259">
      <w:rPr>
        <w:rFonts w:asciiTheme="majorBidi" w:hAnsiTheme="majorBidi" w:cstheme="majorBidi"/>
        <w:b/>
        <w:bCs/>
        <w:sz w:val="36"/>
        <w:szCs w:val="36"/>
        <w:u w:val="single"/>
      </w:rPr>
      <w:t>Supplementary Material</w:t>
    </w:r>
    <w:r w:rsidR="008D2A8B">
      <w:rPr>
        <w:rFonts w:asciiTheme="majorBidi" w:hAnsiTheme="majorBidi" w:cstheme="majorBidi"/>
        <w:b/>
        <w:bCs/>
        <w:sz w:val="36"/>
        <w:szCs w:val="36"/>
        <w:u w:val="single"/>
      </w:rPr>
      <w:t xml:space="preserve"> &amp; Itemized Response to Reviewers’ Comments</w:t>
    </w:r>
  </w:p>
  <w:p w14:paraId="4FB2A0F5" w14:textId="77777777" w:rsidR="00D60259" w:rsidRDefault="00D602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22D5" w14:textId="77777777" w:rsidR="008D2A8B" w:rsidRDefault="008D2A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52444"/>
    <w:multiLevelType w:val="hybridMultilevel"/>
    <w:tmpl w:val="01A4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64562"/>
    <w:multiLevelType w:val="hybridMultilevel"/>
    <w:tmpl w:val="FEC69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FF1574"/>
    <w:multiLevelType w:val="hybridMultilevel"/>
    <w:tmpl w:val="8A86D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0C231B"/>
    <w:multiLevelType w:val="hybridMultilevel"/>
    <w:tmpl w:val="E5BAB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0E1641"/>
    <w:multiLevelType w:val="hybridMultilevel"/>
    <w:tmpl w:val="E968E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088218">
    <w:abstractNumId w:val="3"/>
  </w:num>
  <w:num w:numId="2" w16cid:durableId="213197664">
    <w:abstractNumId w:val="1"/>
  </w:num>
  <w:num w:numId="3" w16cid:durableId="639113106">
    <w:abstractNumId w:val="4"/>
  </w:num>
  <w:num w:numId="4" w16cid:durableId="600533123">
    <w:abstractNumId w:val="0"/>
  </w:num>
  <w:num w:numId="5" w16cid:durableId="787088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397"/>
    <w:rsid w:val="00071A89"/>
    <w:rsid w:val="00087B03"/>
    <w:rsid w:val="0009624C"/>
    <w:rsid w:val="000B1C8F"/>
    <w:rsid w:val="002302A6"/>
    <w:rsid w:val="00251FD3"/>
    <w:rsid w:val="00296CD3"/>
    <w:rsid w:val="002B1ACE"/>
    <w:rsid w:val="003475AF"/>
    <w:rsid w:val="005B0377"/>
    <w:rsid w:val="005C37EC"/>
    <w:rsid w:val="005F7D0C"/>
    <w:rsid w:val="006440D1"/>
    <w:rsid w:val="006675F6"/>
    <w:rsid w:val="006C0648"/>
    <w:rsid w:val="006D1841"/>
    <w:rsid w:val="007140B5"/>
    <w:rsid w:val="007144CE"/>
    <w:rsid w:val="007229A7"/>
    <w:rsid w:val="007A5346"/>
    <w:rsid w:val="007C05D4"/>
    <w:rsid w:val="007D4DBC"/>
    <w:rsid w:val="007E7397"/>
    <w:rsid w:val="00814F23"/>
    <w:rsid w:val="008403C4"/>
    <w:rsid w:val="008D2A8B"/>
    <w:rsid w:val="00907830"/>
    <w:rsid w:val="00917EBD"/>
    <w:rsid w:val="009E6AD5"/>
    <w:rsid w:val="00A21487"/>
    <w:rsid w:val="00A46291"/>
    <w:rsid w:val="00AC5EC4"/>
    <w:rsid w:val="00B30265"/>
    <w:rsid w:val="00BF3F92"/>
    <w:rsid w:val="00CA2263"/>
    <w:rsid w:val="00CE0633"/>
    <w:rsid w:val="00D60259"/>
    <w:rsid w:val="00E244A0"/>
    <w:rsid w:val="00E42D85"/>
    <w:rsid w:val="00F25765"/>
    <w:rsid w:val="00F67C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DFA81"/>
  <w15:chartTrackingRefBased/>
  <w15:docId w15:val="{EC014546-9DF7-4803-98BD-B3576A86A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3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397"/>
  </w:style>
  <w:style w:type="paragraph" w:styleId="Footer">
    <w:name w:val="footer"/>
    <w:basedOn w:val="Normal"/>
    <w:link w:val="FooterChar"/>
    <w:uiPriority w:val="99"/>
    <w:unhideWhenUsed/>
    <w:rsid w:val="007E7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397"/>
  </w:style>
  <w:style w:type="paragraph" w:styleId="ListParagraph">
    <w:name w:val="List Paragraph"/>
    <w:basedOn w:val="Normal"/>
    <w:uiPriority w:val="34"/>
    <w:qFormat/>
    <w:rsid w:val="00A21487"/>
    <w:pPr>
      <w:spacing w:after="0" w:line="240" w:lineRule="auto"/>
      <w:ind w:left="720"/>
      <w:contextualSpacing/>
    </w:pPr>
    <w:rPr>
      <w:sz w:val="24"/>
      <w:szCs w:val="24"/>
    </w:rPr>
  </w:style>
  <w:style w:type="character" w:styleId="Hyperlink">
    <w:name w:val="Hyperlink"/>
    <w:basedOn w:val="DefaultParagraphFont"/>
    <w:uiPriority w:val="99"/>
    <w:unhideWhenUsed/>
    <w:rsid w:val="00A21487"/>
    <w:rPr>
      <w:color w:val="0563C1" w:themeColor="hyperlink"/>
      <w:u w:val="single"/>
    </w:rPr>
  </w:style>
  <w:style w:type="paragraph" w:customStyle="1" w:styleId="MDPI13authornames">
    <w:name w:val="MDPI_1.3_authornames"/>
    <w:next w:val="Normal"/>
    <w:qFormat/>
    <w:rsid w:val="00D60259"/>
    <w:pPr>
      <w:adjustRightInd w:val="0"/>
      <w:snapToGrid w:val="0"/>
      <w:spacing w:after="360" w:line="260" w:lineRule="atLeast"/>
    </w:pPr>
    <w:rPr>
      <w:rFonts w:ascii="Palatino Linotype" w:eastAsia="Times New Roman" w:hAnsi="Palatino Linotype" w:cs="Times New Roman"/>
      <w:b/>
      <w:color w:val="000000"/>
      <w:kern w:val="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07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yperlink" Target="https://training.cochrane.org/handbook/current/chapter-06" TargetMode="External"/><Relationship Id="rId42"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s://training.cochrane.org/handbook/current/chapter-06"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automeris.io/WebPlotDigitizer/" TargetMode="External"/><Relationship Id="rId37" Type="http://schemas.openxmlformats.org/officeDocument/2006/relationships/hyperlink" Target="https://training.cochrane.org/handbook/current/chapter-06"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https://training.cochrane.org/handbook/current/chapter-06"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yperlink" Target="https://training.cochrane.org/handbook/current/chapter-06" TargetMode="External"/><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29</Pages>
  <Words>5329</Words>
  <Characters>31177</Characters>
  <Application>Microsoft Office Word</Application>
  <DocSecurity>0</DocSecurity>
  <Lines>760</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dc:creator>
  <cp:keywords/>
  <dc:description/>
  <cp:lastModifiedBy>khawaja Haider</cp:lastModifiedBy>
  <cp:revision>12</cp:revision>
  <dcterms:created xsi:type="dcterms:W3CDTF">2024-04-18T07:13:00Z</dcterms:created>
  <dcterms:modified xsi:type="dcterms:W3CDTF">2025-01-12T16:25:00Z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dafd1270f142becb870dda9d1a77e9cef1feb3e3dd0d13c8ac9e784be2ca3c97</vt:lpwstr>
  </property>
</Properties>
</file>