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828E40" w14:textId="673FEBB5" w:rsidR="00057106" w:rsidRPr="00057106" w:rsidRDefault="00057106" w:rsidP="00B42261">
      <w:pPr>
        <w:spacing w:after="0" w:line="480" w:lineRule="auto"/>
        <w:ind w:left="0" w:firstLine="0"/>
        <w:jc w:val="left"/>
        <w:rPr>
          <w:rFonts w:eastAsia="新細明體"/>
          <w:b/>
          <w:sz w:val="24"/>
          <w:szCs w:val="24"/>
          <w:lang w:eastAsia="zh-TW"/>
        </w:rPr>
      </w:pPr>
      <w:r w:rsidRPr="00057106">
        <w:rPr>
          <w:rFonts w:eastAsia="新細明體" w:hint="eastAsia"/>
          <w:b/>
          <w:sz w:val="24"/>
          <w:szCs w:val="24"/>
          <w:lang w:eastAsia="zh-TW"/>
        </w:rPr>
        <w:t>S</w:t>
      </w:r>
      <w:r w:rsidRPr="00057106">
        <w:rPr>
          <w:rFonts w:eastAsia="新細明體"/>
          <w:b/>
          <w:sz w:val="24"/>
          <w:szCs w:val="24"/>
          <w:lang w:eastAsia="zh-TW"/>
        </w:rPr>
        <w:t>upplementary Figure 1.</w:t>
      </w:r>
    </w:p>
    <w:p w14:paraId="29F64EF0" w14:textId="60D6C065" w:rsidR="007F2172" w:rsidRDefault="007F2172" w:rsidP="00B42261">
      <w:pPr>
        <w:spacing w:after="0" w:line="480" w:lineRule="auto"/>
        <w:rPr>
          <w:rFonts w:eastAsiaTheme="minorEastAsia"/>
          <w:b/>
          <w:sz w:val="24"/>
          <w:szCs w:val="24"/>
        </w:rPr>
      </w:pPr>
      <w:r w:rsidRPr="007F2172">
        <w:rPr>
          <w:rFonts w:eastAsiaTheme="minorEastAsia"/>
          <w:b/>
          <w:sz w:val="24"/>
          <w:szCs w:val="24"/>
        </w:rPr>
        <w:t xml:space="preserve">"Generation and </w:t>
      </w:r>
      <w:r>
        <w:rPr>
          <w:rFonts w:eastAsiaTheme="minorEastAsia"/>
          <w:b/>
          <w:sz w:val="24"/>
          <w:szCs w:val="24"/>
        </w:rPr>
        <w:t>d</w:t>
      </w:r>
      <w:r w:rsidRPr="007F2172">
        <w:rPr>
          <w:rFonts w:eastAsiaTheme="minorEastAsia"/>
          <w:b/>
          <w:sz w:val="24"/>
          <w:szCs w:val="24"/>
        </w:rPr>
        <w:t xml:space="preserve">ifferentiation of </w:t>
      </w:r>
      <w:r>
        <w:rPr>
          <w:rFonts w:eastAsiaTheme="minorEastAsia"/>
          <w:b/>
          <w:sz w:val="24"/>
          <w:szCs w:val="24"/>
        </w:rPr>
        <w:t>n</w:t>
      </w:r>
      <w:r w:rsidRPr="007F2172">
        <w:rPr>
          <w:rFonts w:eastAsiaTheme="minorEastAsia"/>
          <w:b/>
          <w:sz w:val="24"/>
          <w:szCs w:val="24"/>
        </w:rPr>
        <w:t xml:space="preserve">eural </w:t>
      </w:r>
      <w:r>
        <w:rPr>
          <w:rFonts w:eastAsiaTheme="minorEastAsia"/>
          <w:b/>
          <w:sz w:val="24"/>
          <w:szCs w:val="24"/>
        </w:rPr>
        <w:t>s</w:t>
      </w:r>
      <w:r w:rsidRPr="007F2172">
        <w:rPr>
          <w:rFonts w:eastAsiaTheme="minorEastAsia"/>
          <w:b/>
          <w:sz w:val="24"/>
          <w:szCs w:val="24"/>
        </w:rPr>
        <w:t xml:space="preserve">tem </w:t>
      </w:r>
      <w:r>
        <w:rPr>
          <w:rFonts w:eastAsiaTheme="minorEastAsia"/>
          <w:b/>
          <w:sz w:val="24"/>
          <w:szCs w:val="24"/>
        </w:rPr>
        <w:t>c</w:t>
      </w:r>
      <w:r w:rsidRPr="007F2172">
        <w:rPr>
          <w:rFonts w:eastAsiaTheme="minorEastAsia"/>
          <w:b/>
          <w:sz w:val="24"/>
          <w:szCs w:val="24"/>
        </w:rPr>
        <w:t xml:space="preserve">ells </w:t>
      </w:r>
      <w:r>
        <w:rPr>
          <w:rFonts w:eastAsiaTheme="minorEastAsia"/>
          <w:b/>
          <w:sz w:val="24"/>
          <w:szCs w:val="24"/>
        </w:rPr>
        <w:t>d</w:t>
      </w:r>
      <w:r w:rsidRPr="007F2172">
        <w:rPr>
          <w:rFonts w:eastAsiaTheme="minorEastAsia"/>
          <w:b/>
          <w:sz w:val="24"/>
          <w:szCs w:val="24"/>
        </w:rPr>
        <w:t xml:space="preserve">erived from </w:t>
      </w:r>
      <w:proofErr w:type="spellStart"/>
      <w:r w:rsidRPr="007F2172">
        <w:rPr>
          <w:rFonts w:eastAsiaTheme="minorEastAsia"/>
          <w:b/>
          <w:sz w:val="24"/>
          <w:szCs w:val="24"/>
        </w:rPr>
        <w:t>iPSCs</w:t>
      </w:r>
      <w:proofErr w:type="spellEnd"/>
      <w:r w:rsidRPr="007F2172">
        <w:rPr>
          <w:rFonts w:eastAsiaTheme="minorEastAsia"/>
          <w:b/>
          <w:sz w:val="24"/>
          <w:szCs w:val="24"/>
        </w:rPr>
        <w:t xml:space="preserve"> into </w:t>
      </w:r>
      <w:r>
        <w:rPr>
          <w:rFonts w:eastAsiaTheme="minorEastAsia"/>
          <w:b/>
          <w:sz w:val="24"/>
          <w:szCs w:val="24"/>
        </w:rPr>
        <w:t>n</w:t>
      </w:r>
      <w:r w:rsidRPr="007F2172">
        <w:rPr>
          <w:rFonts w:eastAsiaTheme="minorEastAsia"/>
          <w:b/>
          <w:sz w:val="24"/>
          <w:szCs w:val="24"/>
        </w:rPr>
        <w:t xml:space="preserve">eurons </w:t>
      </w:r>
    </w:p>
    <w:p w14:paraId="47C66FC0" w14:textId="5BFEC5DB" w:rsidR="007F2172" w:rsidRPr="007F2172" w:rsidRDefault="007F2172" w:rsidP="00B42261">
      <w:pPr>
        <w:spacing w:after="0" w:line="480" w:lineRule="auto"/>
        <w:ind w:left="14" w:firstLine="0"/>
        <w:rPr>
          <w:rFonts w:eastAsiaTheme="minorEastAsia"/>
          <w:sz w:val="24"/>
          <w:szCs w:val="24"/>
        </w:rPr>
      </w:pPr>
      <w:r w:rsidRPr="007F2172">
        <w:rPr>
          <w:rFonts w:eastAsiaTheme="minorEastAsia"/>
          <w:sz w:val="24"/>
          <w:szCs w:val="24"/>
        </w:rPr>
        <w:t>(A) A schematic representation illustrates the experimental paradigm for differentiating neural stem cells (NSCs) from induced pluripotent stem cells (</w:t>
      </w:r>
      <w:proofErr w:type="spellStart"/>
      <w:r w:rsidRPr="007F2172">
        <w:rPr>
          <w:rFonts w:eastAsiaTheme="minorEastAsia"/>
          <w:sz w:val="24"/>
          <w:szCs w:val="24"/>
        </w:rPr>
        <w:t>iPSCs</w:t>
      </w:r>
      <w:proofErr w:type="spellEnd"/>
      <w:r w:rsidRPr="007F2172">
        <w:rPr>
          <w:rFonts w:eastAsiaTheme="minorEastAsia"/>
          <w:sz w:val="24"/>
          <w:szCs w:val="24"/>
        </w:rPr>
        <w:t xml:space="preserve">) over a total period of 18 days. Floating </w:t>
      </w:r>
      <w:proofErr w:type="spellStart"/>
      <w:r w:rsidRPr="007F2172">
        <w:rPr>
          <w:rFonts w:eastAsiaTheme="minorEastAsia"/>
          <w:sz w:val="24"/>
          <w:szCs w:val="24"/>
        </w:rPr>
        <w:t>embryoid</w:t>
      </w:r>
      <w:proofErr w:type="spellEnd"/>
      <w:r w:rsidRPr="007F2172">
        <w:rPr>
          <w:rFonts w:eastAsiaTheme="minorEastAsia"/>
          <w:sz w:val="24"/>
          <w:szCs w:val="24"/>
        </w:rPr>
        <w:t xml:space="preserve"> bodies (EBs) were generated from </w:t>
      </w:r>
      <w:proofErr w:type="spellStart"/>
      <w:r w:rsidRPr="007F2172">
        <w:rPr>
          <w:rFonts w:eastAsiaTheme="minorEastAsia"/>
          <w:sz w:val="24"/>
          <w:szCs w:val="24"/>
        </w:rPr>
        <w:t>iPSCs</w:t>
      </w:r>
      <w:proofErr w:type="spellEnd"/>
      <w:r w:rsidRPr="007F2172">
        <w:rPr>
          <w:rFonts w:eastAsiaTheme="minorEastAsia"/>
          <w:sz w:val="24"/>
          <w:szCs w:val="24"/>
        </w:rPr>
        <w:t>, induced to form neural rosettes, and subsequently dissociated into NSCs. Representative images show the different stages of cell culture.</w:t>
      </w:r>
      <w:r w:rsidRPr="007F2172">
        <w:t xml:space="preserve"> </w:t>
      </w:r>
      <w:r w:rsidRPr="007F2172">
        <w:rPr>
          <w:rFonts w:eastAsiaTheme="minorEastAsia"/>
          <w:sz w:val="24"/>
          <w:szCs w:val="24"/>
        </w:rPr>
        <w:t xml:space="preserve">(B) Representative phase-contrast images depict neural rosettes derived from </w:t>
      </w:r>
      <w:proofErr w:type="spellStart"/>
      <w:r w:rsidRPr="007F2172">
        <w:rPr>
          <w:rFonts w:eastAsiaTheme="minorEastAsia"/>
          <w:sz w:val="24"/>
          <w:szCs w:val="24"/>
        </w:rPr>
        <w:t>iPSCs</w:t>
      </w:r>
      <w:proofErr w:type="spellEnd"/>
      <w:r w:rsidRPr="007F2172">
        <w:rPr>
          <w:rFonts w:eastAsiaTheme="minorEastAsia"/>
          <w:sz w:val="24"/>
          <w:szCs w:val="24"/>
        </w:rPr>
        <w:t xml:space="preserve">, with scale bars set at 50 </w:t>
      </w:r>
      <w:proofErr w:type="spellStart"/>
      <w:r w:rsidRPr="007F2172">
        <w:rPr>
          <w:rFonts w:eastAsiaTheme="minorEastAsia"/>
          <w:sz w:val="24"/>
          <w:szCs w:val="24"/>
        </w:rPr>
        <w:t>μm</w:t>
      </w:r>
      <w:proofErr w:type="spellEnd"/>
      <w:r w:rsidRPr="007F2172">
        <w:rPr>
          <w:rFonts w:eastAsiaTheme="minorEastAsia"/>
          <w:sz w:val="24"/>
          <w:szCs w:val="24"/>
        </w:rPr>
        <w:t xml:space="preserve">. Fluorescent immunostaining images show iPSC-derived rosettes expressing the neural progenitor markers PAX6 and SOX1. Scale bars, 75 </w:t>
      </w:r>
      <w:proofErr w:type="spellStart"/>
      <w:r w:rsidRPr="007F2172">
        <w:rPr>
          <w:rFonts w:eastAsiaTheme="minorEastAsia"/>
          <w:sz w:val="24"/>
          <w:szCs w:val="24"/>
        </w:rPr>
        <w:t>μm</w:t>
      </w:r>
      <w:proofErr w:type="spellEnd"/>
      <w:r w:rsidRPr="007F2172">
        <w:rPr>
          <w:rFonts w:eastAsiaTheme="minorEastAsia"/>
          <w:sz w:val="24"/>
          <w:szCs w:val="24"/>
        </w:rPr>
        <w:t>.</w:t>
      </w:r>
      <w:r>
        <w:rPr>
          <w:rFonts w:eastAsiaTheme="minorEastAsia"/>
          <w:sz w:val="24"/>
          <w:szCs w:val="24"/>
        </w:rPr>
        <w:t xml:space="preserve"> </w:t>
      </w:r>
      <w:r w:rsidRPr="007F2172">
        <w:rPr>
          <w:rFonts w:eastAsiaTheme="minorEastAsia"/>
          <w:sz w:val="24"/>
          <w:szCs w:val="24"/>
        </w:rPr>
        <w:t xml:space="preserve">(C) Phase-contrast images illustrate the morphology of NSCs in early (P3) and late passages (P30), </w:t>
      </w:r>
      <w:bookmarkStart w:id="0" w:name="_GoBack"/>
      <w:r w:rsidRPr="007F2172">
        <w:rPr>
          <w:rFonts w:eastAsiaTheme="minorEastAsia"/>
          <w:sz w:val="24"/>
          <w:szCs w:val="24"/>
        </w:rPr>
        <w:t xml:space="preserve">demonstrating consistent morphology during long-term culture. Fluorescent immunostaining images show </w:t>
      </w:r>
      <w:bookmarkEnd w:id="0"/>
      <w:r w:rsidRPr="007F2172">
        <w:rPr>
          <w:rFonts w:eastAsiaTheme="minorEastAsia"/>
          <w:sz w:val="24"/>
          <w:szCs w:val="24"/>
        </w:rPr>
        <w:t xml:space="preserve">early- and late-passage NSCs expressing NESTIN and SOX1, with nuclei counterstained using DAPI. Scale bars, 50 </w:t>
      </w:r>
      <w:proofErr w:type="spellStart"/>
      <w:r w:rsidRPr="007F2172">
        <w:rPr>
          <w:rFonts w:eastAsiaTheme="minorEastAsia"/>
          <w:sz w:val="24"/>
          <w:szCs w:val="24"/>
        </w:rPr>
        <w:t>μm</w:t>
      </w:r>
      <w:proofErr w:type="spellEnd"/>
      <w:r w:rsidRPr="007F2172">
        <w:rPr>
          <w:rFonts w:eastAsiaTheme="minorEastAsia"/>
          <w:sz w:val="24"/>
          <w:szCs w:val="24"/>
        </w:rPr>
        <w:t>.</w:t>
      </w:r>
      <w:r w:rsidRPr="007F2172">
        <w:t xml:space="preserve"> </w:t>
      </w:r>
      <w:r w:rsidRPr="007F2172">
        <w:rPr>
          <w:rFonts w:eastAsiaTheme="minorEastAsia"/>
          <w:sz w:val="24"/>
          <w:szCs w:val="24"/>
        </w:rPr>
        <w:t xml:space="preserve">(D) </w:t>
      </w:r>
      <w:r>
        <w:rPr>
          <w:rFonts w:eastAsiaTheme="minorEastAsia"/>
          <w:sz w:val="24"/>
          <w:szCs w:val="24"/>
        </w:rPr>
        <w:t>RT-qPCR</w:t>
      </w:r>
      <w:r w:rsidRPr="007F2172">
        <w:rPr>
          <w:rFonts w:eastAsiaTheme="minorEastAsia"/>
          <w:sz w:val="24"/>
          <w:szCs w:val="24"/>
        </w:rPr>
        <w:t xml:space="preserve"> analysis was performed to assess the expression of neural progenitor genes (SOX1, PAX6, and NESTIN) and pluripotency genes (NANOG and OCT4) in early- and late-passage NSCs. The Y-axis represents gene expression levels relative to undifferentiated </w:t>
      </w:r>
      <w:proofErr w:type="spellStart"/>
      <w:r w:rsidRPr="007F2172">
        <w:rPr>
          <w:rFonts w:eastAsiaTheme="minorEastAsia"/>
          <w:sz w:val="24"/>
          <w:szCs w:val="24"/>
        </w:rPr>
        <w:t>iPSCs</w:t>
      </w:r>
      <w:proofErr w:type="spellEnd"/>
      <w:r w:rsidRPr="007F2172">
        <w:rPr>
          <w:rFonts w:eastAsiaTheme="minorEastAsia"/>
          <w:sz w:val="24"/>
          <w:szCs w:val="24"/>
        </w:rPr>
        <w:t>, normalized to GAPDH. The data, derived from three independent differentiations, are represented as mean ± SEM. N.S. indicates non-significant differences.</w:t>
      </w:r>
      <w:r w:rsidRPr="007F2172">
        <w:t xml:space="preserve"> </w:t>
      </w:r>
      <w:r w:rsidRPr="007F2172">
        <w:rPr>
          <w:rFonts w:eastAsiaTheme="minorEastAsia"/>
          <w:sz w:val="24"/>
          <w:szCs w:val="24"/>
        </w:rPr>
        <w:t>(E) Using a feeder-free, chemically defined in vitro diffe</w:t>
      </w:r>
      <w:r>
        <w:rPr>
          <w:rFonts w:eastAsiaTheme="minorEastAsia"/>
          <w:sz w:val="24"/>
          <w:szCs w:val="24"/>
        </w:rPr>
        <w:t xml:space="preserve">rentiation protocol, human </w:t>
      </w:r>
      <w:proofErr w:type="spellStart"/>
      <w:r>
        <w:rPr>
          <w:rFonts w:eastAsiaTheme="minorEastAsia"/>
          <w:sz w:val="24"/>
          <w:szCs w:val="24"/>
        </w:rPr>
        <w:t>iPSCiNSCs</w:t>
      </w:r>
      <w:proofErr w:type="spellEnd"/>
      <w:r w:rsidRPr="007F2172">
        <w:rPr>
          <w:rFonts w:eastAsiaTheme="minorEastAsia"/>
          <w:sz w:val="24"/>
          <w:szCs w:val="24"/>
        </w:rPr>
        <w:t xml:space="preserve"> were differentiated into neurons. Immunostaining revealed the typical morphology of neurons, with differentiated neurons expressing the neuronal markers MAP2 and Neuron D1.</w:t>
      </w:r>
    </w:p>
    <w:p w14:paraId="401CF75F" w14:textId="77777777" w:rsidR="007F2172" w:rsidRDefault="007F2172" w:rsidP="00B42261">
      <w:pPr>
        <w:spacing w:after="0" w:line="480" w:lineRule="auto"/>
        <w:rPr>
          <w:rFonts w:eastAsiaTheme="minorEastAsia"/>
          <w:b/>
          <w:sz w:val="24"/>
          <w:szCs w:val="24"/>
        </w:rPr>
      </w:pPr>
    </w:p>
    <w:p w14:paraId="294CBEE8" w14:textId="77777777" w:rsidR="007F2172" w:rsidRDefault="007F2172" w:rsidP="00B42261">
      <w:pPr>
        <w:spacing w:after="0" w:line="480" w:lineRule="auto"/>
        <w:rPr>
          <w:rFonts w:eastAsiaTheme="minorEastAsia"/>
          <w:b/>
          <w:sz w:val="24"/>
          <w:szCs w:val="24"/>
        </w:rPr>
      </w:pPr>
    </w:p>
    <w:p w14:paraId="7A26AC28" w14:textId="77777777" w:rsidR="007F2172" w:rsidRDefault="007F2172" w:rsidP="00057106">
      <w:pPr>
        <w:spacing w:after="0" w:line="259" w:lineRule="auto"/>
        <w:rPr>
          <w:rFonts w:eastAsiaTheme="minorEastAsia"/>
          <w:b/>
          <w:sz w:val="24"/>
          <w:szCs w:val="24"/>
        </w:rPr>
      </w:pPr>
    </w:p>
    <w:p w14:paraId="178D1279" w14:textId="77777777" w:rsidR="00057106" w:rsidRPr="00057106" w:rsidRDefault="00057106" w:rsidP="001C237E">
      <w:pPr>
        <w:spacing w:after="0" w:line="259" w:lineRule="auto"/>
        <w:ind w:left="0" w:firstLine="0"/>
        <w:jc w:val="left"/>
        <w:rPr>
          <w:rFonts w:eastAsiaTheme="minorEastAsia"/>
          <w:b/>
          <w:sz w:val="24"/>
          <w:szCs w:val="24"/>
        </w:rPr>
      </w:pPr>
    </w:p>
    <w:sectPr w:rsidR="00057106" w:rsidRPr="00057106" w:rsidSect="007C6032">
      <w:footerReference w:type="even" r:id="rId7"/>
      <w:footerReference w:type="default" r:id="rId8"/>
      <w:footerReference w:type="first" r:id="rId9"/>
      <w:pgSz w:w="11906" w:h="16838"/>
      <w:pgMar w:top="720" w:right="720" w:bottom="720" w:left="720" w:header="720" w:footer="991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69A589" w14:textId="77777777" w:rsidR="004305D2" w:rsidRDefault="004305D2" w:rsidP="00B17E92">
      <w:pPr>
        <w:spacing w:after="0" w:line="240" w:lineRule="auto"/>
      </w:pPr>
      <w:r>
        <w:separator/>
      </w:r>
    </w:p>
  </w:endnote>
  <w:endnote w:type="continuationSeparator" w:id="0">
    <w:p w14:paraId="3BEDD2BC" w14:textId="77777777" w:rsidR="004305D2" w:rsidRDefault="004305D2" w:rsidP="00B17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Microsoft YaHei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DFC9CF" w14:textId="77777777" w:rsidR="00AC2BC0" w:rsidRDefault="00085A9E">
    <w:pPr>
      <w:spacing w:after="0" w:line="259" w:lineRule="auto"/>
      <w:ind w:left="0" w:right="6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18"/>
      </w:rPr>
      <w:t>1</w:t>
    </w:r>
    <w:r>
      <w:rPr>
        <w:rFonts w:ascii="Calibri" w:eastAsia="Calibri" w:hAnsi="Calibri" w:cs="Calibri"/>
        <w:sz w:val="18"/>
      </w:rPr>
      <w:fldChar w:fldCharType="end"/>
    </w:r>
    <w:r>
      <w:rPr>
        <w:rFonts w:ascii="Calibri" w:eastAsia="Calibri" w:hAnsi="Calibri" w:cs="Calibri"/>
        <w:sz w:val="18"/>
      </w:rPr>
      <w:t xml:space="preserve"> </w:t>
    </w:r>
  </w:p>
  <w:p w14:paraId="214DD25C" w14:textId="77777777" w:rsidR="00AC2BC0" w:rsidRDefault="00085A9E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C43B3" w14:textId="23340E4A" w:rsidR="00AC2BC0" w:rsidRDefault="00085A9E">
    <w:pPr>
      <w:spacing w:after="0" w:line="259" w:lineRule="auto"/>
      <w:ind w:left="0" w:right="6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42261" w:rsidRPr="00B42261">
      <w:rPr>
        <w:rFonts w:ascii="Calibri" w:eastAsia="Calibri" w:hAnsi="Calibri" w:cs="Calibri"/>
        <w:noProof/>
        <w:sz w:val="18"/>
      </w:rPr>
      <w:t>1</w:t>
    </w:r>
    <w:r>
      <w:rPr>
        <w:rFonts w:ascii="Calibri" w:eastAsia="Calibri" w:hAnsi="Calibri" w:cs="Calibri"/>
        <w:sz w:val="18"/>
      </w:rPr>
      <w:fldChar w:fldCharType="end"/>
    </w:r>
    <w:r>
      <w:rPr>
        <w:rFonts w:ascii="Calibri" w:eastAsia="Calibri" w:hAnsi="Calibri" w:cs="Calibri"/>
        <w:sz w:val="18"/>
      </w:rPr>
      <w:t xml:space="preserve"> </w:t>
    </w:r>
  </w:p>
  <w:p w14:paraId="6D8DFAF3" w14:textId="77777777" w:rsidR="00AC2BC0" w:rsidRDefault="00085A9E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74344" w14:textId="77777777" w:rsidR="00AC2BC0" w:rsidRDefault="00085A9E">
    <w:pPr>
      <w:spacing w:after="0" w:line="259" w:lineRule="auto"/>
      <w:ind w:left="0" w:right="6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18"/>
      </w:rPr>
      <w:t>1</w:t>
    </w:r>
    <w:r>
      <w:rPr>
        <w:rFonts w:ascii="Calibri" w:eastAsia="Calibri" w:hAnsi="Calibri" w:cs="Calibri"/>
        <w:sz w:val="18"/>
      </w:rPr>
      <w:fldChar w:fldCharType="end"/>
    </w:r>
    <w:r>
      <w:rPr>
        <w:rFonts w:ascii="Calibri" w:eastAsia="Calibri" w:hAnsi="Calibri" w:cs="Calibri"/>
        <w:sz w:val="18"/>
      </w:rPr>
      <w:t xml:space="preserve"> </w:t>
    </w:r>
  </w:p>
  <w:p w14:paraId="7C7C56C0" w14:textId="77777777" w:rsidR="00AC2BC0" w:rsidRDefault="00085A9E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1D2835" w14:textId="77777777" w:rsidR="004305D2" w:rsidRDefault="004305D2" w:rsidP="00B17E92">
      <w:pPr>
        <w:spacing w:after="0" w:line="240" w:lineRule="auto"/>
      </w:pPr>
      <w:r>
        <w:separator/>
      </w:r>
    </w:p>
  </w:footnote>
  <w:footnote w:type="continuationSeparator" w:id="0">
    <w:p w14:paraId="3FDFF9F2" w14:textId="77777777" w:rsidR="004305D2" w:rsidRDefault="004305D2" w:rsidP="00B17E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474F2"/>
    <w:multiLevelType w:val="hybridMultilevel"/>
    <w:tmpl w:val="CC902718"/>
    <w:lvl w:ilvl="0" w:tplc="D4F07CA2">
      <w:start w:val="1"/>
      <w:numFmt w:val="upperLetter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IwtDAyNDW2tDSysLBU0lEKTi0uzszPAykwrgUA1N9hgSwAAAA=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stem cell research thera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1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wzdpwzfa9sf5dezwe9vwe0o9wr99srdsvrx&quot;&gt;2021SLE&amp;amp;肠菌&lt;record-ids&gt;&lt;item&gt;3631&lt;/item&gt;&lt;item&gt;3637&lt;/item&gt;&lt;item&gt;3668&lt;/item&gt;&lt;item&gt;3669&lt;/item&gt;&lt;item&gt;3670&lt;/item&gt;&lt;/record-ids&gt;&lt;/item&gt;&lt;/Libraries&gt;"/>
  </w:docVars>
  <w:rsids>
    <w:rsidRoot w:val="00652977"/>
    <w:rsid w:val="000045FB"/>
    <w:rsid w:val="00057106"/>
    <w:rsid w:val="00070640"/>
    <w:rsid w:val="000747B0"/>
    <w:rsid w:val="00085A9E"/>
    <w:rsid w:val="00127399"/>
    <w:rsid w:val="0016177D"/>
    <w:rsid w:val="00172DA8"/>
    <w:rsid w:val="00175741"/>
    <w:rsid w:val="001C237E"/>
    <w:rsid w:val="002238E5"/>
    <w:rsid w:val="00235C6F"/>
    <w:rsid w:val="002F51B4"/>
    <w:rsid w:val="00307F00"/>
    <w:rsid w:val="003228AE"/>
    <w:rsid w:val="00357BA8"/>
    <w:rsid w:val="003C4252"/>
    <w:rsid w:val="003D4866"/>
    <w:rsid w:val="004305D2"/>
    <w:rsid w:val="00445F46"/>
    <w:rsid w:val="00463B04"/>
    <w:rsid w:val="004D5662"/>
    <w:rsid w:val="004F585A"/>
    <w:rsid w:val="00500835"/>
    <w:rsid w:val="00525878"/>
    <w:rsid w:val="005F13DE"/>
    <w:rsid w:val="00634890"/>
    <w:rsid w:val="00634F4F"/>
    <w:rsid w:val="006431D4"/>
    <w:rsid w:val="00652977"/>
    <w:rsid w:val="00664B57"/>
    <w:rsid w:val="00681535"/>
    <w:rsid w:val="006E52F6"/>
    <w:rsid w:val="006F3572"/>
    <w:rsid w:val="007213A0"/>
    <w:rsid w:val="00723FF8"/>
    <w:rsid w:val="007610A3"/>
    <w:rsid w:val="007B0815"/>
    <w:rsid w:val="007C6032"/>
    <w:rsid w:val="007C68AB"/>
    <w:rsid w:val="007F2172"/>
    <w:rsid w:val="00821D6D"/>
    <w:rsid w:val="00823228"/>
    <w:rsid w:val="008502E4"/>
    <w:rsid w:val="00857E82"/>
    <w:rsid w:val="008832A3"/>
    <w:rsid w:val="0088788C"/>
    <w:rsid w:val="00892603"/>
    <w:rsid w:val="008953B2"/>
    <w:rsid w:val="00935841"/>
    <w:rsid w:val="009439CF"/>
    <w:rsid w:val="009A01C3"/>
    <w:rsid w:val="009E3517"/>
    <w:rsid w:val="009F23F0"/>
    <w:rsid w:val="009F3365"/>
    <w:rsid w:val="00A00A9F"/>
    <w:rsid w:val="00A078F4"/>
    <w:rsid w:val="00A46946"/>
    <w:rsid w:val="00A86A85"/>
    <w:rsid w:val="00AC2BC0"/>
    <w:rsid w:val="00AF4627"/>
    <w:rsid w:val="00AF7013"/>
    <w:rsid w:val="00B032C0"/>
    <w:rsid w:val="00B17E92"/>
    <w:rsid w:val="00B26D86"/>
    <w:rsid w:val="00B348E8"/>
    <w:rsid w:val="00B42261"/>
    <w:rsid w:val="00B51806"/>
    <w:rsid w:val="00B67525"/>
    <w:rsid w:val="00B85B46"/>
    <w:rsid w:val="00C82555"/>
    <w:rsid w:val="00C82B2D"/>
    <w:rsid w:val="00CD4389"/>
    <w:rsid w:val="00CF67C9"/>
    <w:rsid w:val="00D619A7"/>
    <w:rsid w:val="00DB4F62"/>
    <w:rsid w:val="00DC25FE"/>
    <w:rsid w:val="00DC32F7"/>
    <w:rsid w:val="00DC508F"/>
    <w:rsid w:val="00DD3EE7"/>
    <w:rsid w:val="00DF1A7A"/>
    <w:rsid w:val="00E13DF9"/>
    <w:rsid w:val="00E166D8"/>
    <w:rsid w:val="00EA522C"/>
    <w:rsid w:val="00EB3CF5"/>
    <w:rsid w:val="00EE5EC0"/>
    <w:rsid w:val="00F44E7D"/>
    <w:rsid w:val="00F51CE2"/>
    <w:rsid w:val="00F54CA2"/>
    <w:rsid w:val="00F771A5"/>
    <w:rsid w:val="00FA340E"/>
    <w:rsid w:val="00FE617F"/>
    <w:rsid w:val="00FE6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A6DE0F"/>
  <w15:chartTrackingRefBased/>
  <w15:docId w15:val="{846DAC60-4B5C-4258-A651-ED8588A48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E92"/>
    <w:pPr>
      <w:spacing w:after="5" w:line="310" w:lineRule="auto"/>
      <w:ind w:left="24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qFormat/>
    <w:rsid w:val="00B17E92"/>
    <w:pPr>
      <w:keepNext/>
      <w:keepLines/>
      <w:spacing w:after="88" w:line="25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7E9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頁首 字元"/>
    <w:basedOn w:val="a0"/>
    <w:link w:val="a3"/>
    <w:uiPriority w:val="99"/>
    <w:rsid w:val="00B17E9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17E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頁尾 字元"/>
    <w:basedOn w:val="a0"/>
    <w:link w:val="a5"/>
    <w:uiPriority w:val="99"/>
    <w:rsid w:val="00B17E92"/>
    <w:rPr>
      <w:sz w:val="18"/>
      <w:szCs w:val="18"/>
    </w:rPr>
  </w:style>
  <w:style w:type="character" w:customStyle="1" w:styleId="10">
    <w:name w:val="標題 1 字元"/>
    <w:basedOn w:val="a0"/>
    <w:link w:val="1"/>
    <w:uiPriority w:val="9"/>
    <w:rsid w:val="00B17E92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rsid w:val="00B17E9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Web">
    <w:name w:val="Normal (Web)"/>
    <w:basedOn w:val="a"/>
    <w:uiPriority w:val="99"/>
    <w:unhideWhenUsed/>
    <w:rsid w:val="007B0815"/>
    <w:pPr>
      <w:spacing w:before="100" w:beforeAutospacing="1" w:after="100" w:afterAutospacing="1" w:line="240" w:lineRule="auto"/>
      <w:ind w:left="0" w:firstLine="0"/>
      <w:jc w:val="left"/>
    </w:pPr>
    <w:rPr>
      <w:rFonts w:ascii="SimSun" w:eastAsia="SimSun" w:hAnsi="SimSun" w:cs="SimSun"/>
      <w:color w:val="auto"/>
      <w:kern w:val="0"/>
      <w:sz w:val="24"/>
      <w:szCs w:val="24"/>
      <w14:ligatures w14:val="none"/>
    </w:rPr>
  </w:style>
  <w:style w:type="paragraph" w:customStyle="1" w:styleId="EndNoteBibliographyTitle">
    <w:name w:val="EndNote Bibliography Title"/>
    <w:basedOn w:val="a"/>
    <w:link w:val="EndNoteBibliographyTitle0"/>
    <w:rsid w:val="004D5662"/>
    <w:pPr>
      <w:spacing w:after="0"/>
      <w:jc w:val="center"/>
    </w:pPr>
    <w:rPr>
      <w:noProof/>
      <w:sz w:val="24"/>
    </w:rPr>
  </w:style>
  <w:style w:type="character" w:customStyle="1" w:styleId="EndNoteBibliographyTitle0">
    <w:name w:val="EndNote Bibliography Title 字符"/>
    <w:basedOn w:val="a0"/>
    <w:link w:val="EndNoteBibliographyTitle"/>
    <w:rsid w:val="004D5662"/>
    <w:rPr>
      <w:rFonts w:ascii="Times New Roman" w:eastAsia="Times New Roman" w:hAnsi="Times New Roman" w:cs="Times New Roman"/>
      <w:noProof/>
      <w:color w:val="000000"/>
      <w:sz w:val="24"/>
    </w:rPr>
  </w:style>
  <w:style w:type="paragraph" w:customStyle="1" w:styleId="EndNoteBibliography">
    <w:name w:val="EndNote Bibliography"/>
    <w:basedOn w:val="a"/>
    <w:link w:val="EndNoteBibliography0"/>
    <w:rsid w:val="004D5662"/>
    <w:pPr>
      <w:spacing w:line="360" w:lineRule="auto"/>
      <w:jc w:val="left"/>
    </w:pPr>
    <w:rPr>
      <w:noProof/>
      <w:sz w:val="24"/>
    </w:rPr>
  </w:style>
  <w:style w:type="character" w:customStyle="1" w:styleId="EndNoteBibliography0">
    <w:name w:val="EndNote Bibliography 字符"/>
    <w:basedOn w:val="a0"/>
    <w:link w:val="EndNoteBibliography"/>
    <w:rsid w:val="004D5662"/>
    <w:rPr>
      <w:rFonts w:ascii="Times New Roman" w:eastAsia="Times New Roman" w:hAnsi="Times New Roman" w:cs="Times New Roman"/>
      <w:noProof/>
      <w:color w:val="000000"/>
      <w:sz w:val="24"/>
    </w:rPr>
  </w:style>
  <w:style w:type="paragraph" w:styleId="a7">
    <w:name w:val="List Paragraph"/>
    <w:basedOn w:val="a"/>
    <w:uiPriority w:val="34"/>
    <w:qFormat/>
    <w:rsid w:val="0005710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3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261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Quanren Pun</dc:creator>
  <cp:keywords/>
  <dc:description/>
  <cp:lastModifiedBy>齊珮伶</cp:lastModifiedBy>
  <cp:revision>14</cp:revision>
  <dcterms:created xsi:type="dcterms:W3CDTF">2023-08-30T01:39:00Z</dcterms:created>
  <dcterms:modified xsi:type="dcterms:W3CDTF">2024-11-16T11:37:00Z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e5e0eb33b5be4342cb53bf5c26cd6e335322898afaad14d2253bf17180b040ef</vt:lpwstr>
  </property>
</Properties>
</file>