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94FBE6">
      <w:pPr>
        <w:pStyle w:val="8"/>
        <w:spacing w:line="360" w:lineRule="auto"/>
        <w:rPr>
          <w:b w:val="0"/>
          <w:sz w:val="32"/>
          <w:szCs w:val="32"/>
        </w:rPr>
      </w:pPr>
      <w:r>
        <w:rPr>
          <w:rFonts w:hint="eastAsia"/>
          <w:b w:val="0"/>
          <w:sz w:val="32"/>
          <w:szCs w:val="32"/>
        </w:rPr>
        <w:t>Supplementary material</w:t>
      </w:r>
    </w:p>
    <w:p w14:paraId="4C580D84">
      <w:pPr>
        <w:pStyle w:val="9"/>
        <w:spacing w:line="360" w:lineRule="auto"/>
      </w:pPr>
    </w:p>
    <w:p w14:paraId="7491E1A2">
      <w:pPr>
        <w:pStyle w:val="9"/>
        <w:spacing w:line="360" w:lineRule="auto"/>
      </w:pPr>
    </w:p>
    <w:p w14:paraId="0382905E">
      <w:pPr>
        <w:pStyle w:val="8"/>
        <w:spacing w:line="360" w:lineRule="auto"/>
      </w:pPr>
      <w:r>
        <w:t>Title</w:t>
      </w:r>
      <w:r>
        <w:rPr>
          <w:rFonts w:hint="default"/>
          <w:lang w:val="en-US"/>
        </w:rPr>
        <w:t>:</w:t>
      </w:r>
      <w:r>
        <w:rPr>
          <w:rFonts w:hint="eastAsia" w:eastAsia="宋体"/>
          <w:b w:val="0"/>
          <w:bCs/>
          <w:lang w:val="en-US" w:eastAsia="zh-CN"/>
        </w:rPr>
        <w:t>Mitochondrial transplantation promotes periodontal bone regeneration by regulating inflammatory microenvironment and metabolic homeostasis</w:t>
      </w:r>
    </w:p>
    <w:p w14:paraId="4D01269A">
      <w:pPr>
        <w:pStyle w:val="8"/>
        <w:spacing w:line="360" w:lineRule="auto"/>
        <w:rPr>
          <w:rFonts w:hint="default"/>
          <w:b w:val="0"/>
          <w:color w:val="FF0000"/>
          <w:lang w:val="en-US"/>
        </w:rPr>
      </w:pPr>
    </w:p>
    <w:p w14:paraId="4510590F">
      <w:pPr>
        <w:pStyle w:val="10"/>
        <w:spacing w:line="360" w:lineRule="auto"/>
      </w:pPr>
      <w:r>
        <w:rPr>
          <w:rFonts w:hint="default" w:ascii="Times New Roman Bold" w:hAnsi="Times New Roman Bold" w:eastAsia="宋体" w:cs="Times New Roman Bold"/>
          <w:b/>
          <w:bCs/>
          <w:i w:val="0"/>
          <w:iCs/>
          <w:lang w:val="en-US" w:eastAsia="zh-CN"/>
        </w:rPr>
        <w:t xml:space="preserve">Author: </w:t>
      </w:r>
      <w:r>
        <w:rPr>
          <w:rFonts w:hint="eastAsia" w:eastAsia="宋体"/>
          <w:lang w:val="en-US" w:eastAsia="zh-CN"/>
        </w:rPr>
        <w:t>Yuzhuo Ma</w:t>
      </w:r>
      <w:r>
        <w:rPr>
          <w:rFonts w:hint="eastAsia" w:eastAsia="宋体"/>
          <w:vertAlign w:val="superscript"/>
          <w:lang w:val="en-US" w:eastAsia="zh-CN"/>
        </w:rPr>
        <w:t>a,b,c</w:t>
      </w:r>
      <w:r>
        <w:t>,</w:t>
      </w:r>
      <w:r>
        <w:rPr>
          <w:rFonts w:hint="eastAsia" w:eastAsia="宋体"/>
          <w:lang w:val="en-US" w:eastAsia="zh-CN"/>
        </w:rPr>
        <w:t>Xiang Han</w:t>
      </w:r>
      <w:r>
        <w:rPr>
          <w:rFonts w:hint="eastAsia" w:eastAsia="宋体"/>
          <w:vertAlign w:val="superscript"/>
          <w:lang w:val="en-US" w:eastAsia="zh-CN"/>
        </w:rPr>
        <w:t>a,b,c</w:t>
      </w:r>
      <w:r>
        <w:rPr>
          <w:rFonts w:hint="eastAsia" w:eastAsia="宋体"/>
          <w:lang w:val="en-US" w:eastAsia="zh-CN"/>
        </w:rPr>
        <w:t>,Ke Yan</w:t>
      </w:r>
      <w:r>
        <w:rPr>
          <w:rFonts w:hint="eastAsia" w:eastAsia="宋体"/>
          <w:vertAlign w:val="superscript"/>
          <w:lang w:val="en-US" w:eastAsia="zh-CN"/>
        </w:rPr>
        <w:t>a,b,c</w:t>
      </w:r>
      <w:r>
        <w:rPr>
          <w:rFonts w:hint="eastAsia" w:eastAsia="宋体"/>
          <w:lang w:val="en-US" w:eastAsia="zh-CN"/>
        </w:rPr>
        <w:t>,Y</w:t>
      </w:r>
      <w:r>
        <w:rPr>
          <w:rFonts w:hint="default" w:eastAsia="宋体"/>
          <w:lang w:val="en-US" w:eastAsia="zh-CN"/>
        </w:rPr>
        <w:t>iyang</w:t>
      </w:r>
      <w:r>
        <w:rPr>
          <w:rFonts w:hint="eastAsia" w:eastAsia="宋体"/>
          <w:lang w:val="en-US" w:eastAsia="zh-CN"/>
        </w:rPr>
        <w:t xml:space="preserve"> Yang</w:t>
      </w:r>
      <w:r>
        <w:rPr>
          <w:rFonts w:hint="eastAsia" w:eastAsia="宋体"/>
          <w:vertAlign w:val="superscript"/>
          <w:lang w:val="en-US" w:eastAsia="zh-CN"/>
        </w:rPr>
        <w:t>a,b,c</w:t>
      </w:r>
      <w:r>
        <w:rPr>
          <w:rFonts w:hint="eastAsia" w:eastAsia="宋体"/>
          <w:lang w:val="en-US" w:eastAsia="zh-CN"/>
        </w:rPr>
        <w:t>,Kewei Zhang</w:t>
      </w:r>
      <w:r>
        <w:rPr>
          <w:rFonts w:hint="eastAsia" w:eastAsia="宋体"/>
          <w:vertAlign w:val="superscript"/>
          <w:lang w:val="en-US" w:eastAsia="zh-CN"/>
        </w:rPr>
        <w:t>a,b,c</w:t>
      </w:r>
      <w:r>
        <w:rPr>
          <w:rFonts w:hint="eastAsia" w:eastAsia="宋体"/>
          <w:lang w:val="en-US" w:eastAsia="zh-CN"/>
        </w:rPr>
        <w:t>,Yue Wang</w:t>
      </w:r>
      <w:r>
        <w:rPr>
          <w:rFonts w:hint="eastAsia" w:eastAsia="宋体"/>
          <w:vertAlign w:val="superscript"/>
          <w:lang w:val="en-US" w:eastAsia="zh-CN"/>
        </w:rPr>
        <w:t>a,b,c</w:t>
      </w:r>
      <w:r>
        <w:rPr>
          <w:rFonts w:hint="eastAsia" w:eastAsia="宋体"/>
          <w:lang w:val="en-US" w:eastAsia="zh-CN"/>
        </w:rPr>
        <w:t>,Xuerong Lv</w:t>
      </w:r>
      <w:r>
        <w:rPr>
          <w:rFonts w:hint="eastAsia" w:eastAsia="宋体"/>
          <w:vertAlign w:val="superscript"/>
          <w:lang w:val="en-US" w:eastAsia="zh-CN"/>
        </w:rPr>
        <w:t>a,b,c</w:t>
      </w:r>
      <w:r>
        <w:rPr>
          <w:rFonts w:hint="eastAsia" w:eastAsia="宋体"/>
          <w:lang w:val="en-US" w:eastAsia="zh-CN"/>
        </w:rPr>
        <w:t>,Feiyang Wang</w:t>
      </w:r>
      <w:r>
        <w:rPr>
          <w:rFonts w:hint="eastAsia" w:eastAsia="宋体"/>
          <w:vertAlign w:val="superscript"/>
          <w:lang w:val="en-US" w:eastAsia="zh-CN"/>
        </w:rPr>
        <w:t>a,b,c</w:t>
      </w:r>
      <w:r>
        <w:rPr>
          <w:rFonts w:hint="eastAsia" w:eastAsia="宋体"/>
          <w:lang w:val="en-US" w:eastAsia="zh-CN"/>
        </w:rPr>
        <w:t>,</w:t>
      </w:r>
      <w:r>
        <w:t xml:space="preserve">and </w:t>
      </w:r>
      <w:r>
        <w:rPr>
          <w:rFonts w:hint="eastAsia" w:eastAsia="宋体"/>
          <w:lang w:val="en-US" w:eastAsia="zh-CN"/>
        </w:rPr>
        <w:t>Xiaoqian Wang</w:t>
      </w:r>
      <w:r>
        <w:rPr>
          <w:rFonts w:hint="eastAsia" w:eastAsia="宋体"/>
          <w:vertAlign w:val="superscript"/>
          <w:lang w:val="en-US" w:eastAsia="zh-CN"/>
        </w:rPr>
        <w:t>a,b,c,</w:t>
      </w:r>
      <w:r>
        <w:t>*</w:t>
      </w:r>
    </w:p>
    <w:p w14:paraId="0FBCABBC">
      <w:pPr>
        <w:spacing w:line="360" w:lineRule="auto"/>
        <w:rPr>
          <w:lang w:val="en-US"/>
        </w:rPr>
      </w:pPr>
    </w:p>
    <w:p w14:paraId="7127554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Bold" w:hAnsi="Times New Roman Bold" w:cs="Times New Roman Bold"/>
          <w:b/>
          <w:bCs/>
          <w:sz w:val="24"/>
          <w:szCs w:val="24"/>
          <w:highlight w:val="none"/>
          <w:lang w:val="en-US" w:eastAsia="zh-CN"/>
        </w:rPr>
      </w:pPr>
      <w:r>
        <w:rPr>
          <w:rFonts w:hint="default" w:ascii="Times New Roman Bold" w:hAnsi="Times New Roman Bold" w:cs="Times New Roman Bold"/>
          <w:b/>
          <w:bCs/>
          <w:sz w:val="24"/>
          <w:szCs w:val="24"/>
          <w:highlight w:val="none"/>
          <w:lang w:val="en-US" w:eastAsia="zh-CN"/>
        </w:rPr>
        <w:t>Cell culture and induction</w:t>
      </w:r>
    </w:p>
    <w:p w14:paraId="286CB52D">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auto"/>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The </w:t>
      </w:r>
      <w:r>
        <w:rPr>
          <w:rFonts w:hint="default" w:cs="Times New Roman"/>
          <w:sz w:val="24"/>
          <w:szCs w:val="24"/>
          <w:lang w:val="en-US" w:eastAsia="zh-CN"/>
        </w:rPr>
        <w:t xml:space="preserve">THP-1 </w:t>
      </w:r>
      <w:r>
        <w:rPr>
          <w:rFonts w:hint="default" w:ascii="Times New Roman" w:hAnsi="Times New Roman" w:cs="Times New Roman"/>
          <w:sz w:val="24"/>
          <w:szCs w:val="24"/>
          <w:lang w:val="en-US" w:eastAsia="zh-CN"/>
        </w:rPr>
        <w:t>cells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line were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chieved from </w:t>
      </w:r>
      <w:r>
        <w:rPr>
          <w:rFonts w:ascii="Times New Roman" w:hAnsi="Times New Roman" w:eastAsia="等线" w:cs="Times New Roman"/>
          <w:kern w:val="0"/>
          <w:sz w:val="24"/>
          <w:szCs w:val="24"/>
        </w:rPr>
        <w:t>Jiangsu P</w:t>
      </w:r>
      <w:r>
        <w:rPr>
          <w:rFonts w:hint="eastAsia" w:ascii="Times New Roman" w:hAnsi="Times New Roman" w:eastAsia="等线" w:cs="Times New Roman"/>
          <w:kern w:val="0"/>
          <w:sz w:val="24"/>
          <w:szCs w:val="24"/>
        </w:rPr>
        <w:t>rovince</w:t>
      </w:r>
      <w:r>
        <w:rPr>
          <w:rFonts w:ascii="Times New Roman" w:hAnsi="Times New Roman" w:eastAsia="等线" w:cs="Times New Roman"/>
          <w:kern w:val="0"/>
          <w:sz w:val="24"/>
          <w:szCs w:val="24"/>
        </w:rPr>
        <w:t xml:space="preserve"> Key Laboratory of Oral Diseases</w:t>
      </w:r>
      <w:r>
        <w:rPr>
          <w:rFonts w:hint="eastAsia" w:ascii="Times New Roman" w:hAnsi="Times New Roman" w:eastAsia="等线" w:cs="Times New Roman"/>
          <w:kern w:val="0"/>
          <w:sz w:val="24"/>
          <w:szCs w:val="24"/>
          <w:lang w:val="en-US" w:eastAsia="zh-CN"/>
        </w:rPr>
        <w:t xml:space="preserve"> </w:t>
      </w:r>
      <w:r>
        <w:rPr>
          <w:rFonts w:hint="default" w:ascii="Times New Roman" w:hAnsi="Times New Roman" w:cs="Times New Roman"/>
          <w:sz w:val="24"/>
          <w:szCs w:val="24"/>
          <w:lang w:val="en-US" w:eastAsia="zh-CN"/>
        </w:rPr>
        <w:t>and cul</w:t>
      </w:r>
      <w:r>
        <w:rPr>
          <w:rFonts w:hint="eastAsia" w:ascii="Times New Roman" w:hAnsi="Times New Roman" w:cs="Times New Roman"/>
          <w:sz w:val="24"/>
          <w:szCs w:val="24"/>
          <w:lang w:val="en-US" w:eastAsia="zh-CN"/>
        </w:rPr>
        <w:t>tur</w:t>
      </w:r>
      <w:r>
        <w:rPr>
          <w:rFonts w:hint="default" w:ascii="Times New Roman" w:hAnsi="Times New Roman" w:cs="Times New Roman"/>
          <w:sz w:val="24"/>
          <w:szCs w:val="24"/>
          <w:lang w:val="en-US" w:eastAsia="zh-CN"/>
        </w:rPr>
        <w:t>ed in a</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37°C, 5% </w:t>
      </w:r>
      <w:r>
        <w:rPr>
          <w:rFonts w:hint="default" w:ascii="Times New Roman" w:hAnsi="Times New Roman" w:cs="Times New Roman"/>
          <w:sz w:val="24"/>
          <w:szCs w:val="24"/>
          <w:highlight w:val="none"/>
          <w:lang w:val="en-US" w:eastAsia="zh-CN"/>
        </w:rPr>
        <w:t>CO</w:t>
      </w:r>
      <w:r>
        <w:rPr>
          <w:rFonts w:hint="default" w:ascii="Times New Roman" w:hAnsi="Times New Roman" w:cs="Times New Roman"/>
          <w:sz w:val="24"/>
          <w:szCs w:val="24"/>
          <w:highlight w:val="none"/>
          <w:vertAlign w:val="subscript"/>
          <w:lang w:val="en-US" w:eastAsia="zh-CN"/>
        </w:rPr>
        <w:t>2</w:t>
      </w:r>
      <w:r>
        <w:rPr>
          <w:rFonts w:hint="eastAsia" w:cs="Times New Roman"/>
          <w:sz w:val="24"/>
          <w:szCs w:val="24"/>
          <w:highlight w:val="none"/>
          <w:vertAlign w:val="subscript"/>
          <w:lang w:val="en-US" w:eastAsia="zh-CN"/>
        </w:rPr>
        <w:t xml:space="preserve"> </w:t>
      </w:r>
      <w:r>
        <w:rPr>
          <w:rFonts w:hint="default" w:ascii="Times New Roman" w:hAnsi="Times New Roman" w:cs="Times New Roman"/>
          <w:sz w:val="24"/>
          <w:szCs w:val="24"/>
          <w:lang w:val="en-US" w:eastAsia="zh-CN"/>
        </w:rPr>
        <w:t>incubator containing 1</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 fetal bovine serum (FBS, BioInd, Israel) and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penicillin-streptomycin (Gibco, United States)</w:t>
      </w:r>
      <w:r>
        <w:rPr>
          <w:rFonts w:hint="eastAsia" w:ascii="Times New Roman" w:hAnsi="Times New Roman" w:cs="Times New Roman"/>
          <w:sz w:val="24"/>
          <w:szCs w:val="24"/>
          <w:lang w:val="en-US" w:eastAsia="zh-CN"/>
        </w:rPr>
        <w:t xml:space="preserve"> solution of</w:t>
      </w:r>
      <w:r>
        <w:rPr>
          <w:rFonts w:hint="default" w:ascii="Times New Roman" w:hAnsi="Times New Roman" w:cs="Times New Roman"/>
          <w:sz w:val="24"/>
          <w:szCs w:val="24"/>
          <w:lang w:val="en-US" w:eastAsia="zh-CN"/>
        </w:rPr>
        <w:t xml:space="preserve"> Roswell Park Memorial Institute</w:t>
      </w:r>
      <w:r>
        <w:rPr>
          <w:rFonts w:hint="eastAsia" w:cs="Times New Roman"/>
          <w:sz w:val="24"/>
          <w:szCs w:val="24"/>
          <w:lang w:val="en-US" w:eastAsia="zh-CN"/>
        </w:rPr>
        <w:t xml:space="preserve"> 1640 </w:t>
      </w:r>
      <w:r>
        <w:rPr>
          <w:rFonts w:hint="default" w:ascii="Times New Roman" w:hAnsi="Times New Roman" w:cs="Times New Roman"/>
          <w:sz w:val="24"/>
          <w:szCs w:val="24"/>
          <w:lang w:val="en-US" w:eastAsia="zh-CN"/>
        </w:rPr>
        <w:t>medium (</w:t>
      </w:r>
      <w:r>
        <w:rPr>
          <w:rFonts w:hint="eastAsia" w:cs="Times New Roman"/>
          <w:sz w:val="24"/>
          <w:szCs w:val="24"/>
          <w:lang w:val="en-US" w:eastAsia="zh-CN"/>
        </w:rPr>
        <w:t>RPMI 1640</w:t>
      </w:r>
      <w:r>
        <w:rPr>
          <w:rFonts w:hint="default" w:ascii="Times New Roman" w:hAnsi="Times New Roman" w:cs="Times New Roman"/>
          <w:sz w:val="24"/>
          <w:szCs w:val="24"/>
          <w:lang w:val="en-US" w:eastAsia="zh-CN"/>
        </w:rPr>
        <w:t xml:space="preserve">, Gibco, United States). The THP-1 cells were routinely resuscitated and cultured in a 37°C, 5% </w:t>
      </w:r>
      <w:r>
        <w:rPr>
          <w:rFonts w:hint="default" w:ascii="Times New Roman" w:hAnsi="Times New Roman" w:cs="Times New Roman"/>
          <w:sz w:val="24"/>
          <w:szCs w:val="24"/>
          <w:highlight w:val="none"/>
          <w:lang w:val="en-US" w:eastAsia="zh-CN"/>
        </w:rPr>
        <w:t>CO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lang w:val="en-US" w:eastAsia="zh-CN"/>
        </w:rPr>
        <w:t>incubator for 24 hours</w:t>
      </w:r>
      <w:r>
        <w:rPr>
          <w:rFonts w:hint="default" w:cs="Times New Roman"/>
          <w:sz w:val="24"/>
          <w:szCs w:val="24"/>
          <w:lang w:val="en-US"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highlight w:val="yellow"/>
          <w:lang w:val="en-US" w:eastAsia="zh-CN"/>
        </w:rPr>
        <w:t xml:space="preserve">Then, 100 ng/mL of PMA was added to the complete THP-1 culture medium. After 48 hours of stimulation, THP-1 cells were induced to differentiate into macrophages (M0). </w:t>
      </w:r>
      <w:r>
        <w:rPr>
          <w:rFonts w:hint="default" w:ascii="Times New Roman" w:hAnsi="Times New Roman" w:cs="Times New Roman"/>
          <w:sz w:val="24"/>
          <w:szCs w:val="24"/>
          <w:lang w:val="en-US" w:eastAsia="zh-CN"/>
        </w:rPr>
        <w:t>The M0 cells were then induced to differentiate into M2 macrophages by stimulating them with 40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ng/mL IL-4 and 40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ng/mL IL-13 for 24-48 hours.</w:t>
      </w:r>
    </w:p>
    <w:p w14:paraId="3088D0C4">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auto"/>
        <w:rPr>
          <w:rFonts w:hint="default" w:ascii="Times New Roman" w:hAnsi="Times New Roman" w:cs="Times New Roman"/>
          <w:sz w:val="24"/>
          <w:szCs w:val="24"/>
          <w:lang w:val="en-US" w:eastAsia="zh-CN"/>
        </w:rPr>
      </w:pPr>
      <w:r>
        <w:rPr>
          <w:rFonts w:hint="eastAsia" w:ascii="Times New Roman" w:hAnsi="Times New Roman" w:cs="Times New Roman"/>
          <w:sz w:val="24"/>
          <w:szCs w:val="24"/>
          <w:lang w:val="en-US" w:eastAsia="zh-CN"/>
        </w:rPr>
        <w:t xml:space="preserve">The </w:t>
      </w:r>
      <w:r>
        <w:rPr>
          <w:rFonts w:hint="default" w:ascii="Times New Roman" w:hAnsi="Times New Roman" w:cs="Times New Roman"/>
          <w:sz w:val="24"/>
          <w:szCs w:val="24"/>
          <w:lang w:val="en-US" w:eastAsia="zh-CN"/>
        </w:rPr>
        <w:t>primary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hPDLSCs were individually isolated from healthy premolars</w:t>
      </w:r>
      <w:r>
        <w:rPr>
          <w:rFonts w:hint="eastAsia" w:ascii="Times New Roman" w:hAnsi="Times New Roman" w:cs="Times New Roman"/>
          <w:sz w:val="24"/>
          <w:szCs w:val="24"/>
          <w:lang w:val="en-US" w:eastAsia="zh-CN"/>
        </w:rPr>
        <w:t xml:space="preserve"> of 11-16 years old adolescents without defect undergoing orthodontic treatment.</w:t>
      </w:r>
      <w:r>
        <w:rPr>
          <w:rFonts w:hint="default" w:ascii="Times New Roman" w:hAnsi="Times New Roman" w:cs="Times New Roman"/>
          <w:sz w:val="24"/>
          <w:szCs w:val="24"/>
          <w:lang w:val="en-US" w:eastAsia="zh-CN"/>
        </w:rPr>
        <w:t xml:space="preserve"> Ethical approval for the collection of </w:t>
      </w:r>
      <w:r>
        <w:rPr>
          <w:rFonts w:hint="eastAsia" w:ascii="Times New Roman" w:hAnsi="Times New Roman" w:cs="Times New Roman"/>
          <w:sz w:val="24"/>
          <w:szCs w:val="24"/>
          <w:lang w:val="en-US" w:eastAsia="zh-CN"/>
        </w:rPr>
        <w:t>h</w:t>
      </w:r>
      <w:r>
        <w:rPr>
          <w:rFonts w:hint="default" w:ascii="Times New Roman" w:hAnsi="Times New Roman" w:cs="Times New Roman"/>
          <w:sz w:val="24"/>
          <w:szCs w:val="24"/>
          <w:lang w:val="en-US" w:eastAsia="zh-CN"/>
        </w:rPr>
        <w:t>PDL</w:t>
      </w:r>
      <w:r>
        <w:rPr>
          <w:rFonts w:hint="eastAsia" w:ascii="Times New Roman" w:hAnsi="Times New Roman" w:cs="Times New Roman"/>
          <w:sz w:val="24"/>
          <w:szCs w:val="24"/>
          <w:lang w:val="en-US" w:eastAsia="zh-CN"/>
        </w:rPr>
        <w:t>S</w:t>
      </w:r>
      <w:r>
        <w:rPr>
          <w:rFonts w:hint="default" w:ascii="Times New Roman" w:hAnsi="Times New Roman" w:cs="Times New Roman"/>
          <w:sz w:val="24"/>
          <w:szCs w:val="24"/>
          <w:lang w:val="en-US" w:eastAsia="zh-CN"/>
        </w:rPr>
        <w:t>Cs was attained through the Affiliated Stomatological Hospital of Nanjing Medical University.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Cell surface markers CD</w:t>
      </w:r>
      <w:r>
        <w:rPr>
          <w:rFonts w:hint="eastAsia" w:ascii="Times New Roman" w:hAnsi="Times New Roman" w:cs="Times New Roman"/>
          <w:sz w:val="24"/>
          <w:szCs w:val="24"/>
          <w:lang w:val="en-US" w:eastAsia="zh-CN"/>
        </w:rPr>
        <w:t>90</w:t>
      </w:r>
      <w:r>
        <w:rPr>
          <w:rFonts w:hint="default" w:ascii="Times New Roman" w:hAnsi="Times New Roman" w:cs="Times New Roman"/>
          <w:sz w:val="24"/>
          <w:szCs w:val="24"/>
          <w:lang w:val="en-US" w:eastAsia="zh-CN"/>
        </w:rPr>
        <w:t>, CD</w:t>
      </w:r>
      <w:r>
        <w:rPr>
          <w:rFonts w:hint="eastAsia" w:ascii="Times New Roman" w:hAnsi="Times New Roman" w:cs="Times New Roman"/>
          <w:sz w:val="24"/>
          <w:szCs w:val="24"/>
          <w:lang w:val="en-US" w:eastAsia="zh-CN"/>
        </w:rPr>
        <w:t>73</w:t>
      </w:r>
      <w:r>
        <w:rPr>
          <w:rFonts w:hint="default" w:ascii="Times New Roman" w:hAnsi="Times New Roman" w:cs="Times New Roman"/>
          <w:sz w:val="24"/>
          <w:szCs w:val="24"/>
          <w:lang w:val="en-US" w:eastAsia="zh-CN"/>
        </w:rPr>
        <w:t>, CD34, and CD</w:t>
      </w:r>
      <w:r>
        <w:rPr>
          <w:rFonts w:hint="eastAsia" w:ascii="Times New Roman" w:hAnsi="Times New Roman" w:cs="Times New Roman"/>
          <w:sz w:val="24"/>
          <w:szCs w:val="24"/>
          <w:lang w:val="en-US" w:eastAsia="zh-CN"/>
        </w:rPr>
        <w:t>45</w:t>
      </w:r>
      <w:r>
        <w:rPr>
          <w:rFonts w:hint="default" w:ascii="Times New Roman" w:hAnsi="Times New Roman" w:cs="Times New Roman"/>
          <w:sz w:val="24"/>
          <w:szCs w:val="24"/>
          <w:lang w:val="en-US" w:eastAsia="zh-CN"/>
        </w:rPr>
        <w:t xml:space="preserve"> (BD</w:t>
      </w:r>
      <w:r>
        <w:rPr>
          <w:rFonts w:hint="eastAsia" w:ascii="Times New Roman" w:hAnsi="Times New Roman" w:cs="Times New Roman"/>
          <w:sz w:val="24"/>
          <w:szCs w:val="24"/>
          <w:lang w:val="en-US" w:eastAsia="zh-CN"/>
        </w:rPr>
        <w:t xml:space="preserve"> Biosciences</w:t>
      </w:r>
      <w:r>
        <w:rPr>
          <w:rFonts w:hint="default" w:ascii="Times New Roman" w:hAnsi="Times New Roman" w:cs="Times New Roman"/>
          <w:sz w:val="24"/>
          <w:szCs w:val="24"/>
          <w:lang w:val="en-US" w:eastAsia="zh-CN"/>
        </w:rPr>
        <w:t>, United States) were detected by flow cytometry (BD FACSCalibur,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United States). Cells were cultured</w:t>
      </w:r>
      <w:r>
        <w:rPr>
          <w:rFonts w:hint="eastAsia" w:ascii="Times New Roman" w:hAnsi="Times New Roman" w:cs="Times New Roman"/>
          <w:sz w:val="24"/>
          <w:szCs w:val="24"/>
          <w:lang w:val="en-US" w:eastAsia="zh-CN"/>
        </w:rPr>
        <w:t xml:space="preserve"> with </w:t>
      </w:r>
      <w:r>
        <w:rPr>
          <w:rFonts w:hint="default" w:ascii="Times New Roman" w:hAnsi="Times New Roman" w:cs="Times New Roman"/>
          <w:sz w:val="24"/>
          <w:szCs w:val="24"/>
          <w:lang w:val="en-US" w:eastAsia="zh-CN"/>
        </w:rPr>
        <w:t>α-minimum</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essential medium (α-MEM, Gibco, United States) in a</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 xml:space="preserve">37°C, 5% </w:t>
      </w:r>
      <w:r>
        <w:rPr>
          <w:rFonts w:hint="default" w:ascii="Times New Roman" w:hAnsi="Times New Roman" w:cs="Times New Roman"/>
          <w:sz w:val="24"/>
          <w:szCs w:val="24"/>
          <w:highlight w:val="none"/>
          <w:lang w:val="en-US" w:eastAsia="zh-CN"/>
        </w:rPr>
        <w:t>CO</w:t>
      </w:r>
      <w:r>
        <w:rPr>
          <w:rFonts w:hint="default" w:ascii="Times New Roman" w:hAnsi="Times New Roman" w:cs="Times New Roman"/>
          <w:sz w:val="24"/>
          <w:szCs w:val="24"/>
          <w:highlight w:val="none"/>
          <w:vertAlign w:val="subscript"/>
          <w:lang w:val="en-US" w:eastAsia="zh-CN"/>
        </w:rPr>
        <w:t>2</w:t>
      </w:r>
      <w:r>
        <w:rPr>
          <w:rFonts w:hint="default" w:ascii="Times New Roman" w:hAnsi="Times New Roman" w:cs="Times New Roman"/>
          <w:sz w:val="24"/>
          <w:szCs w:val="24"/>
          <w:lang w:val="en-US" w:eastAsia="zh-CN"/>
        </w:rPr>
        <w:t xml:space="preserve"> incubator</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containing 15% fetal bovine serum (FBS, Gibco, United States) and 1% penicillin-streptomycin solution.</w:t>
      </w:r>
    </w:p>
    <w:p w14:paraId="2EA39F7B">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Real-time qPCR assays</w:t>
      </w:r>
    </w:p>
    <w:p w14:paraId="4C3E8978">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auto"/>
        <w:outlineLvl w:val="9"/>
        <w:rPr>
          <w:rFonts w:ascii="Times New Roman" w:hAnsi="Times New Roman" w:eastAsia="宋体" w:cs="Times New Roman"/>
          <w:i w:val="0"/>
          <w:iCs w:val="0"/>
          <w:caps w:val="0"/>
          <w:color w:val="auto"/>
          <w:spacing w:val="0"/>
          <w:sz w:val="24"/>
          <w:szCs w:val="24"/>
        </w:rPr>
      </w:pPr>
      <w:r>
        <w:rPr>
          <w:rFonts w:hint="eastAsia" w:cs="Times New Roman"/>
          <w:sz w:val="24"/>
          <w:szCs w:val="24"/>
          <w:lang w:val="en-US" w:eastAsia="zh-CN"/>
        </w:rPr>
        <w:t>T</w:t>
      </w:r>
      <w:r>
        <w:rPr>
          <w:rFonts w:hint="default" w:ascii="Times New Roman" w:hAnsi="Times New Roman" w:cs="Times New Roman"/>
          <w:sz w:val="24"/>
          <w:szCs w:val="24"/>
          <w:lang w:val="en-US" w:eastAsia="zh-CN"/>
        </w:rPr>
        <w:t xml:space="preserve">he total RNA was extracted using a RNA </w:t>
      </w:r>
      <w:r>
        <w:rPr>
          <w:rFonts w:hint="eastAsia" w:ascii="Times New Roman" w:hAnsi="Times New Roman" w:cs="Times New Roman"/>
          <w:sz w:val="24"/>
          <w:szCs w:val="24"/>
          <w:lang w:val="en-US" w:eastAsia="zh-CN"/>
        </w:rPr>
        <w:t>E</w:t>
      </w:r>
      <w:r>
        <w:rPr>
          <w:rFonts w:hint="default" w:ascii="Times New Roman" w:hAnsi="Times New Roman" w:cs="Times New Roman"/>
          <w:sz w:val="24"/>
          <w:szCs w:val="24"/>
          <w:lang w:val="en-US" w:eastAsia="zh-CN"/>
        </w:rPr>
        <w:t xml:space="preserve">xtraction Kit </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B</w:t>
      </w:r>
      <w:r>
        <w:rPr>
          <w:rFonts w:hint="eastAsia" w:cs="Times New Roman"/>
          <w:sz w:val="24"/>
          <w:szCs w:val="24"/>
          <w:highlight w:val="none"/>
          <w:lang w:val="en-US" w:eastAsia="zh-CN"/>
        </w:rPr>
        <w:t>eyotime</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lang w:val="en-US" w:eastAsia="zh-CN"/>
        </w:rPr>
        <w:t>C</w:t>
      </w:r>
      <w:r>
        <w:rPr>
          <w:rFonts w:hint="default" w:ascii="Times New Roman" w:hAnsi="Times New Roman" w:cs="Times New Roman"/>
          <w:sz w:val="24"/>
          <w:szCs w:val="24"/>
          <w:lang w:val="en-US" w:eastAsia="zh-CN"/>
        </w:rPr>
        <w:t>hina)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The concentration and purity of RNA samples were </w:t>
      </w:r>
      <w:r>
        <w:rPr>
          <w:rFonts w:ascii="Times New Roman" w:hAnsi="Times New Roman" w:eastAsia="宋体" w:cs="Times New Roman"/>
          <w:i w:val="0"/>
          <w:iCs w:val="0"/>
          <w:caps w:val="0"/>
          <w:color w:val="auto"/>
          <w:spacing w:val="0"/>
          <w:sz w:val="24"/>
          <w:szCs w:val="24"/>
        </w:rPr>
        <w:t>determined using a NanoDrop 2000 ultramicro spectrophotometer (Thermo Fisher Scientific, Waltham, MA, USA). Following this, the RNA underwent reverse transcription to cDNA utilizing the PrimeScript RT Master Mix kit</w:t>
      </w:r>
      <w:r>
        <w:rPr>
          <w:rFonts w:hint="eastAsia" w:ascii="Times New Roman" w:hAnsi="Times New Roman" w:eastAsia="宋体" w:cs="Times New Roman"/>
          <w:spacing w:val="-2"/>
          <w:sz w:val="24"/>
          <w:szCs w:val="24"/>
          <w:lang w:val="en-US" w:eastAsia="zh-CN"/>
        </w:rPr>
        <w:t xml:space="preserve"> (Vazyme, China)</w:t>
      </w:r>
      <w:r>
        <w:rPr>
          <w:rFonts w:hint="default" w:ascii="Times New Roman" w:hAnsi="Times New Roman" w:cs="Times New Roman"/>
          <w:sz w:val="24"/>
          <w:szCs w:val="24"/>
          <w:lang w:val="en-US" w:eastAsia="zh-CN"/>
        </w:rPr>
        <w:t xml:space="preserve">. Quantitative real-time PCR assays were performed </w:t>
      </w:r>
      <w:r>
        <w:rPr>
          <w:rFonts w:hint="eastAsia" w:ascii="Times New Roman" w:hAnsi="Times New Roman" w:cs="Times New Roman"/>
          <w:sz w:val="24"/>
          <w:szCs w:val="24"/>
          <w:lang w:val="en-US" w:eastAsia="zh-CN"/>
        </w:rPr>
        <w:t>using</w:t>
      </w:r>
      <w:r>
        <w:rPr>
          <w:rFonts w:hint="default" w:ascii="Times New Roman" w:hAnsi="Times New Roman" w:cs="Times New Roman"/>
          <w:sz w:val="24"/>
          <w:szCs w:val="24"/>
          <w:lang w:val="en-US" w:eastAsia="zh-CN"/>
        </w:rPr>
        <w:t xml:space="preserve"> </w:t>
      </w:r>
      <w:r>
        <w:rPr>
          <w:rFonts w:ascii="Times New Roman" w:hAnsi="Times New Roman" w:eastAsia="Times New Roman" w:cs="Times New Roman"/>
          <w:sz w:val="24"/>
          <w:szCs w:val="24"/>
        </w:rPr>
        <w:t>SYBR</w:t>
      </w:r>
      <w:r>
        <w:rPr>
          <w:rFonts w:ascii="Times New Roman" w:hAnsi="Times New Roman" w:eastAsia="Times New Roman" w:cs="Times New Roman"/>
          <w:spacing w:val="2"/>
          <w:sz w:val="24"/>
          <w:szCs w:val="24"/>
        </w:rPr>
        <w:t xml:space="preserve">1 </w:t>
      </w:r>
      <w:r>
        <w:rPr>
          <w:rFonts w:ascii="Times New Roman" w:hAnsi="Times New Roman" w:eastAsia="Times New Roman" w:cs="Times New Roman"/>
          <w:sz w:val="24"/>
          <w:szCs w:val="24"/>
        </w:rPr>
        <w:t>Premix</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Ex</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TaqTM</w:t>
      </w:r>
      <w:r>
        <w:rPr>
          <w:rFonts w:ascii="Times New Roman" w:hAnsi="Times New Roman" w:eastAsia="Times New Roman" w:cs="Times New Roman"/>
          <w:spacing w:val="2"/>
          <w:sz w:val="24"/>
          <w:szCs w:val="24"/>
        </w:rPr>
        <w:t xml:space="preserve"> </w:t>
      </w:r>
      <w:r>
        <w:rPr>
          <w:rFonts w:ascii="Times New Roman" w:hAnsi="Times New Roman" w:eastAsia="Times New Roman" w:cs="Times New Roman"/>
          <w:sz w:val="24"/>
          <w:szCs w:val="24"/>
        </w:rPr>
        <w:t>kit</w:t>
      </w:r>
      <w:r>
        <w:rPr>
          <w:rFonts w:hint="eastAsia" w:ascii="Times New Roman" w:hAnsi="Times New Roman" w:eastAsia="宋体" w:cs="Times New Roman"/>
          <w:sz w:val="24"/>
          <w:szCs w:val="24"/>
          <w:lang w:val="en-US" w:eastAsia="zh-CN"/>
        </w:rPr>
        <w:t xml:space="preserve"> </w:t>
      </w:r>
      <w:r>
        <w:rPr>
          <w:rFonts w:hint="default" w:ascii="Times New Roman" w:hAnsi="Times New Roman" w:cs="Times New Roman"/>
          <w:sz w:val="24"/>
          <w:szCs w:val="24"/>
          <w:lang w:val="en-US" w:eastAsia="zh-CN"/>
        </w:rPr>
        <w:t>(</w:t>
      </w:r>
      <w:r>
        <w:rPr>
          <w:rFonts w:hint="eastAsia" w:ascii="Times New Roman" w:hAnsi="Times New Roman" w:eastAsia="宋体" w:cs="Times New Roman"/>
          <w:spacing w:val="-2"/>
          <w:sz w:val="24"/>
          <w:szCs w:val="24"/>
          <w:lang w:val="en-US" w:eastAsia="zh-CN"/>
        </w:rPr>
        <w:t>Vazyme, China</w:t>
      </w:r>
      <w:r>
        <w:rPr>
          <w:rFonts w:hint="default" w:ascii="Times New Roman" w:hAnsi="Times New Roman" w:cs="Times New Roman"/>
          <w:sz w:val="24"/>
          <w:szCs w:val="24"/>
          <w:lang w:val="en-US" w:eastAsia="zh-CN"/>
        </w:rPr>
        <w:t xml:space="preserve">) in a LightCycler </w:t>
      </w:r>
      <w:r>
        <w:rPr>
          <w:rFonts w:hint="default" w:cs="Times New Roman"/>
          <w:sz w:val="24"/>
          <w:szCs w:val="24"/>
          <w:lang w:val="en-US" w:eastAsia="zh-CN"/>
        </w:rPr>
        <w:t>480</w:t>
      </w:r>
      <w:r>
        <w:rPr>
          <w:rFonts w:hint="default" w:ascii="Times New Roman" w:hAnsi="Times New Roman" w:cs="Times New Roman"/>
          <w:sz w:val="24"/>
          <w:szCs w:val="24"/>
          <w:lang w:val="en-US" w:eastAsia="zh-CN"/>
        </w:rPr>
        <w:t xml:space="preserve"> Real-Time PCR System (</w:t>
      </w:r>
      <w:r>
        <w:rPr>
          <w:rFonts w:hint="default" w:cs="Times New Roman"/>
          <w:sz w:val="24"/>
          <w:szCs w:val="24"/>
          <w:lang w:val="en-US" w:eastAsia="zh-CN"/>
        </w:rPr>
        <w:t>Roche</w:t>
      </w:r>
      <w:r>
        <w:rPr>
          <w:rFonts w:hint="default" w:ascii="Times New Roman" w:hAnsi="Times New Roman" w:cs="Times New Roman"/>
          <w:sz w:val="24"/>
          <w:szCs w:val="24"/>
          <w:highlight w:val="none"/>
          <w:lang w:val="en-US" w:eastAsia="zh-CN"/>
        </w:rPr>
        <w:t xml:space="preserve">, </w:t>
      </w:r>
      <w:r>
        <w:rPr>
          <w:rFonts w:hint="eastAsia" w:ascii="Times New Roman" w:hAnsi="Times New Roman" w:cs="Times New Roman"/>
          <w:sz w:val="24"/>
          <w:szCs w:val="24"/>
          <w:highlight w:val="none"/>
          <w:lang w:val="en-US" w:eastAsia="zh-CN"/>
        </w:rPr>
        <w:t>Switzerland</w:t>
      </w:r>
      <w:r>
        <w:rPr>
          <w:rFonts w:hint="default" w:ascii="Times New Roman" w:hAnsi="Times New Roman" w:cs="Times New Roman"/>
          <w:sz w:val="24"/>
          <w:szCs w:val="24"/>
          <w:lang w:val="en-US" w:eastAsia="zh-CN"/>
        </w:rPr>
        <w:t>)</w:t>
      </w:r>
      <w:r>
        <w:rPr>
          <w:rFonts w:hint="default" w:cs="Times New Roman"/>
          <w:sz w:val="24"/>
          <w:szCs w:val="24"/>
          <w:lang w:val="en-US" w:eastAsia="zh-CN"/>
        </w:rPr>
        <w:t xml:space="preserve"> with the following conditions (Table 1).</w:t>
      </w:r>
      <w:r>
        <w:rPr>
          <w:rFonts w:hint="eastAsia" w:cs="Times New Roman"/>
          <w:sz w:val="24"/>
          <w:szCs w:val="24"/>
          <w:lang w:val="en-US" w:eastAsia="zh-CN"/>
        </w:rPr>
        <w:t xml:space="preserve"> </w:t>
      </w:r>
      <w:r>
        <w:rPr>
          <w:rFonts w:ascii="Times New Roman" w:hAnsi="Times New Roman" w:eastAsia="宋体" w:cs="Times New Roman"/>
          <w:i w:val="0"/>
          <w:iCs w:val="0"/>
          <w:caps w:val="0"/>
          <w:color w:val="auto"/>
          <w:spacing w:val="0"/>
          <w:sz w:val="24"/>
          <w:szCs w:val="24"/>
        </w:rPr>
        <w:t>The relative expression of the target gene was determined using the 2</w:t>
      </w:r>
      <w:r>
        <w:rPr>
          <w:rFonts w:ascii="Times New Roman" w:hAnsi="Times New Roman" w:eastAsia="宋体" w:cs="Times New Roman"/>
          <w:i w:val="0"/>
          <w:iCs w:val="0"/>
          <w:caps w:val="0"/>
          <w:color w:val="auto"/>
          <w:spacing w:val="0"/>
          <w:sz w:val="24"/>
          <w:szCs w:val="24"/>
          <w:vertAlign w:val="superscript"/>
        </w:rPr>
        <w:t>-ΔΔCt</w:t>
      </w:r>
      <w:r>
        <w:rPr>
          <w:rFonts w:ascii="Times New Roman" w:hAnsi="Times New Roman" w:eastAsia="宋体" w:cs="Times New Roman"/>
          <w:i w:val="0"/>
          <w:iCs w:val="0"/>
          <w:caps w:val="0"/>
          <w:color w:val="auto"/>
          <w:spacing w:val="0"/>
          <w:sz w:val="24"/>
          <w:szCs w:val="24"/>
        </w:rPr>
        <w:t xml:space="preserve"> method. Triplicate runs were performed for each sample, and the results were normalized to GAPDH.</w:t>
      </w:r>
    </w:p>
    <w:p w14:paraId="3DCD2B62">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lang w:val="en-US"/>
        </w:rPr>
      </w:pPr>
      <w:r>
        <w:rPr>
          <w:rFonts w:hint="default" w:ascii="Times New Roman" w:hAnsi="Times New Roman" w:eastAsia="宋体" w:cs="宋体"/>
          <w:spacing w:val="-4"/>
          <w:sz w:val="21"/>
          <w:szCs w:val="21"/>
          <w:highlight w:val="yellow"/>
          <w:lang w:val="en-US"/>
        </w:rPr>
        <w:t>Table1</w:t>
      </w:r>
      <w:r>
        <w:rPr>
          <w:rFonts w:hint="eastAsia" w:cs="宋体"/>
          <w:spacing w:val="-4"/>
          <w:sz w:val="21"/>
          <w:szCs w:val="21"/>
          <w:highlight w:val="yellow"/>
          <w:lang w:val="en-US" w:eastAsia="zh-CN"/>
        </w:rPr>
        <w:t xml:space="preserve"> R</w:t>
      </w:r>
      <w:r>
        <w:rPr>
          <w:rFonts w:hint="eastAsia" w:ascii="Times New Roman" w:hAnsi="Times New Roman" w:eastAsia="宋体" w:cs="宋体"/>
          <w:spacing w:val="-4"/>
          <w:sz w:val="21"/>
          <w:szCs w:val="21"/>
          <w:highlight w:val="yellow"/>
          <w:lang w:val="en-US" w:eastAsia="zh-CN"/>
        </w:rPr>
        <w:t xml:space="preserve">eaction conditions of </w:t>
      </w:r>
      <w:r>
        <w:rPr>
          <w:rFonts w:ascii="Times New Roman" w:hAnsi="Times New Roman" w:eastAsia="宋体" w:cs="宋体"/>
          <w:spacing w:val="-4"/>
          <w:sz w:val="21"/>
          <w:szCs w:val="21"/>
          <w:highlight w:val="yellow"/>
        </w:rPr>
        <w:t>RT-qPC</w:t>
      </w:r>
      <w:r>
        <w:rPr>
          <w:rFonts w:hint="eastAsia" w:ascii="Times New Roman" w:hAnsi="Times New Roman" w:eastAsia="宋体" w:cs="宋体"/>
          <w:spacing w:val="-4"/>
          <w:sz w:val="21"/>
          <w:szCs w:val="21"/>
          <w:highlight w:val="yellow"/>
          <w:lang w:eastAsia="zh-CN"/>
        </w:rPr>
        <w:t>R</w:t>
      </w:r>
      <w:r>
        <w:rPr>
          <w:rFonts w:hint="eastAsia" w:ascii="Times New Roman" w:hAnsi="Times New Roman" w:eastAsia="宋体" w:cs="宋体"/>
          <w:spacing w:val="-4"/>
          <w:sz w:val="21"/>
          <w:szCs w:val="21"/>
          <w:highlight w:val="yellow"/>
          <w:lang w:val="en-US" w:eastAsia="zh-CN"/>
        </w:rPr>
        <w:t xml:space="preserve"> </w:t>
      </w:r>
    </w:p>
    <w:tbl>
      <w:tblPr>
        <w:tblStyle w:val="6"/>
        <w:tblW w:w="0" w:type="auto"/>
        <w:tblInd w:w="113"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16"/>
        <w:gridCol w:w="4093"/>
      </w:tblGrid>
      <w:tr w14:paraId="716BDC6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4318" w:type="dxa"/>
            <w:tcBorders>
              <w:bottom w:val="single" w:color="auto" w:sz="6" w:space="0"/>
            </w:tcBorders>
          </w:tcPr>
          <w:p w14:paraId="71045963">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vertAlign w:val="baseline"/>
                <w:lang w:val="en-US" w:eastAsia="zh-CN"/>
              </w:rPr>
            </w:pPr>
            <w:r>
              <w:rPr>
                <w:rFonts w:hint="eastAsia" w:ascii="Times New Roman" w:hAnsi="Times New Roman" w:eastAsia="宋体" w:cs="宋体"/>
                <w:spacing w:val="-4"/>
                <w:sz w:val="21"/>
                <w:szCs w:val="21"/>
                <w:highlight w:val="yellow"/>
                <w:vertAlign w:val="baseline"/>
                <w:lang w:val="en-US" w:eastAsia="zh-CN"/>
              </w:rPr>
              <w:t>Phase</w:t>
            </w:r>
          </w:p>
        </w:tc>
        <w:tc>
          <w:tcPr>
            <w:tcW w:w="4096" w:type="dxa"/>
            <w:tcBorders>
              <w:bottom w:val="single" w:color="auto" w:sz="6" w:space="0"/>
            </w:tcBorders>
          </w:tcPr>
          <w:p w14:paraId="4FD71D79">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vertAlign w:val="baseline"/>
                <w:lang w:val="en-US" w:eastAsia="zh-CN"/>
              </w:rPr>
            </w:pPr>
            <w:r>
              <w:rPr>
                <w:rFonts w:hint="eastAsia" w:ascii="Times New Roman" w:hAnsi="Times New Roman" w:eastAsia="宋体" w:cs="宋体"/>
                <w:spacing w:val="-4"/>
                <w:sz w:val="21"/>
                <w:szCs w:val="21"/>
                <w:highlight w:val="yellow"/>
                <w:vertAlign w:val="baseline"/>
                <w:lang w:val="en-US" w:eastAsia="zh-CN"/>
              </w:rPr>
              <w:t>Time</w:t>
            </w:r>
          </w:p>
        </w:tc>
      </w:tr>
      <w:tr w14:paraId="245D874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4318" w:type="dxa"/>
            <w:tcBorders>
              <w:top w:val="single" w:color="auto" w:sz="6" w:space="0"/>
              <w:tl2br w:val="nil"/>
              <w:tr2bl w:val="nil"/>
            </w:tcBorders>
          </w:tcPr>
          <w:p w14:paraId="6F4FA6FB">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vertAlign w:val="baseline"/>
                <w:lang w:val="en-US" w:eastAsia="zh-CN"/>
              </w:rPr>
            </w:pPr>
            <w:r>
              <w:rPr>
                <w:rFonts w:hint="eastAsia" w:ascii="Times New Roman" w:hAnsi="Times New Roman" w:eastAsia="宋体" w:cs="宋体"/>
                <w:spacing w:val="-4"/>
                <w:sz w:val="21"/>
                <w:szCs w:val="21"/>
                <w:highlight w:val="yellow"/>
                <w:vertAlign w:val="baseline"/>
                <w:lang w:val="en-US" w:eastAsia="zh-CN"/>
              </w:rPr>
              <w:t>Predegeneration</w:t>
            </w:r>
            <w:r>
              <w:rPr>
                <w:rFonts w:hint="eastAsia" w:ascii="Times New Roman" w:hAnsi="Times New Roman" w:eastAsia="宋体" w:cs="Times New Roman"/>
                <w:snapToGrid/>
                <w:color w:val="000000"/>
                <w:spacing w:val="-2"/>
                <w:kern w:val="0"/>
                <w:sz w:val="21"/>
                <w:szCs w:val="21"/>
                <w:highlight w:val="yellow"/>
                <w:lang w:val="en-US" w:eastAsia="zh-CN" w:bidi="ar"/>
              </w:rPr>
              <w:t>（1 cycle）</w:t>
            </w:r>
          </w:p>
        </w:tc>
        <w:tc>
          <w:tcPr>
            <w:tcW w:w="4096" w:type="dxa"/>
            <w:tcBorders>
              <w:top w:val="single" w:color="auto" w:sz="6" w:space="0"/>
              <w:tl2br w:val="nil"/>
              <w:tr2bl w:val="nil"/>
            </w:tcBorders>
          </w:tcPr>
          <w:p w14:paraId="6131A980">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ascii="Times New Roman" w:hAnsi="Times New Roman" w:eastAsia="宋体" w:cs="宋体"/>
                <w:spacing w:val="-4"/>
                <w:sz w:val="21"/>
                <w:szCs w:val="21"/>
                <w:highlight w:val="yellow"/>
                <w:vertAlign w:val="baseline"/>
              </w:rPr>
            </w:pPr>
            <w:r>
              <w:rPr>
                <w:rFonts w:hint="default" w:ascii="Times New Roman" w:hAnsi="Times New Roman" w:eastAsia="宋体" w:cs="Times New Roman"/>
                <w:snapToGrid/>
                <w:color w:val="000000"/>
                <w:spacing w:val="-2"/>
                <w:kern w:val="0"/>
                <w:sz w:val="21"/>
                <w:szCs w:val="21"/>
                <w:highlight w:val="yellow"/>
                <w:lang w:val="en-US" w:eastAsia="zh-CN" w:bidi="ar"/>
              </w:rPr>
              <w:t>95 ℃，30 s</w:t>
            </w:r>
          </w:p>
        </w:tc>
      </w:tr>
      <w:tr w14:paraId="6E2FFDB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4318" w:type="dxa"/>
            <w:vMerge w:val="restart"/>
            <w:tcBorders>
              <w:tl2br w:val="nil"/>
              <w:tr2bl w:val="nil"/>
            </w:tcBorders>
          </w:tcPr>
          <w:p w14:paraId="77C6138D">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ascii="Times New Roman" w:hAnsi="Times New Roman" w:eastAsia="宋体" w:cs="宋体"/>
                <w:spacing w:val="-4"/>
                <w:sz w:val="21"/>
                <w:szCs w:val="21"/>
                <w:highlight w:val="yellow"/>
                <w:vertAlign w:val="baseline"/>
              </w:rPr>
            </w:pPr>
            <w:r>
              <w:rPr>
                <w:rFonts w:hint="eastAsia" w:ascii="Times New Roman" w:hAnsi="Times New Roman" w:eastAsia="宋体" w:cs="Times New Roman"/>
                <w:snapToGrid/>
                <w:color w:val="000000"/>
                <w:spacing w:val="-2"/>
                <w:kern w:val="0"/>
                <w:sz w:val="21"/>
                <w:szCs w:val="21"/>
                <w:highlight w:val="yellow"/>
                <w:lang w:val="en-US" w:eastAsia="zh-CN" w:bidi="ar"/>
              </w:rPr>
              <w:t>Cyclic reaction（</w:t>
            </w:r>
            <w:r>
              <w:rPr>
                <w:rFonts w:hint="default" w:ascii="Times New Roman" w:hAnsi="Times New Roman" w:eastAsia="宋体" w:cs="Times New Roman"/>
                <w:snapToGrid/>
                <w:color w:val="000000"/>
                <w:spacing w:val="-2"/>
                <w:kern w:val="0"/>
                <w:sz w:val="21"/>
                <w:szCs w:val="21"/>
                <w:highlight w:val="yellow"/>
                <w:lang w:val="en-US" w:eastAsia="zh-CN" w:bidi="ar"/>
              </w:rPr>
              <w:t>40</w:t>
            </w:r>
            <w:r>
              <w:rPr>
                <w:rFonts w:hint="eastAsia" w:ascii="Times New Roman" w:hAnsi="Times New Roman" w:eastAsia="宋体" w:cs="Times New Roman"/>
                <w:snapToGrid/>
                <w:color w:val="000000"/>
                <w:spacing w:val="-2"/>
                <w:kern w:val="0"/>
                <w:sz w:val="21"/>
                <w:szCs w:val="21"/>
                <w:highlight w:val="yellow"/>
                <w:lang w:val="en-US" w:eastAsia="zh-CN" w:bidi="ar"/>
              </w:rPr>
              <w:t xml:space="preserve"> cycles）</w:t>
            </w:r>
          </w:p>
        </w:tc>
        <w:tc>
          <w:tcPr>
            <w:tcW w:w="4096" w:type="dxa"/>
            <w:tcBorders>
              <w:tl2br w:val="nil"/>
              <w:tr2bl w:val="nil"/>
            </w:tcBorders>
          </w:tcPr>
          <w:p w14:paraId="249809FC">
            <w:pPr>
              <w:pStyle w:val="11"/>
              <w:keepNext w:val="0"/>
              <w:keepLines w:val="0"/>
              <w:widowControl/>
              <w:suppressLineNumbers w:val="0"/>
              <w:spacing w:line="360" w:lineRule="auto"/>
              <w:jc w:val="center"/>
              <w:rPr>
                <w:rFonts w:ascii="Times New Roman" w:hAnsi="Times New Roman" w:eastAsia="宋体" w:cs="宋体"/>
                <w:spacing w:val="-4"/>
                <w:sz w:val="21"/>
                <w:szCs w:val="21"/>
                <w:highlight w:val="yellow"/>
                <w:vertAlign w:val="baseline"/>
              </w:rPr>
            </w:pPr>
            <w:r>
              <w:rPr>
                <w:rFonts w:hint="default" w:ascii="Times New Roman" w:hAnsi="Times New Roman" w:cs="Times New Roman"/>
                <w:color w:val="000000"/>
                <w:spacing w:val="-6"/>
                <w:kern w:val="0"/>
                <w:sz w:val="21"/>
                <w:szCs w:val="21"/>
                <w:highlight w:val="yellow"/>
              </w:rPr>
              <w:t>95</w:t>
            </w:r>
            <w:r>
              <w:rPr>
                <w:rFonts w:hint="default" w:cs="Times New Roman"/>
                <w:color w:val="000000"/>
                <w:spacing w:val="-6"/>
                <w:kern w:val="0"/>
                <w:sz w:val="21"/>
                <w:szCs w:val="21"/>
                <w:highlight w:val="yellow"/>
                <w:lang w:val="en-US"/>
              </w:rPr>
              <w:t xml:space="preserve"> </w:t>
            </w:r>
            <w:r>
              <w:rPr>
                <w:rFonts w:hint="default" w:ascii="Times New Roman" w:hAnsi="Times New Roman" w:cs="Times New Roman"/>
                <w:color w:val="000000"/>
                <w:spacing w:val="-6"/>
                <w:kern w:val="0"/>
                <w:sz w:val="21"/>
                <w:szCs w:val="21"/>
                <w:highlight w:val="yellow"/>
              </w:rPr>
              <w:t>℃</w:t>
            </w:r>
            <w:r>
              <w:rPr>
                <w:rFonts w:hint="eastAsia" w:eastAsia="宋体" w:cs="Times New Roman"/>
                <w:color w:val="000000"/>
                <w:spacing w:val="-6"/>
                <w:kern w:val="0"/>
                <w:sz w:val="21"/>
                <w:szCs w:val="21"/>
                <w:highlight w:val="yellow"/>
                <w:lang w:eastAsia="zh-CN"/>
              </w:rPr>
              <w:t>，</w:t>
            </w:r>
            <w:r>
              <w:rPr>
                <w:rFonts w:hint="default" w:ascii="Times New Roman" w:hAnsi="Times New Roman" w:cs="Times New Roman"/>
                <w:color w:val="000000"/>
                <w:spacing w:val="-6"/>
                <w:kern w:val="0"/>
                <w:sz w:val="21"/>
                <w:szCs w:val="21"/>
                <w:highlight w:val="yellow"/>
              </w:rPr>
              <w:t>10</w:t>
            </w:r>
            <w:r>
              <w:rPr>
                <w:rFonts w:hint="default" w:cs="Times New Roman"/>
                <w:color w:val="000000"/>
                <w:spacing w:val="-6"/>
                <w:kern w:val="0"/>
                <w:sz w:val="21"/>
                <w:szCs w:val="21"/>
                <w:highlight w:val="yellow"/>
                <w:lang w:val="en-US"/>
              </w:rPr>
              <w:t xml:space="preserve"> </w:t>
            </w:r>
            <w:r>
              <w:rPr>
                <w:rFonts w:hint="default" w:ascii="Times New Roman" w:hAnsi="Times New Roman" w:cs="Times New Roman"/>
                <w:color w:val="000000"/>
                <w:spacing w:val="-6"/>
                <w:kern w:val="0"/>
                <w:sz w:val="21"/>
                <w:szCs w:val="21"/>
                <w:highlight w:val="yellow"/>
              </w:rPr>
              <w:t>s</w:t>
            </w:r>
          </w:p>
        </w:tc>
      </w:tr>
      <w:tr w14:paraId="650ACE0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325" w:hRule="atLeast"/>
        </w:trPr>
        <w:tc>
          <w:tcPr>
            <w:tcW w:w="4318" w:type="dxa"/>
            <w:vMerge w:val="continue"/>
            <w:tcBorders>
              <w:tl2br w:val="nil"/>
              <w:tr2bl w:val="nil"/>
            </w:tcBorders>
          </w:tcPr>
          <w:p w14:paraId="11D14573">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ascii="Times New Roman" w:hAnsi="Times New Roman" w:eastAsia="宋体" w:cs="宋体"/>
                <w:spacing w:val="-4"/>
                <w:sz w:val="21"/>
                <w:szCs w:val="21"/>
                <w:highlight w:val="yellow"/>
                <w:vertAlign w:val="baseline"/>
              </w:rPr>
            </w:pPr>
          </w:p>
        </w:tc>
        <w:tc>
          <w:tcPr>
            <w:tcW w:w="4096" w:type="dxa"/>
            <w:tcBorders>
              <w:tl2br w:val="nil"/>
              <w:tr2bl w:val="nil"/>
            </w:tcBorders>
          </w:tcPr>
          <w:p w14:paraId="0CCA3F58">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ascii="Times New Roman" w:hAnsi="Times New Roman" w:eastAsia="宋体" w:cs="宋体"/>
                <w:spacing w:val="-4"/>
                <w:sz w:val="21"/>
                <w:szCs w:val="21"/>
                <w:highlight w:val="yellow"/>
                <w:vertAlign w:val="baseline"/>
              </w:rPr>
            </w:pPr>
            <w:r>
              <w:rPr>
                <w:rFonts w:hint="default" w:ascii="Times New Roman" w:hAnsi="Times New Roman" w:cs="Times New Roman"/>
                <w:color w:val="000000"/>
                <w:spacing w:val="-3"/>
                <w:kern w:val="0"/>
                <w:sz w:val="21"/>
                <w:szCs w:val="21"/>
                <w:highlight w:val="yellow"/>
              </w:rPr>
              <w:t>60</w:t>
            </w:r>
            <w:r>
              <w:rPr>
                <w:rFonts w:hint="default" w:ascii="Times New Roman" w:hAnsi="Times New Roman" w:cs="Times New Roman"/>
                <w:color w:val="000000"/>
                <w:spacing w:val="-3"/>
                <w:kern w:val="0"/>
                <w:sz w:val="21"/>
                <w:szCs w:val="21"/>
                <w:highlight w:val="yellow"/>
                <w:lang w:val="en-US"/>
              </w:rPr>
              <w:t xml:space="preserve"> </w:t>
            </w:r>
            <w:r>
              <w:rPr>
                <w:rFonts w:hint="default" w:ascii="Times New Roman" w:hAnsi="Times New Roman" w:cs="Times New Roman"/>
                <w:color w:val="000000"/>
                <w:spacing w:val="-3"/>
                <w:kern w:val="0"/>
                <w:sz w:val="21"/>
                <w:szCs w:val="21"/>
                <w:highlight w:val="yellow"/>
              </w:rPr>
              <w:t>℃</w:t>
            </w:r>
            <w:r>
              <w:rPr>
                <w:rFonts w:hint="eastAsia" w:ascii="Times New Roman" w:hAnsi="Times New Roman" w:eastAsia="宋体" w:cs="Times New Roman"/>
                <w:color w:val="000000"/>
                <w:spacing w:val="-3"/>
                <w:kern w:val="0"/>
                <w:sz w:val="21"/>
                <w:szCs w:val="21"/>
                <w:highlight w:val="yellow"/>
                <w:lang w:eastAsia="zh-CN"/>
              </w:rPr>
              <w:t>，</w:t>
            </w:r>
            <w:r>
              <w:rPr>
                <w:rFonts w:hint="default" w:ascii="Times New Roman" w:hAnsi="Times New Roman" w:cs="Times New Roman"/>
                <w:color w:val="000000"/>
                <w:spacing w:val="-3"/>
                <w:kern w:val="0"/>
                <w:sz w:val="21"/>
                <w:szCs w:val="21"/>
                <w:highlight w:val="yellow"/>
              </w:rPr>
              <w:t>30</w:t>
            </w:r>
            <w:r>
              <w:rPr>
                <w:rFonts w:hint="default" w:ascii="Times New Roman" w:hAnsi="Times New Roman" w:cs="Times New Roman"/>
                <w:color w:val="000000"/>
                <w:spacing w:val="-3"/>
                <w:kern w:val="0"/>
                <w:sz w:val="21"/>
                <w:szCs w:val="21"/>
                <w:highlight w:val="yellow"/>
                <w:lang w:val="en-US"/>
              </w:rPr>
              <w:t xml:space="preserve"> </w:t>
            </w:r>
            <w:r>
              <w:rPr>
                <w:rFonts w:hint="default" w:ascii="Times New Roman" w:hAnsi="Times New Roman" w:cs="Times New Roman"/>
                <w:color w:val="000000"/>
                <w:spacing w:val="-3"/>
                <w:kern w:val="0"/>
                <w:sz w:val="21"/>
                <w:szCs w:val="21"/>
                <w:highlight w:val="yellow"/>
              </w:rPr>
              <w:t>s</w:t>
            </w:r>
          </w:p>
        </w:tc>
      </w:tr>
      <w:tr w14:paraId="577DBE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rPr>
          <w:trHeight w:val="90" w:hRule="atLeast"/>
        </w:trPr>
        <w:tc>
          <w:tcPr>
            <w:tcW w:w="4318" w:type="dxa"/>
            <w:vMerge w:val="restart"/>
            <w:tcBorders>
              <w:tl2br w:val="nil"/>
              <w:tr2bl w:val="nil"/>
            </w:tcBorders>
            <w:vAlign w:val="center"/>
          </w:tcPr>
          <w:p w14:paraId="06E8AD11">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vertAlign w:val="baseline"/>
                <w:lang w:val="en-US" w:eastAsia="zh-CN"/>
              </w:rPr>
            </w:pPr>
            <w:r>
              <w:rPr>
                <w:rFonts w:hint="eastAsia" w:ascii="Times New Roman" w:hAnsi="Times New Roman" w:eastAsia="宋体" w:cs="宋体"/>
                <w:spacing w:val="-4"/>
                <w:sz w:val="21"/>
                <w:szCs w:val="21"/>
                <w:highlight w:val="yellow"/>
                <w:vertAlign w:val="baseline"/>
                <w:lang w:val="en-US" w:eastAsia="zh-CN"/>
              </w:rPr>
              <w:t>Solution curve</w:t>
            </w:r>
            <w:r>
              <w:rPr>
                <w:rFonts w:hint="eastAsia" w:ascii="Times New Roman" w:hAnsi="Times New Roman" w:eastAsia="宋体" w:cs="Times New Roman"/>
                <w:snapToGrid/>
                <w:color w:val="000000"/>
                <w:spacing w:val="-2"/>
                <w:kern w:val="0"/>
                <w:sz w:val="21"/>
                <w:szCs w:val="21"/>
                <w:highlight w:val="yellow"/>
                <w:lang w:val="en-US" w:eastAsia="zh-CN" w:bidi="ar"/>
              </w:rPr>
              <w:t>（1 cycle）</w:t>
            </w:r>
          </w:p>
        </w:tc>
        <w:tc>
          <w:tcPr>
            <w:tcW w:w="4096" w:type="dxa"/>
            <w:tcBorders>
              <w:tl2br w:val="nil"/>
              <w:tr2bl w:val="nil"/>
            </w:tcBorders>
            <w:vAlign w:val="top"/>
          </w:tcPr>
          <w:p w14:paraId="45A40222">
            <w:pPr>
              <w:pStyle w:val="11"/>
              <w:keepNext w:val="0"/>
              <w:keepLines w:val="0"/>
              <w:widowControl/>
              <w:suppressLineNumbers w:val="0"/>
              <w:spacing w:before="140" w:beforeAutospacing="0" w:line="360" w:lineRule="auto"/>
              <w:jc w:val="center"/>
              <w:rPr>
                <w:rFonts w:ascii="Times New Roman" w:hAnsi="Times New Roman" w:eastAsia="宋体" w:cs="宋体"/>
                <w:spacing w:val="-4"/>
                <w:sz w:val="21"/>
                <w:szCs w:val="21"/>
                <w:highlight w:val="yellow"/>
                <w:vertAlign w:val="baseline"/>
              </w:rPr>
            </w:pPr>
            <w:r>
              <w:rPr>
                <w:rFonts w:hint="default" w:ascii="Times New Roman" w:hAnsi="Times New Roman" w:cs="Times New Roman"/>
                <w:color w:val="000000"/>
                <w:spacing w:val="-6"/>
                <w:kern w:val="0"/>
                <w:position w:val="15"/>
                <w:sz w:val="21"/>
                <w:szCs w:val="21"/>
                <w:highlight w:val="yellow"/>
              </w:rPr>
              <w:t>95</w:t>
            </w:r>
            <w:r>
              <w:rPr>
                <w:rFonts w:hint="default" w:cs="Times New Roman"/>
                <w:color w:val="000000"/>
                <w:spacing w:val="-6"/>
                <w:kern w:val="0"/>
                <w:position w:val="15"/>
                <w:sz w:val="21"/>
                <w:szCs w:val="21"/>
                <w:highlight w:val="yellow"/>
                <w:lang w:val="en-US"/>
              </w:rPr>
              <w:t xml:space="preserve"> </w:t>
            </w:r>
            <w:r>
              <w:rPr>
                <w:rFonts w:hint="default" w:ascii="Times New Roman" w:hAnsi="Times New Roman" w:cs="Times New Roman"/>
                <w:color w:val="000000"/>
                <w:spacing w:val="-6"/>
                <w:kern w:val="0"/>
                <w:position w:val="15"/>
                <w:sz w:val="21"/>
                <w:szCs w:val="21"/>
                <w:highlight w:val="yellow"/>
              </w:rPr>
              <w:t>℃</w:t>
            </w:r>
            <w:r>
              <w:rPr>
                <w:rFonts w:hint="eastAsia" w:eastAsia="宋体" w:cs="Times New Roman"/>
                <w:color w:val="000000"/>
                <w:spacing w:val="-6"/>
                <w:kern w:val="0"/>
                <w:position w:val="15"/>
                <w:sz w:val="21"/>
                <w:szCs w:val="21"/>
                <w:highlight w:val="yellow"/>
                <w:lang w:eastAsia="zh-CN"/>
              </w:rPr>
              <w:t>，</w:t>
            </w:r>
            <w:r>
              <w:rPr>
                <w:rFonts w:hint="default" w:ascii="Times New Roman" w:hAnsi="Times New Roman" w:cs="Times New Roman"/>
                <w:color w:val="000000"/>
                <w:spacing w:val="-6"/>
                <w:kern w:val="0"/>
                <w:position w:val="15"/>
                <w:sz w:val="21"/>
                <w:szCs w:val="21"/>
                <w:highlight w:val="yellow"/>
              </w:rPr>
              <w:t>15</w:t>
            </w:r>
            <w:r>
              <w:rPr>
                <w:rFonts w:hint="default" w:cs="Times New Roman"/>
                <w:color w:val="000000"/>
                <w:spacing w:val="-6"/>
                <w:kern w:val="0"/>
                <w:position w:val="15"/>
                <w:sz w:val="21"/>
                <w:szCs w:val="21"/>
                <w:highlight w:val="yellow"/>
                <w:lang w:val="en-US"/>
              </w:rPr>
              <w:t xml:space="preserve"> </w:t>
            </w:r>
            <w:r>
              <w:rPr>
                <w:rFonts w:hint="default" w:ascii="Times New Roman" w:hAnsi="Times New Roman" w:cs="Times New Roman"/>
                <w:color w:val="000000"/>
                <w:spacing w:val="-6"/>
                <w:kern w:val="0"/>
                <w:position w:val="15"/>
                <w:sz w:val="21"/>
                <w:szCs w:val="21"/>
                <w:highlight w:val="yellow"/>
              </w:rPr>
              <w:t>s</w:t>
            </w:r>
          </w:p>
        </w:tc>
      </w:tr>
      <w:tr w14:paraId="0C79685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4318" w:type="dxa"/>
            <w:vMerge w:val="continue"/>
            <w:tcBorders>
              <w:tl2br w:val="nil"/>
              <w:tr2bl w:val="nil"/>
            </w:tcBorders>
          </w:tcPr>
          <w:p w14:paraId="00BCE742">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hint="default" w:ascii="Times New Roman" w:hAnsi="Times New Roman" w:eastAsia="宋体" w:cs="宋体"/>
                <w:spacing w:val="-4"/>
                <w:sz w:val="21"/>
                <w:szCs w:val="21"/>
                <w:highlight w:val="yellow"/>
                <w:vertAlign w:val="baseline"/>
                <w:lang w:val="en-US" w:eastAsia="zh-CN"/>
              </w:rPr>
            </w:pPr>
          </w:p>
        </w:tc>
        <w:tc>
          <w:tcPr>
            <w:tcW w:w="4096" w:type="dxa"/>
            <w:tcBorders>
              <w:tl2br w:val="nil"/>
              <w:tr2bl w:val="nil"/>
            </w:tcBorders>
            <w:vAlign w:val="top"/>
          </w:tcPr>
          <w:p w14:paraId="48091AE6">
            <w:pPr>
              <w:pStyle w:val="11"/>
              <w:keepNext w:val="0"/>
              <w:keepLines w:val="0"/>
              <w:widowControl/>
              <w:suppressLineNumbers w:val="0"/>
              <w:spacing w:line="360" w:lineRule="auto"/>
              <w:jc w:val="center"/>
              <w:rPr>
                <w:rFonts w:ascii="Times New Roman" w:hAnsi="Times New Roman" w:eastAsia="宋体" w:cs="宋体"/>
                <w:spacing w:val="-4"/>
                <w:sz w:val="21"/>
                <w:szCs w:val="21"/>
                <w:highlight w:val="yellow"/>
                <w:vertAlign w:val="baseline"/>
              </w:rPr>
            </w:pPr>
            <w:r>
              <w:rPr>
                <w:rFonts w:hint="default" w:ascii="Times New Roman" w:hAnsi="Times New Roman" w:cs="Times New Roman"/>
                <w:color w:val="000000"/>
                <w:spacing w:val="-5"/>
                <w:kern w:val="0"/>
                <w:sz w:val="21"/>
                <w:szCs w:val="21"/>
                <w:highlight w:val="yellow"/>
              </w:rPr>
              <w:t>60</w:t>
            </w:r>
            <w:r>
              <w:rPr>
                <w:rFonts w:hint="default" w:cs="Times New Roman"/>
                <w:color w:val="000000"/>
                <w:spacing w:val="-5"/>
                <w:kern w:val="0"/>
                <w:sz w:val="21"/>
                <w:szCs w:val="21"/>
                <w:highlight w:val="yellow"/>
                <w:lang w:val="en-US"/>
              </w:rPr>
              <w:t xml:space="preserve"> </w:t>
            </w:r>
            <w:r>
              <w:rPr>
                <w:rFonts w:hint="default" w:ascii="Times New Roman" w:hAnsi="Times New Roman" w:cs="Times New Roman"/>
                <w:color w:val="000000"/>
                <w:spacing w:val="-5"/>
                <w:kern w:val="0"/>
                <w:sz w:val="21"/>
                <w:szCs w:val="21"/>
                <w:highlight w:val="yellow"/>
              </w:rPr>
              <w:t>℃</w:t>
            </w:r>
            <w:r>
              <w:rPr>
                <w:rFonts w:hint="eastAsia" w:eastAsia="宋体" w:cs="Times New Roman"/>
                <w:color w:val="000000"/>
                <w:spacing w:val="-5"/>
                <w:kern w:val="0"/>
                <w:sz w:val="21"/>
                <w:szCs w:val="21"/>
                <w:highlight w:val="yellow"/>
                <w:lang w:eastAsia="zh-CN"/>
              </w:rPr>
              <w:t>，</w:t>
            </w:r>
            <w:r>
              <w:rPr>
                <w:rFonts w:hint="default" w:ascii="Times New Roman" w:hAnsi="Times New Roman" w:cs="Times New Roman"/>
                <w:color w:val="000000"/>
                <w:spacing w:val="-5"/>
                <w:kern w:val="0"/>
                <w:sz w:val="21"/>
                <w:szCs w:val="21"/>
                <w:highlight w:val="yellow"/>
              </w:rPr>
              <w:t>1</w:t>
            </w:r>
            <w:r>
              <w:rPr>
                <w:rFonts w:hint="default" w:cs="Times New Roman"/>
                <w:color w:val="000000"/>
                <w:spacing w:val="-5"/>
                <w:kern w:val="0"/>
                <w:sz w:val="21"/>
                <w:szCs w:val="21"/>
                <w:highlight w:val="yellow"/>
                <w:lang w:val="en-US"/>
              </w:rPr>
              <w:t xml:space="preserve"> </w:t>
            </w:r>
            <w:r>
              <w:rPr>
                <w:rFonts w:hint="default" w:ascii="Times New Roman" w:hAnsi="Times New Roman" w:cs="Times New Roman"/>
                <w:color w:val="000000"/>
                <w:spacing w:val="-5"/>
                <w:kern w:val="0"/>
                <w:sz w:val="21"/>
                <w:szCs w:val="21"/>
                <w:highlight w:val="yellow"/>
              </w:rPr>
              <w:t>min</w:t>
            </w:r>
          </w:p>
        </w:tc>
      </w:tr>
      <w:tr w14:paraId="4D38270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PrEx>
        <w:tc>
          <w:tcPr>
            <w:tcW w:w="4318" w:type="dxa"/>
            <w:vMerge w:val="continue"/>
            <w:tcBorders>
              <w:tl2br w:val="nil"/>
              <w:tr2bl w:val="nil"/>
            </w:tcBorders>
          </w:tcPr>
          <w:p w14:paraId="3130C1D2">
            <w:pPr>
              <w:keepNext w:val="0"/>
              <w:keepLines w:val="0"/>
              <w:pageBreakBefore w:val="0"/>
              <w:widowControl/>
              <w:kinsoku/>
              <w:wordWrap/>
              <w:overflowPunct w:val="0"/>
              <w:topLinePunct w:val="0"/>
              <w:autoSpaceDE w:val="0"/>
              <w:autoSpaceDN w:val="0"/>
              <w:bidi w:val="0"/>
              <w:adjustRightInd w:val="0"/>
              <w:snapToGrid w:val="0"/>
              <w:spacing w:before="3" w:line="360" w:lineRule="auto"/>
              <w:jc w:val="center"/>
              <w:textAlignment w:val="baseline"/>
              <w:rPr>
                <w:rFonts w:ascii="Times New Roman" w:hAnsi="Times New Roman" w:eastAsia="宋体" w:cs="宋体"/>
                <w:spacing w:val="-4"/>
                <w:sz w:val="21"/>
                <w:szCs w:val="21"/>
                <w:highlight w:val="yellow"/>
                <w:vertAlign w:val="baseline"/>
              </w:rPr>
            </w:pPr>
          </w:p>
        </w:tc>
        <w:tc>
          <w:tcPr>
            <w:tcW w:w="4096" w:type="dxa"/>
            <w:tcBorders>
              <w:tl2br w:val="nil"/>
              <w:tr2bl w:val="nil"/>
            </w:tcBorders>
            <w:vAlign w:val="top"/>
          </w:tcPr>
          <w:p w14:paraId="0063CC8B">
            <w:pPr>
              <w:pStyle w:val="11"/>
              <w:keepNext w:val="0"/>
              <w:keepLines w:val="0"/>
              <w:widowControl/>
              <w:suppressLineNumbers w:val="0"/>
              <w:spacing w:line="360" w:lineRule="auto"/>
              <w:jc w:val="center"/>
              <w:rPr>
                <w:rFonts w:hint="default" w:ascii="Times New Roman" w:hAnsi="Times New Roman" w:cs="Times New Roman"/>
                <w:color w:val="000000"/>
                <w:spacing w:val="-5"/>
                <w:kern w:val="0"/>
                <w:sz w:val="21"/>
                <w:szCs w:val="21"/>
                <w:highlight w:val="yellow"/>
              </w:rPr>
            </w:pPr>
            <w:r>
              <w:rPr>
                <w:rFonts w:hint="default" w:ascii="Times New Roman" w:hAnsi="Times New Roman" w:cs="Times New Roman"/>
                <w:color w:val="000000"/>
                <w:spacing w:val="-6"/>
                <w:kern w:val="0"/>
                <w:sz w:val="21"/>
                <w:szCs w:val="21"/>
                <w:highlight w:val="yellow"/>
              </w:rPr>
              <w:t>95</w:t>
            </w:r>
            <w:r>
              <w:rPr>
                <w:rFonts w:hint="default" w:cs="Times New Roman"/>
                <w:color w:val="000000"/>
                <w:spacing w:val="-6"/>
                <w:kern w:val="0"/>
                <w:sz w:val="21"/>
                <w:szCs w:val="21"/>
                <w:highlight w:val="yellow"/>
                <w:lang w:val="en-US"/>
              </w:rPr>
              <w:t xml:space="preserve"> </w:t>
            </w:r>
            <w:r>
              <w:rPr>
                <w:rFonts w:hint="default" w:ascii="Times New Roman" w:hAnsi="Times New Roman" w:cs="Times New Roman"/>
                <w:color w:val="000000"/>
                <w:spacing w:val="-6"/>
                <w:kern w:val="0"/>
                <w:sz w:val="21"/>
                <w:szCs w:val="21"/>
                <w:highlight w:val="yellow"/>
              </w:rPr>
              <w:t>℃</w:t>
            </w:r>
            <w:r>
              <w:rPr>
                <w:rFonts w:hint="eastAsia" w:eastAsia="宋体" w:cs="Times New Roman"/>
                <w:color w:val="000000"/>
                <w:spacing w:val="-6"/>
                <w:kern w:val="0"/>
                <w:sz w:val="21"/>
                <w:szCs w:val="21"/>
                <w:highlight w:val="yellow"/>
                <w:lang w:eastAsia="zh-CN"/>
              </w:rPr>
              <w:t>，</w:t>
            </w:r>
            <w:r>
              <w:rPr>
                <w:rFonts w:hint="default" w:ascii="Times New Roman" w:hAnsi="Times New Roman" w:cs="Times New Roman"/>
                <w:color w:val="000000"/>
                <w:spacing w:val="-6"/>
                <w:kern w:val="0"/>
                <w:sz w:val="21"/>
                <w:szCs w:val="21"/>
                <w:highlight w:val="yellow"/>
              </w:rPr>
              <w:t>15</w:t>
            </w:r>
            <w:r>
              <w:rPr>
                <w:rFonts w:hint="default" w:cs="Times New Roman"/>
                <w:color w:val="000000"/>
                <w:spacing w:val="-6"/>
                <w:kern w:val="0"/>
                <w:sz w:val="21"/>
                <w:szCs w:val="21"/>
                <w:highlight w:val="yellow"/>
                <w:lang w:val="en-US"/>
              </w:rPr>
              <w:t xml:space="preserve"> </w:t>
            </w:r>
            <w:r>
              <w:rPr>
                <w:rFonts w:hint="default" w:ascii="Times New Roman" w:hAnsi="Times New Roman" w:cs="Times New Roman"/>
                <w:color w:val="000000"/>
                <w:spacing w:val="-6"/>
                <w:kern w:val="0"/>
                <w:sz w:val="21"/>
                <w:szCs w:val="21"/>
                <w:highlight w:val="yellow"/>
              </w:rPr>
              <w:t>s</w:t>
            </w:r>
          </w:p>
        </w:tc>
      </w:tr>
    </w:tbl>
    <w:p w14:paraId="16A50FC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outlineLvl w:val="9"/>
        <w:rPr>
          <w:rFonts w:ascii="Times New Roman" w:hAnsi="Times New Roman" w:eastAsia="宋体" w:cs="Times New Roman"/>
          <w:i w:val="0"/>
          <w:iCs w:val="0"/>
          <w:caps w:val="0"/>
          <w:color w:val="auto"/>
          <w:spacing w:val="0"/>
          <w:sz w:val="24"/>
          <w:szCs w:val="24"/>
        </w:rPr>
      </w:pPr>
    </w:p>
    <w:p w14:paraId="365D61BF">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eastAsia="宋体" w:cs="Times New Roman Bold"/>
          <w:b/>
          <w:bCs/>
          <w:i w:val="0"/>
          <w:iCs w:val="0"/>
          <w:caps w:val="0"/>
          <w:color w:val="auto"/>
          <w:spacing w:val="0"/>
          <w:sz w:val="24"/>
          <w:szCs w:val="24"/>
        </w:rPr>
      </w:pPr>
      <w:r>
        <w:rPr>
          <w:rFonts w:hint="default" w:ascii="Times New Roman Bold" w:hAnsi="Times New Roman Bold" w:eastAsia="宋体" w:cs="Times New Roman Bold"/>
          <w:b/>
          <w:bCs/>
          <w:i w:val="0"/>
          <w:iCs w:val="0"/>
          <w:caps w:val="0"/>
          <w:color w:val="auto"/>
          <w:spacing w:val="0"/>
          <w:sz w:val="24"/>
          <w:szCs w:val="24"/>
        </w:rPr>
        <w:t>Flow cytometry</w:t>
      </w:r>
    </w:p>
    <w:p w14:paraId="2BC12C47">
      <w:pPr>
        <w:keepNext w:val="0"/>
        <w:keepLines w:val="0"/>
        <w:pageBreakBefore w:val="0"/>
        <w:widowControl/>
        <w:suppressLineNumbers w:val="0"/>
        <w:kinsoku/>
        <w:wordWrap/>
        <w:overflowPunct/>
        <w:topLinePunct w:val="0"/>
        <w:autoSpaceDE/>
        <w:autoSpaceDN/>
        <w:bidi w:val="0"/>
        <w:adjustRightInd/>
        <w:snapToGrid/>
        <w:spacing w:line="360" w:lineRule="auto"/>
        <w:ind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For flow cytom</w:t>
      </w:r>
      <w:r>
        <w:rPr>
          <w:rFonts w:hint="eastAsia" w:ascii="Times New Roman" w:hAnsi="Times New Roman" w:cs="Times New Roman"/>
          <w:sz w:val="24"/>
          <w:szCs w:val="24"/>
          <w:lang w:val="en-US" w:eastAsia="zh-CN"/>
        </w:rPr>
        <w:t xml:space="preserve">etry </w:t>
      </w:r>
      <w:r>
        <w:rPr>
          <w:rFonts w:hint="eastAsia" w:ascii="Times New Roman" w:hAnsi="Times New Roman" w:eastAsia="宋体" w:cs="Times New Roman"/>
          <w:i w:val="0"/>
          <w:iCs w:val="0"/>
          <w:caps w:val="0"/>
          <w:color w:val="auto"/>
          <w:spacing w:val="0"/>
          <w:sz w:val="24"/>
          <w:szCs w:val="24"/>
        </w:rPr>
        <w:t xml:space="preserve">analysis, </w:t>
      </w:r>
      <w:r>
        <w:rPr>
          <w:rFonts w:hint="eastAsia" w:eastAsia="宋体" w:cs="Times New Roman"/>
          <w:i w:val="0"/>
          <w:iCs w:val="0"/>
          <w:caps w:val="0"/>
          <w:color w:val="auto"/>
          <w:spacing w:val="0"/>
          <w:sz w:val="24"/>
          <w:szCs w:val="24"/>
          <w:lang w:val="en-US" w:eastAsia="zh-CN"/>
        </w:rPr>
        <w:t xml:space="preserve">THP-1 </w:t>
      </w:r>
      <w:r>
        <w:rPr>
          <w:rFonts w:hint="eastAsia" w:ascii="Times New Roman" w:hAnsi="Times New Roman" w:eastAsia="宋体" w:cs="Times New Roman"/>
          <w:i w:val="0"/>
          <w:iCs w:val="0"/>
          <w:caps w:val="0"/>
          <w:color w:val="auto"/>
          <w:spacing w:val="0"/>
          <w:sz w:val="24"/>
          <w:szCs w:val="24"/>
        </w:rPr>
        <w:t xml:space="preserve">cells were </w:t>
      </w:r>
      <w:r>
        <w:rPr>
          <w:rFonts w:hint="default" w:ascii="Times New Roman" w:hAnsi="Times New Roman" w:cs="Times New Roman"/>
          <w:sz w:val="24"/>
          <w:szCs w:val="24"/>
          <w:lang w:val="en-US" w:eastAsia="zh-CN"/>
        </w:rPr>
        <w:t>collected</w:t>
      </w:r>
      <w:r>
        <w:rPr>
          <w:rFonts w:hint="eastAsia" w:ascii="Times New Roman" w:hAnsi="Times New Roman" w:eastAsia="宋体" w:cs="Times New Roman"/>
          <w:i w:val="0"/>
          <w:iCs w:val="0"/>
          <w:caps w:val="0"/>
          <w:color w:val="auto"/>
          <w:spacing w:val="0"/>
          <w:sz w:val="24"/>
          <w:szCs w:val="24"/>
        </w:rPr>
        <w:t xml:space="preserve"> and thor</w:t>
      </w:r>
      <w:r>
        <w:rPr>
          <w:rFonts w:hint="eastAsia" w:ascii="Times New Roman" w:hAnsi="Times New Roman" w:eastAsia="宋体" w:cs="Times New Roman"/>
          <w:i w:val="0"/>
          <w:iCs w:val="0"/>
          <w:caps w:val="0"/>
          <w:color w:val="auto"/>
          <w:spacing w:val="0"/>
          <w:sz w:val="24"/>
          <w:szCs w:val="24"/>
          <w:highlight w:val="none"/>
        </w:rPr>
        <w:t>oughly washed with PBS three times</w:t>
      </w:r>
      <w:r>
        <w:rPr>
          <w:rFonts w:hint="eastAsia" w:ascii="Times New Roman" w:hAnsi="Times New Roman" w:cs="Times New Roman"/>
          <w:sz w:val="24"/>
          <w:szCs w:val="24"/>
          <w:highlight w:val="none"/>
          <w:lang w:val="en-US" w:eastAsia="zh-CN"/>
        </w:rPr>
        <w:t>. Th</w:t>
      </w:r>
      <w:r>
        <w:rPr>
          <w:rFonts w:hint="default" w:ascii="Times New Roman" w:hAnsi="Times New Roman" w:cs="Times New Roman"/>
          <w:sz w:val="24"/>
          <w:szCs w:val="24"/>
          <w:lang w:val="en-US" w:eastAsia="zh-CN"/>
        </w:rPr>
        <w:t>en the cells were incubated with CD86 (</w:t>
      </w:r>
      <w:r>
        <w:rPr>
          <w:rFonts w:hint="eastAsia" w:ascii="Times New Roman" w:hAnsi="Times New Roman" w:cs="Times New Roman"/>
          <w:sz w:val="24"/>
          <w:szCs w:val="24"/>
          <w:lang w:val="en-US" w:eastAsia="zh-CN"/>
        </w:rPr>
        <w:t xml:space="preserve">eBioscience, </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11-0862-81</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lang w:val="en-US" w:eastAsia="zh-CN"/>
        </w:rPr>
        <w:t>United States) and CD2</w:t>
      </w:r>
      <w:r>
        <w:rPr>
          <w:rFonts w:hint="default" w:ascii="Times New Roman" w:hAnsi="Times New Roman" w:cs="Times New Roman"/>
          <w:sz w:val="24"/>
          <w:szCs w:val="24"/>
          <w:highlight w:val="none"/>
          <w:lang w:val="en-US" w:eastAsia="zh-CN"/>
        </w:rPr>
        <w:t>06 (</w:t>
      </w:r>
      <w:r>
        <w:rPr>
          <w:rFonts w:hint="eastAsia" w:ascii="Times New Roman" w:hAnsi="Times New Roman" w:cs="Times New Roman"/>
          <w:sz w:val="24"/>
          <w:szCs w:val="24"/>
          <w:lang w:val="en-US" w:eastAsia="zh-CN"/>
        </w:rPr>
        <w:t xml:space="preserve">eBioscience, </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highlight w:val="none"/>
          <w:lang w:val="en-US" w:eastAsia="zh-CN"/>
        </w:rPr>
        <w:t>12-2061-80</w:t>
      </w:r>
      <w:r>
        <w:rPr>
          <w:rFonts w:hint="default"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lang w:val="en-US" w:eastAsia="zh-CN"/>
        </w:rPr>
        <w:t>United States</w:t>
      </w:r>
      <w:r>
        <w:rPr>
          <w:rFonts w:hint="default" w:ascii="Times New Roman" w:hAnsi="Times New Roman" w:cs="Times New Roman"/>
          <w:sz w:val="24"/>
          <w:szCs w:val="24"/>
          <w:highlight w:val="none"/>
          <w:lang w:val="en-US" w:eastAsia="zh-CN"/>
        </w:rPr>
        <w:t>) for 3</w:t>
      </w:r>
      <w:r>
        <w:rPr>
          <w:rFonts w:hint="default" w:ascii="Times New Roman" w:hAnsi="Times New Roman" w:cs="Times New Roman"/>
          <w:sz w:val="24"/>
          <w:szCs w:val="24"/>
          <w:lang w:val="en-US" w:eastAsia="zh-CN"/>
        </w:rPr>
        <w:t>0 min. Subsequently, the cells were rinsed with PBS and then analyzed by a flow cytometer (BD FACSCalibur,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 xml:space="preserve">United States). </w:t>
      </w:r>
      <w:r>
        <w:rPr>
          <w:rFonts w:ascii="Times New Roman" w:hAnsi="Times New Roman" w:eastAsia="宋体" w:cs="Times New Roman"/>
          <w:i w:val="0"/>
          <w:iCs w:val="0"/>
          <w:caps w:val="0"/>
          <w:color w:val="auto"/>
          <w:spacing w:val="0"/>
          <w:sz w:val="24"/>
          <w:szCs w:val="24"/>
        </w:rPr>
        <w:t>FlowJo v10 software was employed for the analysis of the data</w:t>
      </w:r>
      <w:r>
        <w:rPr>
          <w:rFonts w:hint="default" w:ascii="Times New Roman" w:hAnsi="Times New Roman" w:cs="Times New Roman"/>
          <w:sz w:val="24"/>
          <w:szCs w:val="24"/>
          <w:lang w:val="en-US" w:eastAsia="zh-CN"/>
        </w:rPr>
        <w:t>.</w:t>
      </w:r>
    </w:p>
    <w:p w14:paraId="0EA7AF8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Mitochondrial separation</w:t>
      </w:r>
    </w:p>
    <w:p w14:paraId="327D42F0">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Centrifuge the cells at 1000 rpm for 5 minutes at room temperature, and then remove the cell pellet and resuspend it in pre-cooled PBS. Take a small amount of cells for cell counting. The remaining cells are centrifuged at 4°C at 1000 rpm for 5 minutes, the supernatant is discarded, and the mitochondrial isolation reagent is added to the cell pellet according to the cell counting results (1.5 mL per 3×10</w:t>
      </w:r>
      <w:r>
        <w:rPr>
          <w:rFonts w:hint="default" w:ascii="Times New Roman" w:hAnsi="Times New Roman" w:cs="Times New Roman"/>
          <w:sz w:val="24"/>
          <w:szCs w:val="24"/>
          <w:vertAlign w:val="superscript"/>
          <w:lang w:val="en-US" w:eastAsia="zh-CN"/>
        </w:rPr>
        <w:t>7</w:t>
      </w:r>
      <w:r>
        <w:rPr>
          <w:rFonts w:hint="default" w:ascii="Times New Roman" w:hAnsi="Times New Roman" w:cs="Times New Roman"/>
          <w:sz w:val="24"/>
          <w:szCs w:val="24"/>
          <w:lang w:val="en-US" w:eastAsia="zh-CN"/>
        </w:rPr>
        <w:t xml:space="preserve"> cells) and incubated at 4°C</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or 15 minutes. Homogenize the cell suspension with a homogenizer for 10-30 times; centrifuge at 4°C at 1000 rpm for 10 minutes, and transfer the supernatant to another centrifuge tube; centrifuge at 4°C at 1000 rpm for 10 minutes to remove the supernatant, and resuspend the precipitate with mitochondrial storage solution to obtain M2 macrophage-derived mitochondria.</w:t>
      </w:r>
    </w:p>
    <w:p w14:paraId="3E707EC9">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Mito‑Tracker Red</w:t>
      </w:r>
      <w:r>
        <w:rPr>
          <w:rFonts w:hint="eastAsia" w:ascii="Times New Roman Bold" w:hAnsi="Times New Roman Bold" w:cs="Times New Roman Bold"/>
          <w:b/>
          <w:bCs/>
          <w:sz w:val="24"/>
          <w:szCs w:val="24"/>
          <w:lang w:val="en-US" w:eastAsia="zh-CN"/>
        </w:rPr>
        <w:t xml:space="preserve"> staining</w:t>
      </w:r>
    </w:p>
    <w:p w14:paraId="63363C2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Add 30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μg/ml mitochondria 500μL to EP tubes, then add 5</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μL (10μM) of Mito-Tracker Red fluorescent staining working solution and mix well. Incubate at 37℃ in a culture incubator for 20 minutes. Then, centrifuge at 3000g at 4°C  for 15 minutes. Discard the supernatant, PBS wash twice, and centrifuge at 12000g at 4°C  for 15 minutes. Suspend the mitochondria in 500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μL of precooled PBS and transfer them to a confocal dish. Observe the fluorescence intensity under a fluorescence microscope to determine the degree of mitochondrial activity.</w:t>
      </w:r>
    </w:p>
    <w:p w14:paraId="63EF1E75">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Western bolt</w:t>
      </w:r>
    </w:p>
    <w:p w14:paraId="7936830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In Western blotting, cellular lysis was performed using RIPA lysis buffer</w:t>
      </w:r>
      <w:r>
        <w:rPr>
          <w:rFonts w:hint="default" w:cs="Times New Roman"/>
          <w:sz w:val="24"/>
          <w:szCs w:val="24"/>
          <w:lang w:val="en-US" w:eastAsia="zh-CN"/>
        </w:rPr>
        <w:t xml:space="preserve"> (</w:t>
      </w:r>
      <w:r>
        <w:rPr>
          <w:rFonts w:hint="default" w:ascii="Times New Roman" w:hAnsi="Times New Roman" w:cs="Times New Roman"/>
          <w:sz w:val="24"/>
          <w:szCs w:val="24"/>
          <w:lang w:val="en-US" w:eastAsia="zh-CN"/>
        </w:rPr>
        <w:t xml:space="preserve">Beyotime Institute of Biotechnology) for protein extraction. The proteins were </w:t>
      </w:r>
      <w:r>
        <w:rPr>
          <w:rFonts w:hint="eastAsia" w:ascii="Times New Roman" w:hAnsi="Times New Roman" w:cs="Times New Roman"/>
          <w:sz w:val="24"/>
          <w:szCs w:val="24"/>
          <w:lang w:val="en-US" w:eastAsia="zh-CN"/>
        </w:rPr>
        <w:t>isol</w:t>
      </w:r>
      <w:r>
        <w:rPr>
          <w:rFonts w:hint="default" w:ascii="Times New Roman" w:hAnsi="Times New Roman" w:cs="Times New Roman"/>
          <w:sz w:val="24"/>
          <w:szCs w:val="24"/>
          <w:lang w:val="en-US" w:eastAsia="zh-CN"/>
        </w:rPr>
        <w:t xml:space="preserve">ated by sodium, dodecyl sulfate (SDS)-polyacrylamide gel electrophoresis (SDS-PAGE) and then transferred onto </w:t>
      </w:r>
      <w:r>
        <w:rPr>
          <w:rFonts w:hint="default" w:ascii="Times New Roman" w:hAnsi="Times New Roman" w:eastAsia="CharisSIL" w:cs="Times New Roman"/>
          <w:color w:val="000000"/>
          <w:kern w:val="0"/>
          <w:sz w:val="24"/>
          <w:szCs w:val="24"/>
          <w:lang w:val="en-US" w:eastAsia="zh-CN" w:bidi="ar"/>
        </w:rPr>
        <w:t>polyacrylamide fluoride</w:t>
      </w:r>
      <w:r>
        <w:rPr>
          <w:rFonts w:hint="eastAsia" w:ascii="Times New Roman" w:hAnsi="Times New Roman" w:eastAsia="CharisSIL" w:cs="Times New Roman"/>
          <w:color w:val="000000"/>
          <w:kern w:val="0"/>
          <w:sz w:val="24"/>
          <w:szCs w:val="24"/>
          <w:lang w:val="en-US" w:eastAsia="zh-CN" w:bidi="ar"/>
        </w:rPr>
        <w:t xml:space="preserve"> (</w:t>
      </w:r>
      <w:r>
        <w:rPr>
          <w:rFonts w:hint="default" w:ascii="Times New Roman" w:hAnsi="Times New Roman" w:cs="Times New Roman"/>
          <w:sz w:val="24"/>
          <w:szCs w:val="24"/>
          <w:lang w:val="en-US" w:eastAsia="zh-CN"/>
        </w:rPr>
        <w:t>PVDF</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lang w:val="en-US" w:eastAsia="zh-CN"/>
        </w:rPr>
        <w:t xml:space="preserve"> membranes </w:t>
      </w:r>
      <w:r>
        <w:rPr>
          <w:rFonts w:hint="default" w:ascii="Times New Roman" w:hAnsi="Times New Roman" w:cs="Times New Roman"/>
          <w:sz w:val="24"/>
          <w:szCs w:val="24"/>
          <w:highlight w:val="none"/>
          <w:lang w:val="en-US" w:eastAsia="zh-CN"/>
        </w:rPr>
        <w:t>(Millipore, Bedford, MA, USA).</w:t>
      </w:r>
      <w:r>
        <w:rPr>
          <w:rFonts w:hint="default" w:ascii="Times New Roman" w:hAnsi="Times New Roman" w:cs="Times New Roman"/>
          <w:sz w:val="24"/>
          <w:szCs w:val="24"/>
          <w:lang w:val="en-US" w:eastAsia="zh-CN"/>
        </w:rPr>
        <w:t xml:space="preserve"> The membranes were blocked </w:t>
      </w:r>
      <w:r>
        <w:rPr>
          <w:rFonts w:hint="eastAsia" w:ascii="Times New Roman" w:hAnsi="Times New Roman" w:cs="Times New Roman"/>
          <w:sz w:val="24"/>
          <w:szCs w:val="24"/>
          <w:lang w:val="en-US" w:eastAsia="zh-CN"/>
        </w:rPr>
        <w:t>with</w:t>
      </w:r>
      <w:r>
        <w:rPr>
          <w:rFonts w:hint="default" w:ascii="Times New Roman" w:hAnsi="Times New Roman" w:cs="Times New Roman"/>
          <w:sz w:val="24"/>
          <w:szCs w:val="24"/>
          <w:lang w:val="en-US" w:eastAsia="zh-CN"/>
        </w:rPr>
        <w:t xml:space="preserve"> 5% skim milk solution dissolved in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BST (</w:t>
      </w:r>
      <w:r>
        <w:rPr>
          <w:rFonts w:hint="eastAsia" w:ascii="Times New Roman" w:hAnsi="Times New Roman" w:cs="Times New Roman"/>
          <w:sz w:val="24"/>
          <w:szCs w:val="24"/>
          <w:lang w:val="en-US" w:eastAsia="zh-CN"/>
        </w:rPr>
        <w:t>T</w:t>
      </w:r>
      <w:r>
        <w:rPr>
          <w:rFonts w:hint="default" w:ascii="Times New Roman" w:hAnsi="Times New Roman" w:cs="Times New Roman"/>
          <w:sz w:val="24"/>
          <w:szCs w:val="24"/>
          <w:lang w:val="en-US" w:eastAsia="zh-CN"/>
        </w:rPr>
        <w:t xml:space="preserve">BS with 0.1% Tween) for </w:t>
      </w:r>
      <w:r>
        <w:rPr>
          <w:rFonts w:hint="eastAsia" w:cs="Times New Roman"/>
          <w:sz w:val="24"/>
          <w:szCs w:val="24"/>
          <w:lang w:val="en-US" w:eastAsia="zh-CN"/>
        </w:rPr>
        <w:t>2 hours,</w:t>
      </w:r>
      <w:r>
        <w:rPr>
          <w:rFonts w:hint="default" w:ascii="Times New Roman" w:hAnsi="Times New Roman" w:cs="Times New Roman"/>
          <w:sz w:val="24"/>
          <w:szCs w:val="24"/>
          <w:lang w:val="en-US" w:eastAsia="zh-CN"/>
        </w:rPr>
        <w:t xml:space="preserve"> then primary antibod</w:t>
      </w:r>
      <w:r>
        <w:rPr>
          <w:rFonts w:hint="eastAsia" w:ascii="Times New Roman" w:hAnsi="Times New Roman" w:cs="Times New Roman"/>
          <w:sz w:val="24"/>
          <w:szCs w:val="24"/>
          <w:lang w:val="en-US" w:eastAsia="zh-CN"/>
        </w:rPr>
        <w:t>ies</w:t>
      </w:r>
      <w:r>
        <w:rPr>
          <w:rFonts w:hint="default" w:ascii="Times New Roman" w:hAnsi="Times New Roman" w:cs="Times New Roman"/>
          <w:sz w:val="24"/>
          <w:szCs w:val="24"/>
          <w:lang w:val="en-US" w:eastAsia="zh-CN"/>
        </w:rPr>
        <w:t xml:space="preserve"> diluted with </w:t>
      </w:r>
      <w:r>
        <w:rPr>
          <w:rFonts w:hint="eastAsia" w:ascii="Times New Roman" w:hAnsi="Times New Roman" w:cs="Times New Roman"/>
          <w:sz w:val="24"/>
          <w:szCs w:val="24"/>
          <w:lang w:val="en-US" w:eastAsia="zh-CN"/>
        </w:rPr>
        <w:t>u</w:t>
      </w:r>
      <w:r>
        <w:rPr>
          <w:rFonts w:hint="default" w:ascii="Times New Roman" w:hAnsi="Times New Roman" w:cs="Times New Roman"/>
          <w:sz w:val="24"/>
          <w:szCs w:val="24"/>
          <w:lang w:val="en-US" w:eastAsia="zh-CN"/>
        </w:rPr>
        <w:t xml:space="preserve">niversal </w:t>
      </w:r>
      <w:r>
        <w:rPr>
          <w:rFonts w:hint="eastAsia" w:ascii="Times New Roman" w:hAnsi="Times New Roman" w:cs="Times New Roman"/>
          <w:sz w:val="24"/>
          <w:szCs w:val="24"/>
          <w:lang w:val="en-US" w:eastAsia="zh-CN"/>
        </w:rPr>
        <w:t>a</w:t>
      </w:r>
      <w:r>
        <w:rPr>
          <w:rFonts w:hint="default" w:ascii="Times New Roman" w:hAnsi="Times New Roman" w:cs="Times New Roman"/>
          <w:sz w:val="24"/>
          <w:szCs w:val="24"/>
          <w:lang w:val="en-US" w:eastAsia="zh-CN"/>
        </w:rPr>
        <w:t xml:space="preserve">ntibody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lang w:val="en-US" w:eastAsia="zh-CN"/>
        </w:rPr>
        <w:t>iluent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NCM Biotech</w:t>
      </w:r>
      <w:r>
        <w:rPr>
          <w:rFonts w:hint="eastAsia" w:ascii="Times New Roman" w:hAnsi="Times New Roman" w:cs="Times New Roman"/>
          <w:sz w:val="24"/>
          <w:szCs w:val="24"/>
          <w:lang w:val="en-US" w:eastAsia="zh-CN"/>
        </w:rPr>
        <w:t xml:space="preserve">, China) </w:t>
      </w:r>
      <w:r>
        <w:rPr>
          <w:rFonts w:hint="default" w:ascii="Times New Roman" w:hAnsi="Times New Roman" w:cs="Times New Roman"/>
          <w:sz w:val="24"/>
          <w:szCs w:val="24"/>
          <w:lang w:val="en-US" w:eastAsia="zh-CN"/>
        </w:rPr>
        <w:t>was incubated at 4°C overnight. The primary antibodies used are ALP (Abcam, #ab229126, dilution ratio: 1:1000), R</w:t>
      </w:r>
      <w:r>
        <w:rPr>
          <w:rFonts w:hint="default" w:cs="Times New Roman"/>
          <w:sz w:val="24"/>
          <w:szCs w:val="24"/>
          <w:lang w:val="en-US" w:eastAsia="zh-CN"/>
        </w:rPr>
        <w:t>UNX</w:t>
      </w:r>
      <w:r>
        <w:rPr>
          <w:rFonts w:hint="default" w:ascii="Times New Roman" w:hAnsi="Times New Roman" w:cs="Times New Roman"/>
          <w:sz w:val="24"/>
          <w:szCs w:val="24"/>
          <w:lang w:val="en-US" w:eastAsia="zh-CN"/>
        </w:rPr>
        <w:t>2 (Cell Signaling Technology, #12556, Rabbit mAb, dilution ratio: 1:1000), OCN (Abcam, #ab133612, dilution ratio: 1:500)</w:t>
      </w:r>
      <w:r>
        <w:rPr>
          <w:rFonts w:hint="eastAsia" w:ascii="Times New Roman" w:hAnsi="Times New Roman" w:cs="Times New Roman"/>
          <w:sz w:val="24"/>
          <w:szCs w:val="24"/>
          <w:lang w:val="en-US" w:eastAsia="zh-CN"/>
        </w:rPr>
        <w:t xml:space="preserve"> respectively</w:t>
      </w:r>
      <w:r>
        <w:rPr>
          <w:rFonts w:hint="default" w:ascii="Times New Roman" w:hAnsi="Times New Roman" w:cs="Times New Roman"/>
          <w:sz w:val="24"/>
          <w:szCs w:val="24"/>
          <w:lang w:val="en-US" w:eastAsia="zh-CN"/>
        </w:rPr>
        <w:t>. GAPDH (</w:t>
      </w:r>
      <w:r>
        <w:rPr>
          <w:rFonts w:hint="eastAsia" w:ascii="Times New Roman" w:hAnsi="Times New Roman" w:cs="Times New Roman"/>
          <w:sz w:val="24"/>
          <w:szCs w:val="24"/>
          <w:lang w:val="en-US" w:eastAsia="zh-CN"/>
        </w:rPr>
        <w:t xml:space="preserve">Abcam, </w:t>
      </w:r>
      <w:r>
        <w:rPr>
          <w:rFonts w:hint="default" w:ascii="Times New Roman" w:hAnsi="Times New Roman" w:cs="Times New Roman"/>
          <w:sz w:val="24"/>
          <w:szCs w:val="24"/>
          <w:highlight w:val="none"/>
          <w:lang w:val="en-US" w:eastAsia="zh-CN"/>
        </w:rPr>
        <w:t>#</w:t>
      </w:r>
      <w:r>
        <w:rPr>
          <w:rFonts w:hint="eastAsia" w:ascii="Times New Roman" w:hAnsi="Times New Roman" w:cs="Times New Roman"/>
          <w:sz w:val="24"/>
          <w:szCs w:val="24"/>
          <w:lang w:val="en-US" w:eastAsia="zh-CN"/>
        </w:rPr>
        <w:t>ab8245</w:t>
      </w:r>
      <w:r>
        <w:rPr>
          <w:rFonts w:hint="default" w:ascii="Times New Roman" w:hAnsi="Times New Roman" w:cs="Times New Roman"/>
          <w:sz w:val="24"/>
          <w:szCs w:val="24"/>
          <w:lang w:val="en-US" w:eastAsia="zh-CN"/>
        </w:rPr>
        <w:t>, dilution ratio: 1:10000) was used as internal control. After washing with TBST for three times,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the membranes were incubated with secondary antibodies</w:t>
      </w:r>
      <w:r>
        <w:rPr>
          <w:rFonts w:hint="eastAsia" w:ascii="Times New Roman" w:hAnsi="Times New Roman" w:cs="Times New Roman"/>
          <w:sz w:val="24"/>
          <w:szCs w:val="24"/>
          <w:lang w:val="en-US" w:eastAsia="zh-CN"/>
        </w:rPr>
        <w:t xml:space="preserve"> (Proteintech, </w:t>
      </w:r>
      <w:r>
        <w:rPr>
          <w:rFonts w:hint="default" w:ascii="Times New Roman" w:hAnsi="Times New Roman" w:cs="Times New Roman"/>
          <w:sz w:val="24"/>
          <w:szCs w:val="24"/>
          <w:lang w:val="en-US" w:eastAsia="zh-CN"/>
        </w:rPr>
        <w:t>United States</w:t>
      </w:r>
      <w:r>
        <w:rPr>
          <w:rFonts w:hint="eastAsia" w:ascii="Times New Roman" w:hAnsi="Times New Roman" w:cs="Times New Roman"/>
          <w:sz w:val="24"/>
          <w:szCs w:val="24"/>
          <w:lang w:val="en-US" w:eastAsia="zh-CN"/>
        </w:rPr>
        <w:t>,</w:t>
      </w:r>
      <w:r>
        <w:rPr>
          <w:rFonts w:hint="eastAsia" w:ascii="Times New Roman" w:hAnsi="Times New Roman" w:cs="Times New Roman"/>
          <w:sz w:val="24"/>
          <w:szCs w:val="24"/>
          <w:highlight w:val="none"/>
          <w:lang w:val="en-US" w:eastAsia="zh-CN"/>
        </w:rPr>
        <w:t xml:space="preserve"> </w:t>
      </w:r>
      <w:r>
        <w:rPr>
          <w:rFonts w:hint="default" w:ascii="Times New Roman" w:hAnsi="Times New Roman" w:cs="Times New Roman"/>
          <w:sz w:val="24"/>
          <w:szCs w:val="24"/>
          <w:highlight w:val="none"/>
          <w:lang w:val="en-US" w:eastAsia="zh-CN"/>
        </w:rPr>
        <w:t>dilution ratio: 1:</w:t>
      </w:r>
      <w:r>
        <w:rPr>
          <w:rFonts w:hint="eastAsia" w:ascii="Times New Roman" w:hAnsi="Times New Roman" w:cs="Times New Roman"/>
          <w:sz w:val="24"/>
          <w:szCs w:val="24"/>
          <w:highlight w:val="none"/>
          <w:lang w:val="en-US" w:eastAsia="zh-CN"/>
        </w:rPr>
        <w:t>8</w:t>
      </w:r>
      <w:r>
        <w:rPr>
          <w:rFonts w:hint="default" w:ascii="Times New Roman" w:hAnsi="Times New Roman" w:cs="Times New Roman"/>
          <w:sz w:val="24"/>
          <w:szCs w:val="24"/>
          <w:highlight w:val="none"/>
          <w:lang w:val="en-US" w:eastAsia="zh-CN"/>
        </w:rPr>
        <w:t>000</w:t>
      </w:r>
      <w:r>
        <w:rPr>
          <w:rFonts w:hint="eastAsia" w:ascii="Times New Roman" w:hAnsi="Times New Roman" w:cs="Times New Roman"/>
          <w:sz w:val="24"/>
          <w:szCs w:val="24"/>
          <w:highlight w:val="none"/>
          <w:lang w:val="en-US" w:eastAsia="zh-CN"/>
        </w:rPr>
        <w:t>)</w:t>
      </w:r>
      <w:r>
        <w:rPr>
          <w:rFonts w:hint="default" w:ascii="Times New Roman" w:hAnsi="Times New Roman" w:cs="Times New Roman"/>
          <w:sz w:val="24"/>
          <w:szCs w:val="24"/>
          <w:lang w:val="en-US" w:eastAsia="zh-CN"/>
        </w:rPr>
        <w:t xml:space="preserve"> for another 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h. Then the target protein bands were detected through a chemiluminescent reagent (</w:t>
      </w:r>
      <w:r>
        <w:rPr>
          <w:rFonts w:hint="eastAsia" w:ascii="Times New Roman" w:hAnsi="Times New Roman" w:cs="Times New Roman"/>
          <w:sz w:val="24"/>
          <w:szCs w:val="24"/>
          <w:lang w:val="en-US" w:eastAsia="zh-CN"/>
        </w:rPr>
        <w:t>V</w:t>
      </w:r>
      <w:r>
        <w:rPr>
          <w:rFonts w:hint="default" w:ascii="Times New Roman" w:hAnsi="Times New Roman" w:cs="Times New Roman"/>
          <w:sz w:val="24"/>
          <w:szCs w:val="24"/>
          <w:lang w:val="en-US" w:eastAsia="zh-CN"/>
        </w:rPr>
        <w:t>azyme</w:t>
      </w:r>
      <w:r>
        <w:rPr>
          <w:rFonts w:hint="eastAsia" w:ascii="Times New Roman" w:hAnsi="Times New Roman" w:cs="Times New Roman"/>
          <w:sz w:val="24"/>
          <w:szCs w:val="24"/>
          <w:lang w:val="en-US" w:eastAsia="zh-CN"/>
        </w:rPr>
        <w:t>, China</w:t>
      </w:r>
      <w:r>
        <w:rPr>
          <w:rFonts w:hint="default" w:ascii="Times New Roman" w:hAnsi="Times New Roman" w:cs="Times New Roman"/>
          <w:sz w:val="24"/>
          <w:szCs w:val="24"/>
          <w:lang w:val="en-US" w:eastAsia="zh-CN"/>
        </w:rPr>
        <w:t>) and imaging system (</w:t>
      </w:r>
      <w:r>
        <w:rPr>
          <w:rFonts w:hint="eastAsia" w:ascii="Times New Roman" w:hAnsi="Times New Roman" w:cs="Times New Roman"/>
          <w:sz w:val="24"/>
          <w:szCs w:val="24"/>
          <w:lang w:val="en-US" w:eastAsia="zh-CN"/>
        </w:rPr>
        <w:t>Tanon</w:t>
      </w:r>
      <w:r>
        <w:rPr>
          <w:rFonts w:hint="default" w:ascii="Times New Roman" w:hAnsi="Times New Roman" w:cs="Times New Roman"/>
          <w:sz w:val="24"/>
          <w:szCs w:val="24"/>
          <w:lang w:val="en-US" w:eastAsia="zh-CN"/>
        </w:rPr>
        <w:t xml:space="preserve">, </w:t>
      </w:r>
      <w:r>
        <w:rPr>
          <w:rFonts w:hint="eastAsia" w:ascii="Times New Roman" w:hAnsi="Times New Roman" w:cs="Times New Roman"/>
          <w:sz w:val="24"/>
          <w:szCs w:val="24"/>
          <w:lang w:val="en-US" w:eastAsia="zh-CN"/>
        </w:rPr>
        <w:t>China</w:t>
      </w:r>
      <w:r>
        <w:rPr>
          <w:rFonts w:hint="default" w:ascii="Times New Roman" w:hAnsi="Times New Roman" w:cs="Times New Roman"/>
          <w:sz w:val="24"/>
          <w:szCs w:val="24"/>
          <w:lang w:val="en-US" w:eastAsia="zh-CN"/>
        </w:rPr>
        <w:t>).</w:t>
      </w:r>
    </w:p>
    <w:p w14:paraId="74B347F6">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The following are antibodies related to MAPK signaling pathways:</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p</w:t>
      </w:r>
      <w:r>
        <w:rPr>
          <w:rFonts w:hint="eastAsia" w:cs="Times New Roman"/>
          <w:sz w:val="24"/>
          <w:szCs w:val="24"/>
          <w:lang w:val="en-US" w:eastAsia="zh-CN"/>
        </w:rPr>
        <w:t xml:space="preserve">38 </w:t>
      </w:r>
      <w:r>
        <w:rPr>
          <w:rFonts w:hint="default" w:ascii="Times New Roman" w:hAnsi="Times New Roman" w:cs="Times New Roman"/>
          <w:sz w:val="24"/>
          <w:szCs w:val="24"/>
          <w:lang w:val="en-US" w:eastAsia="zh-CN"/>
        </w:rPr>
        <w:t>(</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ab182453</w:t>
      </w:r>
      <w:r>
        <w:rPr>
          <w:rFonts w:hint="default" w:ascii="Times New Roman" w:hAnsi="Times New Roman" w:cs="Times New Roman"/>
          <w:sz w:val="24"/>
          <w:szCs w:val="24"/>
          <w:lang w:val="en-US" w:eastAsia="zh-CN"/>
        </w:rPr>
        <w:t>, dilution ratio: 1:</w:t>
      </w:r>
      <w:r>
        <w:rPr>
          <w:rFonts w:hint="default" w:cs="Times New Roman"/>
          <w:sz w:val="24"/>
          <w:szCs w:val="24"/>
          <w:lang w:val="en-US" w:eastAsia="zh-CN"/>
        </w:rPr>
        <w:t>1</w:t>
      </w:r>
      <w:r>
        <w:rPr>
          <w:rFonts w:hint="default" w:ascii="Times New Roman" w:hAnsi="Times New Roman" w:cs="Times New Roman"/>
          <w:sz w:val="24"/>
          <w:szCs w:val="24"/>
          <w:lang w:val="en-US" w:eastAsia="zh-CN"/>
        </w:rPr>
        <w:t xml:space="preserve">000), </w:t>
      </w:r>
      <w:r>
        <w:rPr>
          <w:rFonts w:hint="eastAsia" w:cs="Times New Roman"/>
          <w:sz w:val="24"/>
          <w:szCs w:val="24"/>
          <w:lang w:val="en-US" w:eastAsia="zh-CN"/>
        </w:rPr>
        <w:t>p-p38</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ab178867</w:t>
      </w:r>
      <w:r>
        <w:rPr>
          <w:rFonts w:hint="default" w:ascii="Times New Roman" w:hAnsi="Times New Roman" w:cs="Times New Roman"/>
          <w:sz w:val="24"/>
          <w:szCs w:val="24"/>
          <w:lang w:val="en-US" w:eastAsia="zh-CN"/>
        </w:rPr>
        <w:t>, dilution ratio: 1:</w:t>
      </w:r>
      <w:r>
        <w:rPr>
          <w:rFonts w:hint="default" w:cs="Times New Roman"/>
          <w:sz w:val="24"/>
          <w:szCs w:val="24"/>
          <w:lang w:val="en-US" w:eastAsia="zh-CN"/>
        </w:rPr>
        <w:t>10</w:t>
      </w:r>
      <w:r>
        <w:rPr>
          <w:rFonts w:hint="default" w:ascii="Times New Roman" w:hAnsi="Times New Roman" w:cs="Times New Roman"/>
          <w:sz w:val="24"/>
          <w:szCs w:val="24"/>
          <w:lang w:val="en-US" w:eastAsia="zh-CN"/>
        </w:rPr>
        <w:t xml:space="preserve">00), </w:t>
      </w:r>
      <w:r>
        <w:rPr>
          <w:rFonts w:hint="eastAsia" w:cs="Times New Roman"/>
          <w:sz w:val="24"/>
          <w:szCs w:val="24"/>
          <w:lang w:val="en-US" w:eastAsia="zh-CN"/>
        </w:rPr>
        <w:t>ERK1/2</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ab184699</w:t>
      </w:r>
      <w:r>
        <w:rPr>
          <w:rFonts w:hint="default" w:ascii="Times New Roman" w:hAnsi="Times New Roman" w:cs="Times New Roman"/>
          <w:sz w:val="24"/>
          <w:szCs w:val="24"/>
          <w:lang w:val="en-US" w:eastAsia="zh-CN"/>
        </w:rPr>
        <w:t>, dilution ratio: 1:</w:t>
      </w:r>
      <w:r>
        <w:rPr>
          <w:rFonts w:hint="default" w:cs="Times New Roman"/>
          <w:sz w:val="24"/>
          <w:szCs w:val="24"/>
          <w:lang w:val="en-US" w:eastAsia="zh-CN"/>
        </w:rPr>
        <w:t>100</w:t>
      </w:r>
      <w:r>
        <w:rPr>
          <w:rFonts w:hint="default" w:ascii="Times New Roman" w:hAnsi="Times New Roman" w:cs="Times New Roman"/>
          <w:sz w:val="24"/>
          <w:szCs w:val="24"/>
          <w:lang w:val="en-US" w:eastAsia="zh-CN"/>
        </w:rPr>
        <w:t xml:space="preserve">00), </w:t>
      </w:r>
      <w:r>
        <w:rPr>
          <w:rFonts w:hint="eastAsia" w:cs="Times New Roman"/>
          <w:sz w:val="24"/>
          <w:szCs w:val="24"/>
          <w:lang w:val="en-US" w:eastAsia="zh-CN"/>
        </w:rPr>
        <w:t>p-ERK1/2</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ab278538</w:t>
      </w:r>
      <w:r>
        <w:rPr>
          <w:rFonts w:hint="default" w:ascii="Times New Roman" w:hAnsi="Times New Roman" w:cs="Times New Roman"/>
          <w:sz w:val="24"/>
          <w:szCs w:val="24"/>
          <w:lang w:val="en-US" w:eastAsia="zh-CN"/>
        </w:rPr>
        <w:t>, dilution ratio: 1:1</w:t>
      </w:r>
      <w:r>
        <w:rPr>
          <w:rFonts w:hint="default" w:cs="Times New Roman"/>
          <w:sz w:val="24"/>
          <w:szCs w:val="24"/>
          <w:lang w:val="en-US" w:eastAsia="zh-CN"/>
        </w:rPr>
        <w:t>00</w:t>
      </w:r>
      <w:r>
        <w:rPr>
          <w:rFonts w:hint="default" w:ascii="Times New Roman" w:hAnsi="Times New Roman" w:cs="Times New Roman"/>
          <w:sz w:val="24"/>
          <w:szCs w:val="24"/>
          <w:lang w:val="en-US" w:eastAsia="zh-CN"/>
        </w:rPr>
        <w:t xml:space="preserve">00), </w:t>
      </w:r>
      <w:r>
        <w:rPr>
          <w:rFonts w:hint="eastAsia" w:cs="Times New Roman"/>
          <w:sz w:val="24"/>
          <w:szCs w:val="24"/>
          <w:lang w:val="en-US" w:eastAsia="zh-CN"/>
        </w:rPr>
        <w:t>JNK</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ab199380</w:t>
      </w:r>
      <w:r>
        <w:rPr>
          <w:rFonts w:hint="default" w:ascii="Times New Roman" w:hAnsi="Times New Roman" w:cs="Times New Roman"/>
          <w:sz w:val="24"/>
          <w:szCs w:val="24"/>
          <w:lang w:val="en-US" w:eastAsia="zh-CN"/>
        </w:rPr>
        <w:t>, dilution ratio: 1:</w:t>
      </w:r>
      <w:r>
        <w:rPr>
          <w:rFonts w:hint="default" w:cs="Times New Roman"/>
          <w:sz w:val="24"/>
          <w:szCs w:val="24"/>
          <w:lang w:val="en-US" w:eastAsia="zh-CN"/>
        </w:rPr>
        <w:t>2</w:t>
      </w:r>
      <w:r>
        <w:rPr>
          <w:rFonts w:hint="default" w:ascii="Times New Roman" w:hAnsi="Times New Roman" w:cs="Times New Roman"/>
          <w:sz w:val="24"/>
          <w:szCs w:val="24"/>
          <w:lang w:val="en-US" w:eastAsia="zh-CN"/>
        </w:rPr>
        <w:t xml:space="preserve">500), </w:t>
      </w:r>
      <w:r>
        <w:rPr>
          <w:rFonts w:hint="eastAsia" w:cs="Times New Roman"/>
          <w:sz w:val="24"/>
          <w:szCs w:val="24"/>
          <w:lang w:val="en-US" w:eastAsia="zh-CN"/>
        </w:rPr>
        <w:t>p-JNK</w:t>
      </w:r>
      <w:r>
        <w:rPr>
          <w:rFonts w:hint="default" w:ascii="Times New Roman" w:hAnsi="Times New Roman" w:cs="Times New Roman"/>
          <w:sz w:val="24"/>
          <w:szCs w:val="24"/>
          <w:lang w:val="en-US" w:eastAsia="zh-CN"/>
        </w:rPr>
        <w:t xml:space="preserve"> (</w:t>
      </w:r>
      <w:r>
        <w:rPr>
          <w:rFonts w:hint="eastAsia" w:cs="Times New Roman"/>
          <w:sz w:val="24"/>
          <w:szCs w:val="24"/>
          <w:lang w:val="en-US" w:eastAsia="zh-CN"/>
        </w:rPr>
        <w:t>Abcam</w:t>
      </w:r>
      <w:r>
        <w:rPr>
          <w:rFonts w:hint="default" w:ascii="Times New Roman" w:hAnsi="Times New Roman" w:cs="Times New Roman"/>
          <w:sz w:val="24"/>
          <w:szCs w:val="24"/>
          <w:lang w:val="en-US" w:eastAsia="zh-CN"/>
        </w:rPr>
        <w:t>, #</w:t>
      </w:r>
      <w:r>
        <w:rPr>
          <w:rFonts w:hint="default" w:cs="Times New Roman"/>
          <w:sz w:val="24"/>
          <w:szCs w:val="24"/>
          <w:lang w:val="en-US" w:eastAsia="zh-CN"/>
        </w:rPr>
        <w:t>ab76572</w:t>
      </w:r>
      <w:r>
        <w:rPr>
          <w:rFonts w:hint="default" w:ascii="Times New Roman" w:hAnsi="Times New Roman" w:cs="Times New Roman"/>
          <w:sz w:val="24"/>
          <w:szCs w:val="24"/>
          <w:lang w:val="en-US" w:eastAsia="zh-CN"/>
        </w:rPr>
        <w:t>, dilution ratio: 1:</w:t>
      </w:r>
      <w:r>
        <w:rPr>
          <w:rFonts w:hint="default" w:cs="Times New Roman"/>
          <w:sz w:val="24"/>
          <w:szCs w:val="24"/>
          <w:lang w:val="en-US" w:eastAsia="zh-CN"/>
        </w:rPr>
        <w:t>5</w:t>
      </w:r>
      <w:r>
        <w:rPr>
          <w:rFonts w:hint="default" w:ascii="Times New Roman" w:hAnsi="Times New Roman" w:cs="Times New Roman"/>
          <w:sz w:val="24"/>
          <w:szCs w:val="24"/>
          <w:lang w:val="en-US" w:eastAsia="zh-CN"/>
        </w:rPr>
        <w:t>000)</w:t>
      </w:r>
      <w:r>
        <w:rPr>
          <w:rFonts w:hint="default" w:cs="Times New Roman"/>
          <w:sz w:val="24"/>
          <w:szCs w:val="24"/>
          <w:lang w:val="en-US" w:eastAsia="zh-CN"/>
        </w:rPr>
        <w:t xml:space="preserve">, </w:t>
      </w:r>
      <w:r>
        <w:rPr>
          <w:rFonts w:hint="default" w:ascii="Times New Roman" w:hAnsi="Times New Roman" w:cs="Times New Roman"/>
          <w:sz w:val="24"/>
          <w:szCs w:val="24"/>
          <w:lang w:val="en-US" w:eastAsia="zh-CN"/>
        </w:rPr>
        <w:t>and GAPDH (Abcam, #ab8245, dilution ratio: 1:10000).</w:t>
      </w:r>
    </w:p>
    <w:p w14:paraId="6F82CC16">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Reactive Oxygen Species Assay</w:t>
      </w:r>
    </w:p>
    <w:p w14:paraId="4FCE753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Mix the cells with 10</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μm DCFH-DA (Beyotime</w:t>
      </w:r>
      <w:r>
        <w:rPr>
          <w:rFonts w:hint="default" w:cs="Times New Roman"/>
          <w:sz w:val="24"/>
          <w:szCs w:val="24"/>
          <w:lang w:val="en-US" w:eastAsia="zh-CN"/>
        </w:rPr>
        <w:t>, China</w:t>
      </w:r>
      <w:r>
        <w:rPr>
          <w:rFonts w:hint="default" w:ascii="Times New Roman" w:hAnsi="Times New Roman" w:cs="Times New Roman"/>
          <w:sz w:val="24"/>
          <w:szCs w:val="24"/>
          <w:lang w:val="en-US" w:eastAsia="zh-CN"/>
        </w:rPr>
        <w:t xml:space="preserve">) and dilute it 1:1000 with serum-free culture medium to achieve a final concentration of 10 micromolar/liter. Remove the cell culture medium and add an appropriate volume of the diluted DCFH-DA. The volume added should be sufficient to cover the cells evenly, typically 1 mL for one well of a </w:t>
      </w:r>
      <w:r>
        <w:rPr>
          <w:rFonts w:hint="eastAsia" w:cs="Times New Roman"/>
          <w:sz w:val="24"/>
          <w:szCs w:val="24"/>
          <w:lang w:val="en-US" w:eastAsia="zh-CN"/>
        </w:rPr>
        <w:t>6-well</w:t>
      </w:r>
      <w:r>
        <w:rPr>
          <w:rFonts w:hint="default" w:ascii="Times New Roman" w:hAnsi="Times New Roman" w:cs="Times New Roman"/>
          <w:sz w:val="24"/>
          <w:szCs w:val="24"/>
          <w:lang w:val="en-US" w:eastAsia="zh-CN"/>
        </w:rPr>
        <w:t xml:space="preserve"> plate. Incubate the cells at 37°C in a cell culture incubator for 20 minutes. Wash the cells with serum-free culture medium three times to fully remove the DCFH-DA that did not enter the cells. Detect the average fluorescence intensity using a flow cytometer (BD FACSCalibur,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lang w:val="en-US" w:eastAsia="zh-CN"/>
        </w:rPr>
        <w:t>United States) and analyze the data using FlowJo software. Alternatively, analyze the mitochondrial ROS in cells under a fluorescence inverted microscope.</w:t>
      </w:r>
    </w:p>
    <w:p w14:paraId="63A042AA">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Mitochondrial membrane potential assay</w:t>
      </w:r>
    </w:p>
    <w:p w14:paraId="47CF0C3B">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 xml:space="preserve">For one of the </w:t>
      </w:r>
      <w:r>
        <w:rPr>
          <w:rFonts w:hint="eastAsia" w:cs="Times New Roman"/>
          <w:sz w:val="24"/>
          <w:szCs w:val="24"/>
          <w:lang w:val="en-US" w:eastAsia="zh-CN"/>
        </w:rPr>
        <w:t>6-w</w:t>
      </w:r>
      <w:r>
        <w:rPr>
          <w:rFonts w:hint="default" w:ascii="Times New Roman" w:hAnsi="Times New Roman" w:cs="Times New Roman"/>
          <w:sz w:val="24"/>
          <w:szCs w:val="24"/>
          <w:lang w:val="en-US" w:eastAsia="zh-CN"/>
        </w:rPr>
        <w:t>ell plate holes, remove the culture medium, wash the cells with PBS or other appropriate solution once if necessary according to the specific experiment, and add 1 mL of cell culture medium. The cell culture medium can contain serum and phenol red. Add 1 mL of JC-1</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(Beyotime</w:t>
      </w:r>
      <w:r>
        <w:rPr>
          <w:rFonts w:hint="default" w:cs="Times New Roman"/>
          <w:sz w:val="24"/>
          <w:szCs w:val="24"/>
          <w:lang w:val="en-US" w:eastAsia="zh-CN"/>
        </w:rPr>
        <w:t>, China</w:t>
      </w:r>
      <w:r>
        <w:rPr>
          <w:rFonts w:hint="default" w:ascii="Times New Roman" w:hAnsi="Times New Roman" w:cs="Times New Roman"/>
          <w:sz w:val="24"/>
          <w:szCs w:val="24"/>
          <w:lang w:val="en-US" w:eastAsia="zh-CN"/>
        </w:rPr>
        <w:t>) staining working solution and mix well. Incubate at 37°C for 20 minutes in a cell culture incubator. During the incubation period, prepare an appropriate amount of JC-1 staining buffer (</w:t>
      </w:r>
      <w:r>
        <w:rPr>
          <w:rFonts w:hint="eastAsia" w:cs="Times New Roman"/>
          <w:sz w:val="24"/>
          <w:szCs w:val="24"/>
          <w:lang w:val="en-US" w:eastAsia="zh-CN"/>
        </w:rPr>
        <w:t>1</w:t>
      </w:r>
      <w:r>
        <w:rPr>
          <w:rFonts w:hint="default" w:ascii="Times New Roman" w:hAnsi="Times New Roman" w:cs="Times New Roman"/>
          <w:sz w:val="24"/>
          <w:szCs w:val="24"/>
          <w:lang w:val="en-US" w:eastAsia="zh-CN"/>
        </w:rPr>
        <w:t>×) by adding 4 mL of distilled water to each 1 mL of JC-1 staining buffer (</w:t>
      </w:r>
      <w:r>
        <w:rPr>
          <w:rFonts w:hint="eastAsia" w:cs="Times New Roman"/>
          <w:sz w:val="24"/>
          <w:szCs w:val="24"/>
          <w:lang w:val="en-US" w:eastAsia="zh-CN"/>
        </w:rPr>
        <w:t>5</w:t>
      </w:r>
      <w:r>
        <w:rPr>
          <w:rFonts w:hint="default" w:ascii="Times New Roman" w:hAnsi="Times New Roman" w:cs="Times New Roman"/>
          <w:sz w:val="24"/>
          <w:szCs w:val="24"/>
          <w:lang w:val="en-US" w:eastAsia="zh-CN"/>
        </w:rPr>
        <w:t>×) at a ratio of 1:4, and place it in an ice bath. After the 37°C incubation is over, aspirate the supernatant, wash the cells with JC-1 staining buffer (</w:t>
      </w:r>
      <w:r>
        <w:rPr>
          <w:rFonts w:hint="eastAsia" w:cs="Times New Roman"/>
          <w:sz w:val="24"/>
          <w:szCs w:val="24"/>
          <w:lang w:val="en-US" w:eastAsia="zh-CN"/>
        </w:rPr>
        <w:t>1</w:t>
      </w:r>
      <w:r>
        <w:rPr>
          <w:rFonts w:hint="default" w:ascii="Times New Roman" w:hAnsi="Times New Roman" w:cs="Times New Roman"/>
          <w:sz w:val="24"/>
          <w:szCs w:val="24"/>
          <w:lang w:val="en-US" w:eastAsia="zh-CN"/>
        </w:rPr>
        <w:t>×</w:t>
      </w:r>
      <w:r>
        <w:rPr>
          <w:rFonts w:hint="eastAsia" w:cs="Times New Roman"/>
          <w:sz w:val="24"/>
          <w:szCs w:val="24"/>
          <w:lang w:val="en-US" w:eastAsia="zh-CN"/>
        </w:rPr>
        <w:t>)</w:t>
      </w:r>
      <w:r>
        <w:rPr>
          <w:rFonts w:hint="default" w:ascii="Times New Roman" w:hAnsi="Times New Roman" w:cs="Times New Roman"/>
          <w:sz w:val="24"/>
          <w:szCs w:val="24"/>
          <w:lang w:val="en-US" w:eastAsia="zh-CN"/>
        </w:rPr>
        <w:t xml:space="preserve"> twice. Add 2 mL of cell culture medium, and the medium can contain serum and phenol red. Detect by flow cytometry or observe under a fluorescence microscope.</w:t>
      </w:r>
    </w:p>
    <w:p w14:paraId="7F1D9AD0">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Bold" w:hAnsi="Times New Roman Bold" w:cs="Times New Roman Bold"/>
          <w:b/>
          <w:bCs/>
          <w:sz w:val="24"/>
          <w:szCs w:val="24"/>
          <w:lang w:val="en-US" w:eastAsia="zh-CN"/>
        </w:rPr>
      </w:pPr>
      <w:r>
        <w:rPr>
          <w:rFonts w:hint="default" w:ascii="Times New Roman Bold" w:hAnsi="Times New Roman Bold" w:cs="Times New Roman Bold"/>
          <w:b/>
          <w:bCs/>
          <w:sz w:val="24"/>
          <w:szCs w:val="24"/>
          <w:lang w:val="en-US" w:eastAsia="zh-CN"/>
        </w:rPr>
        <w:t>ATP Content Assay</w:t>
      </w:r>
    </w:p>
    <w:p w14:paraId="4B3A3FAF">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0" w:firstLine="240" w:firstLineChars="100"/>
        <w:jc w:val="both"/>
        <w:textAlignment w:val="auto"/>
        <w:outlineLvl w:val="9"/>
        <w:rPr>
          <w:rFonts w:hint="default" w:ascii="Times New Roman" w:hAnsi="Times New Roman" w:cs="Times New Roman"/>
          <w:sz w:val="24"/>
          <w:szCs w:val="24"/>
          <w:lang w:val="en-US" w:eastAsia="zh-CN"/>
        </w:rPr>
      </w:pPr>
      <w:r>
        <w:rPr>
          <w:rFonts w:hint="default" w:ascii="Times New Roman" w:hAnsi="Times New Roman" w:cs="Times New Roman"/>
          <w:sz w:val="24"/>
          <w:szCs w:val="24"/>
          <w:lang w:val="en-US" w:eastAsia="zh-CN"/>
        </w:rPr>
        <w:t>Remove the culture medium, and add 200 microliters of lysis buffer to each well of the 6-well plate (600 microliters in total, which is equivalent to 1/10 of the volume of 2 mL of cell culture medium). Lysis buffer will be used to lyse the cells. To ensure thorough lysis, you can use a pipette to repeatedly pipet or shake the plate to allow the lysis buffer to fully contact and lyse the cells. Typically, cells will lyse immediately after coming into contact with the lysis buffer. After lysis, centrifuge the mixture at 4°C at 12,000g for 5 minutes, and take the supernatant for subsequent assays.</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Add 100 microliters ATP detection working solution to the detection well or detection tube. Leave at room temperature for 3-5 minutes to consume the background ATP and reduce the background. You can add 100 microliters of ATP detection working solution to 10-20 detection wells or tubes at once to save time. Add 20 microliters of sample or standard to the detection well or tube and mix quickly with a pipette (micro pipette). Measure the RLU value or CPM with a luminometer or liquid scintillation counter at least 2 seconds after mixing.</w:t>
      </w:r>
      <w:r>
        <w:rPr>
          <w:rFonts w:hint="eastAsia" w:cs="Times New Roman"/>
          <w:sz w:val="24"/>
          <w:szCs w:val="24"/>
          <w:lang w:val="en-US" w:eastAsia="zh-CN"/>
        </w:rPr>
        <w:t xml:space="preserve"> </w:t>
      </w:r>
      <w:r>
        <w:rPr>
          <w:rFonts w:hint="default" w:ascii="Times New Roman" w:hAnsi="Times New Roman" w:cs="Times New Roman"/>
          <w:sz w:val="24"/>
          <w:szCs w:val="24"/>
          <w:lang w:val="en-US" w:eastAsia="zh-CN"/>
        </w:rPr>
        <w:t>The ATP concentration in the sample can be calculated based on the standard curve.</w:t>
      </w:r>
    </w:p>
    <w:p w14:paraId="0378C49C">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w:hAnsi="Times New Roman" w:cs="Times New Roman"/>
          <w:sz w:val="24"/>
          <w:szCs w:val="24"/>
          <w:lang w:val="en-US" w:eastAsia="zh-CN"/>
        </w:rPr>
      </w:pPr>
      <w:r>
        <w:rPr>
          <w:rFonts w:hint="default" w:ascii="Times New Roman Bold" w:hAnsi="Times New Roman Bold" w:cs="Times New Roman Bold"/>
          <w:b/>
          <w:bCs/>
          <w:sz w:val="24"/>
          <w:szCs w:val="24"/>
          <w:lang w:val="en-US" w:eastAsia="zh-CN"/>
        </w:rPr>
        <w:t>Metabolic analysis</w:t>
      </w:r>
    </w:p>
    <w:p w14:paraId="6A85D76A">
      <w:pPr>
        <w:keepNext w:val="0"/>
        <w:keepLines w:val="0"/>
        <w:pageBreakBefore w:val="0"/>
        <w:widowControl/>
        <w:kinsoku/>
        <w:wordWrap/>
        <w:overflowPunct/>
        <w:topLinePunct w:val="0"/>
        <w:autoSpaceDE/>
        <w:autoSpaceDN/>
        <w:bidi w:val="0"/>
        <w:adjustRightInd/>
        <w:snapToGrid/>
        <w:spacing w:line="360" w:lineRule="auto"/>
        <w:ind w:firstLine="240" w:firstLineChars="100"/>
        <w:jc w:val="both"/>
        <w:textAlignment w:val="auto"/>
        <w:rPr>
          <w:rFonts w:hint="default"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lang w:val="en-US" w:eastAsia="zh-CN"/>
        </w:rPr>
        <w:t>Energy metabolism analysis was performed using an XF96 extracellular flux analyzer (Seahorse Bioscience). Briefly, cells were seeded into XF96 cell culture plates (Seahorse Bioscience) at 2 × 10</w:t>
      </w:r>
      <w:r>
        <w:rPr>
          <w:rFonts w:hint="default" w:ascii="Times New Roman" w:hAnsi="Times New Roman" w:cs="Times New Roman"/>
          <w:b w:val="0"/>
          <w:bCs w:val="0"/>
          <w:sz w:val="24"/>
          <w:szCs w:val="24"/>
          <w:vertAlign w:val="superscript"/>
          <w:lang w:val="en-US" w:eastAsia="zh-CN"/>
        </w:rPr>
        <w:t>5</w:t>
      </w:r>
      <w:r>
        <w:rPr>
          <w:rFonts w:hint="default" w:ascii="Times New Roman" w:hAnsi="Times New Roman" w:cs="Times New Roman"/>
          <w:b w:val="0"/>
          <w:bCs w:val="0"/>
          <w:sz w:val="24"/>
          <w:szCs w:val="24"/>
          <w:lang w:val="en-US" w:eastAsia="zh-CN"/>
        </w:rPr>
        <w:t xml:space="preserve"> cells per well after treatment as described earlier.</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The plate containing the syringe ports and probes and the utility plate containing calibrator solution</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(1 mL per well) were placed together in a CO</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lang w:val="en-US" w:eastAsia="zh-CN"/>
        </w:rPr>
        <w:t>-free incubator at 37°C. The next day, the original medium was replaced with XF assay buffer (XF basic medium supplemented with 25 mm glucose, 1 mmpyruvate, 2 mm L-glutamine, and adjusted to pH 7.4). The cell culture plate was placed in a CO</w:t>
      </w:r>
      <w:r>
        <w:rPr>
          <w:rFonts w:hint="default" w:ascii="Times New Roman" w:hAnsi="Times New Roman" w:cs="Times New Roman"/>
          <w:b w:val="0"/>
          <w:bCs w:val="0"/>
          <w:sz w:val="24"/>
          <w:szCs w:val="24"/>
          <w:vertAlign w:val="subscript"/>
          <w:lang w:val="en-US" w:eastAsia="zh-CN"/>
        </w:rPr>
        <w:t>2</w:t>
      </w:r>
      <w:r>
        <w:rPr>
          <w:rFonts w:hint="default" w:ascii="Times New Roman" w:hAnsi="Times New Roman" w:cs="Times New Roman"/>
          <w:b w:val="0"/>
          <w:bCs w:val="0"/>
          <w:sz w:val="24"/>
          <w:szCs w:val="24"/>
          <w:lang w:val="en-US" w:eastAsia="zh-CN"/>
        </w:rPr>
        <w:t>-free incubator for at least 0.5 h</w:t>
      </w:r>
      <w:r>
        <w:rPr>
          <w:rFonts w:hint="eastAsia" w:cs="Times New Roman"/>
          <w:b w:val="0"/>
          <w:bCs w:val="0"/>
          <w:sz w:val="24"/>
          <w:szCs w:val="24"/>
          <w:lang w:val="en-US" w:eastAsia="zh-CN"/>
        </w:rPr>
        <w:t>ours</w:t>
      </w:r>
      <w:r>
        <w:rPr>
          <w:rFonts w:hint="default" w:ascii="Times New Roman" w:hAnsi="Times New Roman" w:cs="Times New Roman"/>
          <w:b w:val="0"/>
          <w:bCs w:val="0"/>
          <w:sz w:val="24"/>
          <w:szCs w:val="24"/>
          <w:lang w:val="en-US" w:eastAsia="zh-CN"/>
        </w:rPr>
        <w:t>. Rot/AA and 2-deoxy-glucose</w:t>
      </w:r>
      <w:r>
        <w:rPr>
          <w:rFonts w:hint="eastAsia" w:cs="Times New Roman"/>
          <w:b w:val="0"/>
          <w:bCs w:val="0"/>
          <w:sz w:val="24"/>
          <w:szCs w:val="24"/>
          <w:lang w:val="en-US" w:eastAsia="zh-CN"/>
        </w:rPr>
        <w:t xml:space="preserve"> </w:t>
      </w:r>
      <w:r>
        <w:rPr>
          <w:rFonts w:hint="default" w:ascii="Times New Roman" w:hAnsi="Times New Roman" w:cs="Times New Roman"/>
          <w:b w:val="0"/>
          <w:bCs w:val="0"/>
          <w:sz w:val="24"/>
          <w:szCs w:val="24"/>
          <w:lang w:val="en-US" w:eastAsia="zh-CN"/>
        </w:rPr>
        <w:t>(2DG) were added to the port of the syringe plate. The plate was run using the utility plate for calibration. After completion, the utility plate was replaced with a cell culture plate for the run. Data were analyzed using Seahorse Wave software 2.6.1. The data were normalized using the protein content.</w:t>
      </w:r>
    </w:p>
    <w:p w14:paraId="45BF0C0E">
      <w:pPr>
        <w:keepNext w:val="0"/>
        <w:keepLines w:val="0"/>
        <w:pageBreakBefore w:val="0"/>
        <w:widowControl/>
        <w:numPr>
          <w:ilvl w:val="0"/>
          <w:numId w:val="1"/>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outlineLvl w:val="9"/>
        <w:rPr>
          <w:rFonts w:hint="default" w:ascii="Times New Roman" w:hAnsi="Times New Roman" w:cs="Times New Roman"/>
          <w:sz w:val="24"/>
          <w:szCs w:val="24"/>
          <w:highlight w:val="yellow"/>
          <w:lang w:val="en-US" w:eastAsia="zh-CN"/>
        </w:rPr>
      </w:pPr>
      <w:r>
        <w:rPr>
          <w:rFonts w:hint="eastAsia" w:ascii="Times New Roman Bold" w:hAnsi="Times New Roman Bold" w:cs="Times New Roman Bold"/>
          <w:b/>
          <w:bCs/>
          <w:sz w:val="24"/>
          <w:szCs w:val="24"/>
          <w:highlight w:val="yellow"/>
          <w:lang w:val="en-US" w:eastAsia="zh-CN"/>
        </w:rPr>
        <w:t>RNA-sequencing and data analysis</w:t>
      </w:r>
    </w:p>
    <w:p w14:paraId="5A6B8371">
      <w:pPr>
        <w:keepNext w:val="0"/>
        <w:keepLines w:val="0"/>
        <w:pageBreakBefore w:val="0"/>
        <w:widowControl/>
        <w:kinsoku/>
        <w:wordWrap/>
        <w:overflowPunct/>
        <w:topLinePunct w:val="0"/>
        <w:autoSpaceDE/>
        <w:autoSpaceDN/>
        <w:bidi w:val="0"/>
        <w:adjustRightInd/>
        <w:snapToGrid/>
        <w:spacing w:line="360" w:lineRule="auto"/>
        <w:ind w:firstLine="240" w:firstLineChars="100"/>
        <w:jc w:val="both"/>
        <w:textAlignment w:val="auto"/>
        <w:rPr>
          <w:rFonts w:hint="default" w:ascii="Times New Roman" w:hAnsi="Times New Roman" w:cs="Times New Roman"/>
          <w:b w:val="0"/>
          <w:bCs w:val="0"/>
          <w:sz w:val="24"/>
          <w:szCs w:val="24"/>
          <w:highlight w:val="yellow"/>
          <w:lang w:val="en-US" w:eastAsia="zh-CN"/>
        </w:rPr>
      </w:pPr>
      <w:r>
        <w:rPr>
          <w:rFonts w:hint="default" w:ascii="Times New Roman" w:hAnsi="Times New Roman" w:cs="Times New Roman"/>
          <w:b w:val="0"/>
          <w:bCs w:val="0"/>
          <w:sz w:val="24"/>
          <w:szCs w:val="24"/>
          <w:highlight w:val="yellow"/>
          <w:lang w:val="en-US" w:eastAsia="zh-CN"/>
        </w:rPr>
        <w:t xml:space="preserve">Total RNA was extracted from </w:t>
      </w:r>
      <w:r>
        <w:rPr>
          <w:rFonts w:hint="eastAsia" w:cs="Times New Roman"/>
          <w:b w:val="0"/>
          <w:bCs w:val="0"/>
          <w:sz w:val="24"/>
          <w:szCs w:val="24"/>
          <w:highlight w:val="yellow"/>
          <w:lang w:val="en-US" w:eastAsia="zh-CN"/>
        </w:rPr>
        <w:t>hPDLSCs</w:t>
      </w:r>
      <w:r>
        <w:rPr>
          <w:rFonts w:hint="default" w:ascii="Times New Roman" w:hAnsi="Times New Roman" w:cs="Times New Roman"/>
          <w:b w:val="0"/>
          <w:bCs w:val="0"/>
          <w:sz w:val="24"/>
          <w:szCs w:val="24"/>
          <w:highlight w:val="yellow"/>
          <w:lang w:val="en-US" w:eastAsia="zh-CN"/>
        </w:rPr>
        <w:t xml:space="preserve"> using the TRIzol reagent</w:t>
      </w:r>
      <w:r>
        <w:rPr>
          <w:rFonts w:hint="default" w:cs="Times New Roman"/>
          <w:b w:val="0"/>
          <w:bCs w:val="0"/>
          <w:sz w:val="24"/>
          <w:szCs w:val="24"/>
          <w:highlight w:val="yellow"/>
          <w:lang w:val="en-US" w:eastAsia="zh-CN"/>
        </w:rPr>
        <w:t xml:space="preserve"> (Vazyme). Then, </w:t>
      </w:r>
      <w:bookmarkStart w:id="0" w:name="_GoBack"/>
      <w:bookmarkEnd w:id="0"/>
      <w:r>
        <w:rPr>
          <w:rFonts w:hint="default" w:cs="Times New Roman"/>
          <w:b w:val="0"/>
          <w:bCs w:val="0"/>
          <w:sz w:val="24"/>
          <w:szCs w:val="24"/>
          <w:highlight w:val="yellow"/>
          <w:lang w:val="en-US" w:eastAsia="zh-CN"/>
        </w:rPr>
        <w:t>r</w:t>
      </w:r>
      <w:r>
        <w:rPr>
          <w:rFonts w:hint="default" w:ascii="Times New Roman" w:hAnsi="Times New Roman" w:cs="Times New Roman"/>
          <w:b w:val="0"/>
          <w:bCs w:val="0"/>
          <w:sz w:val="24"/>
          <w:szCs w:val="24"/>
          <w:highlight w:val="yellow"/>
          <w:lang w:val="en-US" w:eastAsia="zh-CN"/>
        </w:rPr>
        <w:t>everse transcribe total RNA into complementary DNA (cDNA).</w:t>
      </w:r>
      <w:r>
        <w:rPr>
          <w:rFonts w:hint="default" w:cs="Times New Roman"/>
          <w:b w:val="0"/>
          <w:bCs w:val="0"/>
          <w:sz w:val="24"/>
          <w:szCs w:val="24"/>
          <w:highlight w:val="yellow"/>
          <w:lang w:val="en-US" w:eastAsia="zh-CN"/>
        </w:rPr>
        <w:t xml:space="preserve"> </w:t>
      </w:r>
      <w:r>
        <w:rPr>
          <w:rFonts w:hint="default" w:ascii="Times New Roman" w:hAnsi="Times New Roman" w:cs="Times New Roman"/>
          <w:b w:val="0"/>
          <w:bCs w:val="0"/>
          <w:sz w:val="24"/>
          <w:szCs w:val="24"/>
          <w:highlight w:val="yellow"/>
          <w:lang w:val="en-US" w:eastAsia="zh-CN"/>
        </w:rPr>
        <w:t>Fragment cDNA and add adapters for subsequent sequencing.</w:t>
      </w:r>
      <w:r>
        <w:rPr>
          <w:rFonts w:hint="default" w:cs="Times New Roman"/>
          <w:b w:val="0"/>
          <w:bCs w:val="0"/>
          <w:sz w:val="24"/>
          <w:szCs w:val="24"/>
          <w:highlight w:val="yellow"/>
          <w:lang w:val="en-US" w:eastAsia="zh-CN"/>
        </w:rPr>
        <w:t xml:space="preserve"> </w:t>
      </w:r>
      <w:r>
        <w:rPr>
          <w:rFonts w:hint="default" w:ascii="Times New Roman" w:hAnsi="Times New Roman" w:cs="Times New Roman"/>
          <w:b w:val="0"/>
          <w:bCs w:val="0"/>
          <w:sz w:val="24"/>
          <w:szCs w:val="24"/>
          <w:highlight w:val="yellow"/>
          <w:lang w:val="en-US" w:eastAsia="zh-CN"/>
        </w:rPr>
        <w:t>Use high-throughput sequencing technology to sequence the cDNA library. Analyze sequencing data using bioinformatics tools, including read alignment, quantitative analysis, and differential expression analysis, to obtain information on gene expression levels and transcriptome structure.</w:t>
      </w:r>
      <w:r>
        <w:rPr>
          <w:rFonts w:hint="default" w:cs="Times New Roman"/>
          <w:b w:val="0"/>
          <w:bCs w:val="0"/>
          <w:sz w:val="24"/>
          <w:szCs w:val="24"/>
          <w:highlight w:val="yellow"/>
          <w:lang w:val="en-US" w:eastAsia="zh-CN"/>
        </w:rPr>
        <w:t xml:space="preserve"> </w:t>
      </w:r>
      <w:r>
        <w:rPr>
          <w:rFonts w:hint="default" w:ascii="Times New Roman" w:hAnsi="Times New Roman" w:cs="Times New Roman"/>
          <w:b w:val="0"/>
          <w:bCs w:val="0"/>
          <w:sz w:val="24"/>
          <w:szCs w:val="24"/>
          <w:highlight w:val="yellow"/>
          <w:lang w:val="en-US" w:eastAsia="zh-CN"/>
        </w:rPr>
        <w:t>Perform enrichment analysis on differentially expressed genes to reveal related biological processes and pathways of gene regulation.</w:t>
      </w:r>
    </w:p>
    <w:sectPr>
      <w:footerReference r:id="rId3" w:type="default"/>
      <w:pgSz w:w="11906" w:h="16838"/>
      <w:pgMar w:top="1440" w:right="1800" w:bottom="1440" w:left="1800" w:header="851" w:footer="992" w:gutter="0"/>
      <w:lnNumType w:countBy="1" w:restart="continuou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MS Mincho">
    <w:altName w:val="Hiragino Sans"/>
    <w:panose1 w:val="02020609040205080304"/>
    <w:charset w:val="80"/>
    <w:family w:val="modern"/>
    <w:pitch w:val="default"/>
    <w:sig w:usb0="00000000" w:usb1="00000000" w:usb2="00000012" w:usb3="00000000" w:csb0="4002009F" w:csb1="DFD70000"/>
  </w:font>
  <w:font w:name="Times New Roman Bold">
    <w:panose1 w:val="02020603050405020304"/>
    <w:charset w:val="00"/>
    <w:family w:val="auto"/>
    <w:pitch w:val="default"/>
    <w:sig w:usb0="E0002AEF" w:usb1="C0007841" w:usb2="00000009" w:usb3="00000000" w:csb0="400001FF" w:csb1="FFFF0000"/>
  </w:font>
  <w:font w:name="等线">
    <w:altName w:val="汉仪中等线KW"/>
    <w:panose1 w:val="02010600030101010101"/>
    <w:charset w:val="86"/>
    <w:family w:val="auto"/>
    <w:pitch w:val="default"/>
    <w:sig w:usb0="00000000" w:usb1="00000000" w:usb2="00000016" w:usb3="00000000" w:csb0="0004000F" w:csb1="00000000"/>
  </w:font>
  <w:font w:name="CharisSIL">
    <w:altName w:val="苹方-简"/>
    <w:panose1 w:val="00000000000000000000"/>
    <w:charset w:val="00"/>
    <w:family w:val="auto"/>
    <w:pitch w:val="default"/>
    <w:sig w:usb0="00000000" w:usb1="00000000" w:usb2="00000000" w:usb3="00000000" w:csb0="00040001"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 w:name="Hiragino Sans">
    <w:panose1 w:val="020B0300000000000000"/>
    <w:charset w:val="80"/>
    <w:family w:val="auto"/>
    <w:pitch w:val="default"/>
    <w:sig w:usb0="E00002FF" w:usb1="7AE7FFFF" w:usb2="00000012" w:usb3="00000000" w:csb0="0002000D" w:csb1="00000000"/>
  </w:font>
  <w:font w:name="汉仪中等线KW">
    <w:panose1 w:val="01010104010101010101"/>
    <w:charset w:val="86"/>
    <w:family w:val="auto"/>
    <w:pitch w:val="default"/>
    <w:sig w:usb0="800002BF" w:usb1="004F7CFA" w:usb2="00000000" w:usb3="00000000" w:csb0="00040001" w:csb1="00000000"/>
  </w:font>
  <w:font w:name="苹方-简">
    <w:panose1 w:val="020B0400000000000000"/>
    <w:charset w:val="86"/>
    <w:family w:val="auto"/>
    <w:pitch w:val="default"/>
    <w:sig w:usb0="A00002FF" w:usb1="7ACFFDFB" w:usb2="00000017"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DDE03D">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0F7D03">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0F7D03">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AF5DF3"/>
    <w:multiLevelType w:val="singleLevel"/>
    <w:tmpl w:val="7FAF5DF3"/>
    <w:lvl w:ilvl="0" w:tentative="0">
      <w:start w:val="1"/>
      <w:numFmt w:val="decimal"/>
      <w:lvlText w:val="%1."/>
      <w:lvlJc w:val="left"/>
      <w:pPr>
        <w:ind w:left="425" w:hanging="425"/>
      </w:pPr>
      <w:rPr>
        <w:rFonts w:hint="default" w:ascii="Times New Roman Bold" w:hAnsi="Times New Roman Bold" w:cs="Times New Roman Bold"/>
        <w:b/>
        <w:bC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ZhNTM3MTQ1ZWQ5NTZkYTkzMDUyMzBlNzIwNzhmOTUifQ=="/>
  </w:docVars>
  <w:rsids>
    <w:rsidRoot w:val="FFDFFE3E"/>
    <w:rsid w:val="58F3333E"/>
    <w:rsid w:val="7EFF53CA"/>
    <w:rsid w:val="A95D767F"/>
    <w:rsid w:val="B5FFFC89"/>
    <w:rsid w:val="EFBEECCA"/>
    <w:rsid w:val="FF7132C3"/>
    <w:rsid w:val="FFDFF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MS Mincho" w:cs="Times New Roman"/>
      <w:sz w:val="24"/>
      <w:szCs w:val="24"/>
      <w:lang w:val="de-DE" w:eastAsia="ja-JP"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Title2"/>
    <w:basedOn w:val="1"/>
    <w:autoRedefine/>
    <w:qFormat/>
    <w:uiPriority w:val="0"/>
    <w:rPr>
      <w:b/>
      <w:lang w:val="en-US"/>
    </w:rPr>
  </w:style>
  <w:style w:type="paragraph" w:customStyle="1" w:styleId="9">
    <w:name w:val="Table of contents"/>
    <w:basedOn w:val="1"/>
    <w:autoRedefine/>
    <w:qFormat/>
    <w:uiPriority w:val="0"/>
    <w:rPr>
      <w:lang w:val="en-US"/>
    </w:rPr>
  </w:style>
  <w:style w:type="paragraph" w:customStyle="1" w:styleId="10">
    <w:name w:val="Authors Full"/>
    <w:basedOn w:val="1"/>
    <w:autoRedefine/>
    <w:qFormat/>
    <w:uiPriority w:val="0"/>
    <w:rPr>
      <w:i/>
      <w:lang w:val="en-US"/>
    </w:rPr>
  </w:style>
  <w:style w:type="paragraph" w:customStyle="1" w:styleId="11">
    <w:name w:val="Table Text"/>
    <w:basedOn w:val="1"/>
    <w:autoRedefine/>
    <w:semiHidden/>
    <w:qFormat/>
    <w:uiPriority w:val="0"/>
    <w:rPr>
      <w:rFonts w:ascii="Times New Roman" w:hAnsi="Times New Roman" w:eastAsia="Times New Roman" w:cs="Times New Roman"/>
      <w:sz w:val="24"/>
      <w:szCs w:val="24"/>
      <w:lang w:val="en-US" w:eastAsia="en-US"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1</TotalTime>
  <ScaleCrop>false</ScaleCrop>
  <LinksUpToDate>false</LinksUpToDate>
  <CharactersWithSpaces>0</CharactersWithSpaces>
  <Application>WPS Office_6.12.1.8902_F1E327BC-269C-435d-A152-05C5408002CA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2025-01-15T01:07:00Z</dcterms:created>
  <dc:creator>阿毛超级酷</dc:creator>
  <cp:lastModifiedBy>阿毛超级酷</cp:lastModifiedBy>
  <dcterms:modified xsi:type="dcterms:W3CDTF">2025-05-19T15:26:43Z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2052-6.12.1.8902</vt:lpwstr>
  </property>
  <property fmtid="{D5CDD505-2E9C-101B-9397-08002B2CF9AE}" pid="3" name="ICV">
    <vt:lpwstr>FDBE6678CB96C9E2BAD784671FF4B658_41</vt:lpwstr>
  </property>
</Properties>
</file>