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FFBC2A" w14:textId="77777777" w:rsidR="00F00115" w:rsidRDefault="00D86597" w:rsidP="00A238F1">
      <w:pPr>
        <w:jc w:val="both"/>
      </w:pPr>
      <w:r>
        <w:rPr>
          <w:noProof/>
          <w:lang w:val="en-IN" w:eastAsia="en-IN"/>
        </w:rPr>
        <w:drawing>
          <wp:inline distT="0" distB="0" distL="0" distR="0" wp14:anchorId="4E650920" wp14:editId="151BFE8C">
            <wp:extent cx="5271770" cy="3596640"/>
            <wp:effectExtent l="0" t="0" r="0" b="0"/>
            <wp:docPr id="16804549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59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26BB4" w14:textId="64E45618" w:rsidR="008447BC" w:rsidRPr="009929EB" w:rsidRDefault="008447BC" w:rsidP="00A238F1">
      <w:pPr>
        <w:jc w:val="both"/>
        <w:rPr>
          <w:rFonts w:ascii="Times New Roman" w:hAnsi="Times New Roman" w:cs="Times New Roman"/>
          <w:sz w:val="21"/>
          <w:szCs w:val="21"/>
        </w:rPr>
      </w:pPr>
      <w:r w:rsidRPr="00D8587A">
        <w:rPr>
          <w:rFonts w:ascii="Times New Roman" w:hAnsi="Times New Roman" w:cs="Times New Roman" w:hint="eastAsia"/>
          <w:sz w:val="21"/>
          <w:szCs w:val="21"/>
        </w:rPr>
        <w:t>Supplement</w:t>
      </w:r>
      <w:r w:rsidR="00E74F7C" w:rsidRPr="00D8587A">
        <w:rPr>
          <w:rFonts w:ascii="Times New Roman" w:hAnsi="Times New Roman" w:cs="Times New Roman"/>
          <w:sz w:val="21"/>
          <w:szCs w:val="21"/>
        </w:rPr>
        <w:t>ary</w:t>
      </w:r>
      <w:r w:rsidRPr="00D8587A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D8587A">
        <w:rPr>
          <w:rFonts w:ascii="Times New Roman" w:hAnsi="Times New Roman" w:cs="Times New Roman"/>
          <w:sz w:val="21"/>
          <w:szCs w:val="21"/>
        </w:rPr>
        <w:t>Figure</w:t>
      </w:r>
      <w:r w:rsidR="00E74F7C" w:rsidRPr="00D8587A">
        <w:rPr>
          <w:rFonts w:ascii="Times New Roman" w:hAnsi="Times New Roman" w:cs="Times New Roman"/>
          <w:sz w:val="21"/>
          <w:szCs w:val="21"/>
        </w:rPr>
        <w:t>: (A) Total-ion chromatograms (TICs) showing the chemical composition profiles of the control-group serum and YGJ-containing serum</w:t>
      </w:r>
      <w:r w:rsidR="00A238F1" w:rsidRPr="00D8587A">
        <w:rPr>
          <w:rFonts w:ascii="Times New Roman" w:hAnsi="Times New Roman" w:cs="Times New Roman" w:hint="eastAsia"/>
          <w:sz w:val="21"/>
          <w:szCs w:val="21"/>
        </w:rPr>
        <w:t>.</w:t>
      </w:r>
      <w:r w:rsidR="00D86597" w:rsidRPr="00D8587A">
        <w:rPr>
          <w:rFonts w:ascii="Times New Roman" w:hAnsi="Times New Roman" w:cs="Times New Roman"/>
          <w:sz w:val="21"/>
          <w:szCs w:val="21"/>
        </w:rPr>
        <w:t xml:space="preserve"> </w:t>
      </w:r>
      <w:r w:rsidR="00D86597" w:rsidRPr="009929EB">
        <w:rPr>
          <w:rFonts w:ascii="Times New Roman" w:hAnsi="Times New Roman" w:cs="Times New Roman"/>
          <w:sz w:val="21"/>
          <w:szCs w:val="21"/>
        </w:rPr>
        <w:t>(</w:t>
      </w:r>
      <w:r w:rsidR="00D86597" w:rsidRPr="009929EB">
        <w:rPr>
          <w:rFonts w:ascii="Times New Roman" w:hAnsi="Times New Roman" w:cs="Times New Roman" w:hint="eastAsia"/>
          <w:sz w:val="21"/>
          <w:szCs w:val="21"/>
        </w:rPr>
        <w:t>B)</w:t>
      </w:r>
      <w:r w:rsidR="00C54DA6" w:rsidRPr="009929EB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D86597" w:rsidRPr="009929EB">
        <w:rPr>
          <w:rFonts w:ascii="Times New Roman" w:hAnsi="Times New Roman" w:cs="Times New Roman" w:hint="eastAsia"/>
          <w:sz w:val="21"/>
          <w:szCs w:val="21"/>
        </w:rPr>
        <w:t xml:space="preserve">Venn diagram of </w:t>
      </w:r>
      <w:r w:rsidR="00535831" w:rsidRPr="009929EB">
        <w:rPr>
          <w:rFonts w:ascii="Times New Roman" w:hAnsi="Times New Roman" w:cs="Times New Roman"/>
          <w:sz w:val="21"/>
          <w:szCs w:val="21"/>
        </w:rPr>
        <w:t xml:space="preserve">the </w:t>
      </w:r>
      <w:r w:rsidR="00D86597" w:rsidRPr="009929EB">
        <w:rPr>
          <w:rFonts w:ascii="Times New Roman" w:hAnsi="Times New Roman" w:cs="Times New Roman" w:hint="eastAsia"/>
          <w:sz w:val="21"/>
          <w:szCs w:val="21"/>
        </w:rPr>
        <w:t xml:space="preserve">components </w:t>
      </w:r>
      <w:r w:rsidR="00535831" w:rsidRPr="009929EB">
        <w:rPr>
          <w:rFonts w:ascii="Times New Roman" w:hAnsi="Times New Roman" w:cs="Times New Roman"/>
          <w:sz w:val="21"/>
          <w:szCs w:val="21"/>
        </w:rPr>
        <w:t>of</w:t>
      </w:r>
      <w:r w:rsidR="00D86597" w:rsidRPr="009929EB">
        <w:rPr>
          <w:rFonts w:ascii="Times New Roman" w:hAnsi="Times New Roman" w:cs="Times New Roman" w:hint="eastAsia"/>
          <w:sz w:val="21"/>
          <w:szCs w:val="21"/>
        </w:rPr>
        <w:t xml:space="preserve"> the control and YGJ-containing ser</w:t>
      </w:r>
      <w:r w:rsidR="00535831" w:rsidRPr="009929EB">
        <w:rPr>
          <w:rFonts w:ascii="Times New Roman" w:hAnsi="Times New Roman" w:cs="Times New Roman"/>
          <w:sz w:val="21"/>
          <w:szCs w:val="21"/>
        </w:rPr>
        <w:t>a,</w:t>
      </w:r>
      <w:r w:rsidR="00D86597" w:rsidRPr="009929EB">
        <w:rPr>
          <w:rFonts w:ascii="Times New Roman" w:hAnsi="Times New Roman" w:cs="Times New Roman" w:hint="eastAsia"/>
          <w:sz w:val="21"/>
          <w:szCs w:val="21"/>
        </w:rPr>
        <w:t xml:space="preserve"> show</w:t>
      </w:r>
      <w:r w:rsidR="00535831" w:rsidRPr="009929EB">
        <w:rPr>
          <w:rFonts w:ascii="Times New Roman" w:hAnsi="Times New Roman" w:cs="Times New Roman"/>
          <w:sz w:val="21"/>
          <w:szCs w:val="21"/>
        </w:rPr>
        <w:t>ing</w:t>
      </w:r>
      <w:r w:rsidR="00D86597" w:rsidRPr="009929EB">
        <w:rPr>
          <w:rFonts w:ascii="Times New Roman" w:hAnsi="Times New Roman" w:cs="Times New Roman" w:hint="eastAsia"/>
          <w:sz w:val="21"/>
          <w:szCs w:val="21"/>
        </w:rPr>
        <w:t xml:space="preserve"> 202 overlapping components</w:t>
      </w:r>
      <w:r w:rsidR="00535831" w:rsidRPr="009929EB">
        <w:rPr>
          <w:rFonts w:ascii="Times New Roman" w:hAnsi="Times New Roman" w:cs="Times New Roman"/>
          <w:sz w:val="21"/>
          <w:szCs w:val="21"/>
        </w:rPr>
        <w:t xml:space="preserve"> and</w:t>
      </w:r>
      <w:r w:rsidR="00D86597" w:rsidRPr="009929EB">
        <w:rPr>
          <w:rFonts w:ascii="Times New Roman" w:hAnsi="Times New Roman" w:cs="Times New Roman" w:hint="eastAsia"/>
          <w:sz w:val="21"/>
          <w:szCs w:val="21"/>
        </w:rPr>
        <w:t xml:space="preserve"> 73 components </w:t>
      </w:r>
      <w:r w:rsidR="00535831" w:rsidRPr="009929EB">
        <w:rPr>
          <w:rFonts w:ascii="Times New Roman" w:hAnsi="Times New Roman" w:cs="Times New Roman"/>
          <w:sz w:val="21"/>
          <w:szCs w:val="21"/>
        </w:rPr>
        <w:t>unique</w:t>
      </w:r>
      <w:r w:rsidR="00D86597" w:rsidRPr="009929EB">
        <w:rPr>
          <w:rFonts w:ascii="Times New Roman" w:hAnsi="Times New Roman" w:cs="Times New Roman" w:hint="eastAsia"/>
          <w:sz w:val="21"/>
          <w:szCs w:val="21"/>
        </w:rPr>
        <w:t xml:space="preserve"> to the YGJ-containing serum.</w:t>
      </w:r>
    </w:p>
    <w:p w14:paraId="044AA712" w14:textId="77777777" w:rsidR="008447BC" w:rsidRPr="008447BC" w:rsidRDefault="008447BC">
      <w:pPr>
        <w:rPr>
          <w:rFonts w:ascii="Times New Roman" w:hAnsi="Times New Roman" w:cs="Times New Roman"/>
        </w:rPr>
      </w:pPr>
    </w:p>
    <w:p w14:paraId="3EF80660" w14:textId="77777777" w:rsidR="00020F93" w:rsidRPr="008447BC" w:rsidRDefault="008447BC" w:rsidP="00020F93">
      <w:pPr>
        <w:jc w:val="center"/>
        <w:rPr>
          <w:rFonts w:ascii="Times New Roman" w:eastAsia="SimSun" w:hAnsi="Times New Roman" w:cs="Times New Roman"/>
        </w:rPr>
      </w:pPr>
      <w:r>
        <w:rPr>
          <w:rFonts w:ascii="Times New Roman" w:hAnsi="Times New Roman" w:cs="Times New Roman" w:hint="eastAsia"/>
        </w:rPr>
        <w:t>Supplement</w:t>
      </w:r>
      <w:r w:rsidR="00E74F7C">
        <w:rPr>
          <w:rFonts w:ascii="Times New Roman" w:hAnsi="Times New Roman" w:cs="Times New Roman"/>
        </w:rPr>
        <w:t>ary</w:t>
      </w:r>
      <w:r w:rsidRPr="008447BC">
        <w:rPr>
          <w:rFonts w:ascii="Times New Roman" w:eastAsia="SimSun" w:hAnsi="Times New Roman" w:cs="Times New Roman"/>
        </w:rPr>
        <w:t xml:space="preserve"> </w:t>
      </w:r>
      <w:r>
        <w:rPr>
          <w:rFonts w:ascii="Times New Roman" w:eastAsia="SimSun" w:hAnsi="Times New Roman" w:cs="Times New Roman" w:hint="eastAsia"/>
        </w:rPr>
        <w:t>Table</w:t>
      </w:r>
      <w:r w:rsidR="00E74F7C">
        <w:rPr>
          <w:rFonts w:ascii="Times New Roman" w:eastAsia="SimSun" w:hAnsi="Times New Roman" w:cs="Times New Roman"/>
          <w:lang w:val="tr-TR"/>
        </w:rPr>
        <w:t xml:space="preserve">: </w:t>
      </w:r>
      <w:r w:rsidR="00731998" w:rsidRPr="00731998">
        <w:rPr>
          <w:rFonts w:ascii="Times New Roman" w:eastAsia="SimSun" w:hAnsi="Times New Roman" w:cs="Times New Roman"/>
        </w:rPr>
        <w:t xml:space="preserve">Component analysis of </w:t>
      </w:r>
      <w:r w:rsidR="00731998">
        <w:rPr>
          <w:rFonts w:ascii="Times New Roman" w:eastAsia="SimSun" w:hAnsi="Times New Roman" w:cs="Times New Roman"/>
        </w:rPr>
        <w:t xml:space="preserve">the </w:t>
      </w:r>
      <w:r w:rsidR="00731998" w:rsidRPr="00731998">
        <w:rPr>
          <w:rFonts w:ascii="Times New Roman" w:eastAsia="SimSun" w:hAnsi="Times New Roman" w:cs="Times New Roman"/>
        </w:rPr>
        <w:t>YGJ-containing serum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22"/>
      </w:tblGrid>
      <w:tr w:rsidR="00020F93" w:rsidRPr="008447BC" w14:paraId="0617208B" w14:textId="77777777" w:rsidTr="000C16C1">
        <w:trPr>
          <w:trHeight w:val="278"/>
        </w:trPr>
        <w:tc>
          <w:tcPr>
            <w:tcW w:w="14500" w:type="dxa"/>
            <w:noWrap/>
          </w:tcPr>
          <w:p w14:paraId="4C196A7D" w14:textId="77777777" w:rsidR="00020F93" w:rsidRPr="001A163F" w:rsidRDefault="00731998" w:rsidP="004C2F7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ELEMENTS</w:t>
            </w:r>
          </w:p>
        </w:tc>
      </w:tr>
      <w:tr w:rsidR="00020F93" w:rsidRPr="008447BC" w14:paraId="2CFB5891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404833E3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5-(6-hydroxy-6-methyloctyl)-2,5-dihydrofuran-2-one</w:t>
            </w:r>
          </w:p>
        </w:tc>
      </w:tr>
      <w:tr w:rsidR="00020F93" w:rsidRPr="008447BC" w14:paraId="21715BB5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418188FE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Isorhamnetin</w:t>
            </w:r>
          </w:p>
        </w:tc>
      </w:tr>
      <w:tr w:rsidR="00020F93" w:rsidRPr="008447BC" w14:paraId="394560A6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14D7E3A8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Quercetin</w:t>
            </w:r>
          </w:p>
        </w:tc>
      </w:tr>
      <w:tr w:rsidR="00020F93" w:rsidRPr="008447BC" w14:paraId="606DB29A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3599981F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14(Z)-Eicosenoic acid</w:t>
            </w:r>
          </w:p>
        </w:tc>
      </w:tr>
      <w:tr w:rsidR="00020F93" w:rsidRPr="008447BC" w14:paraId="520CB0D9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6B69B9E0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N3-(4-chlorophenyl)-4-(trifluoromethyl)nicotinamide</w:t>
            </w:r>
          </w:p>
        </w:tc>
      </w:tr>
      <w:tr w:rsidR="00020F93" w:rsidRPr="008447BC" w14:paraId="5122A6A8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4BE95304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2-(8-Hydroxy-4a,8-dimethyldecahydro-2-naphthalenyl)acrylic acid</w:t>
            </w:r>
          </w:p>
        </w:tc>
      </w:tr>
      <w:tr w:rsidR="00020F93" w:rsidRPr="008447BC" w14:paraId="3E4050B8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39604B94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1-{4-[(3S)-3-(5-Fluoro-1H-benzimidazol-2-yl)-1-pyrrolidinyl]-1-piperidinyl}ethanone</w:t>
            </w:r>
          </w:p>
        </w:tc>
      </w:tr>
      <w:tr w:rsidR="00020F93" w:rsidRPr="008447BC" w14:paraId="063342D1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44658886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4-Oxoproline</w:t>
            </w:r>
          </w:p>
        </w:tc>
      </w:tr>
      <w:tr w:rsidR="00020F93" w:rsidRPr="008447BC" w14:paraId="76E7E30D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7796FFFF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Myricetin</w:t>
            </w:r>
          </w:p>
        </w:tc>
      </w:tr>
      <w:tr w:rsidR="00020F93" w:rsidRPr="008447BC" w14:paraId="13F5F20E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38FE6F05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N-Acetylneuraminic acid</w:t>
            </w:r>
          </w:p>
        </w:tc>
      </w:tr>
      <w:tr w:rsidR="00020F93" w:rsidRPr="008447BC" w14:paraId="6EC92CE8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5D53B164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Miquelianin</w:t>
            </w:r>
          </w:p>
        </w:tc>
      </w:tr>
      <w:tr w:rsidR="00020F93" w:rsidRPr="008447BC" w14:paraId="648EAE6B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36CCA97B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Rutin</w:t>
            </w:r>
          </w:p>
        </w:tc>
      </w:tr>
      <w:tr w:rsidR="00020F93" w:rsidRPr="008447BC" w14:paraId="603DAFC5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50C63DCD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5-{5-[(2S)-1-(Cyclopropylmethyl)-2-pyrrolidinyl]-1,2,4-oxadiazol-3-yl}-N-(2-methoxyethyl)-2-pyridinamine</w:t>
            </w:r>
          </w:p>
        </w:tc>
      </w:tr>
      <w:tr w:rsidR="00020F93" w:rsidRPr="008447BC" w14:paraId="73EAFB85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398D11A7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Pyrogallol</w:t>
            </w:r>
          </w:p>
        </w:tc>
      </w:tr>
      <w:tr w:rsidR="00020F93" w:rsidRPr="008447BC" w14:paraId="1E55DC56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18C024F0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2-Furoylglycine</w:t>
            </w:r>
          </w:p>
        </w:tc>
      </w:tr>
      <w:tr w:rsidR="00020F93" w:rsidRPr="008447BC" w14:paraId="1CAC8F0E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5EF29E37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Monobutyl phthalate</w:t>
            </w:r>
          </w:p>
        </w:tc>
      </w:tr>
      <w:tr w:rsidR="00020F93" w:rsidRPr="008447BC" w14:paraId="3F18839C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22F8D538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Cyclobutyl fentanyl-d5</w:t>
            </w:r>
          </w:p>
        </w:tc>
      </w:tr>
      <w:tr w:rsidR="00020F93" w:rsidRPr="008447BC" w14:paraId="37880403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2A7DCF57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1,3-Dimethylbutylamine</w:t>
            </w:r>
          </w:p>
        </w:tc>
      </w:tr>
      <w:tr w:rsidR="00020F93" w:rsidRPr="008447BC" w14:paraId="69A49547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780EC4E6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L-Iditol</w:t>
            </w:r>
          </w:p>
        </w:tc>
      </w:tr>
      <w:tr w:rsidR="00020F93" w:rsidRPr="008447BC" w14:paraId="102A6ADE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69FFAA05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D-(+)-Glucose</w:t>
            </w:r>
          </w:p>
        </w:tc>
      </w:tr>
      <w:tr w:rsidR="00020F93" w:rsidRPr="008447BC" w14:paraId="68EF8395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46529373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Ethyl myristate</w:t>
            </w:r>
          </w:p>
        </w:tc>
      </w:tr>
      <w:tr w:rsidR="00020F93" w:rsidRPr="008447BC" w14:paraId="285482C3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4797DF0B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(3β,5ξ,9ξ)-3-{[2-O-(β-D-Glucopyranosyl)-β-D-glucopyranosyl]oxy}-23-hydroxyolean-12-en-28-oic acid</w:t>
            </w:r>
          </w:p>
        </w:tc>
      </w:tr>
      <w:tr w:rsidR="00020F93" w:rsidRPr="008447BC" w14:paraId="422ADB02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4D293D8B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O-Phosphorylethanolamine</w:t>
            </w:r>
          </w:p>
        </w:tc>
      </w:tr>
      <w:tr w:rsidR="00020F93" w:rsidRPr="008447BC" w14:paraId="5D16620A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0120A995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Uridine</w:t>
            </w:r>
          </w:p>
        </w:tc>
      </w:tr>
      <w:tr w:rsidR="00020F93" w:rsidRPr="008447BC" w14:paraId="4C7AFA74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3EBBFA38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Gallic acid</w:t>
            </w:r>
          </w:p>
        </w:tc>
      </w:tr>
      <w:tr w:rsidR="00020F93" w:rsidRPr="008447BC" w14:paraId="4FB4007C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24E71241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1-(3-Cyanophenyl)-3-{[(2R,4S,5S)-5-{[4-(4-fluorophenyl)-1-piperazinyl]methyl}-1-azabicyclo[2.2.2]oct-2-yl]methyl}urea</w:t>
            </w:r>
          </w:p>
        </w:tc>
      </w:tr>
      <w:tr w:rsidR="00020F93" w:rsidRPr="008447BC" w14:paraId="177B7510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478369B7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9-Nitrooleate</w:t>
            </w:r>
          </w:p>
        </w:tc>
      </w:tr>
      <w:tr w:rsidR="00020F93" w:rsidRPr="008447BC" w14:paraId="0FE7200C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7646A9A5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5-Methoxysalicylic acid</w:t>
            </w:r>
          </w:p>
        </w:tc>
      </w:tr>
      <w:tr w:rsidR="00020F93" w:rsidRPr="008447BC" w14:paraId="1535287C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30C51EA3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Oxepanone</w:t>
            </w:r>
          </w:p>
        </w:tc>
      </w:tr>
      <w:tr w:rsidR="00020F93" w:rsidRPr="008447BC" w14:paraId="5B830789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335EEBA6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9-hydroxy-7-(2-hydroxypropan-2-yl)-1,4a-dimethyl-1,2,3,4,4a,9,10,10a-octahydrophenanthrene-1-carboxylic acid</w:t>
            </w:r>
          </w:p>
        </w:tc>
      </w:tr>
      <w:tr w:rsidR="00020F93" w:rsidRPr="008447BC" w14:paraId="3A4B679F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4CC4F081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(-)-Camphor</w:t>
            </w:r>
          </w:p>
        </w:tc>
      </w:tr>
      <w:tr w:rsidR="00020F93" w:rsidRPr="008447BC" w14:paraId="2EF40531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79D301AB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5-(2-chloro-3,4-dimethoxybenzylidene)-2-thioxoimidazolidin-4-one</w:t>
            </w:r>
          </w:p>
        </w:tc>
      </w:tr>
      <w:tr w:rsidR="00020F93" w:rsidRPr="008447BC" w14:paraId="303B2890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6277FD3E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Tetrahydrofuran fentanyl-d5</w:t>
            </w:r>
          </w:p>
        </w:tc>
      </w:tr>
      <w:tr w:rsidR="00020F93" w:rsidRPr="008447BC" w14:paraId="744ADA34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688FEB82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Sulfadiazine</w:t>
            </w:r>
          </w:p>
        </w:tc>
      </w:tr>
      <w:tr w:rsidR="00020F93" w:rsidRPr="008447BC" w14:paraId="3B1C05A5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76A1E005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Quercetin-3β-D-glucoside</w:t>
            </w:r>
          </w:p>
        </w:tc>
      </w:tr>
      <w:tr w:rsidR="00020F93" w:rsidRPr="008447BC" w14:paraId="5E79A828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3D115F16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tetranor-12(R)-HETE</w:t>
            </w:r>
          </w:p>
        </w:tc>
      </w:tr>
      <w:tr w:rsidR="00020F93" w:rsidRPr="008447BC" w14:paraId="1470A419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7C34E636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12-oxo Phytodienoic Acid</w:t>
            </w:r>
          </w:p>
        </w:tc>
      </w:tr>
      <w:tr w:rsidR="00020F93" w:rsidRPr="008447BC" w14:paraId="760D4545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40541DF0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Creatinine</w:t>
            </w:r>
          </w:p>
        </w:tc>
      </w:tr>
      <w:tr w:rsidR="00020F93" w:rsidRPr="008447BC" w14:paraId="5DCFD3BB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76275409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N-{4-methyl-3-[(2-toluidinocarbothioyl)amino]phenyl}methanesulfonamide</w:t>
            </w:r>
          </w:p>
        </w:tc>
      </w:tr>
      <w:tr w:rsidR="00020F93" w:rsidRPr="008447BC" w14:paraId="0F13DFF7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08FA8D85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Docosanamide</w:t>
            </w:r>
          </w:p>
        </w:tc>
      </w:tr>
      <w:tr w:rsidR="00020F93" w:rsidRPr="008447BC" w14:paraId="4262BFB7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0883C680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Detomidine</w:t>
            </w:r>
          </w:p>
        </w:tc>
      </w:tr>
      <w:tr w:rsidR="00020F93" w:rsidRPr="008447BC" w14:paraId="7CCBA7E3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6161B78E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Metoprolol</w:t>
            </w:r>
          </w:p>
        </w:tc>
      </w:tr>
      <w:tr w:rsidR="00020F93" w:rsidRPr="008447BC" w14:paraId="629720CD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2BF49F7C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N'2-(2-furylcarbonyl)-3-chloro-4-methylthiophene-2-carbohydrazide</w:t>
            </w:r>
          </w:p>
        </w:tc>
      </w:tr>
      <w:tr w:rsidR="00020F93" w:rsidRPr="008447BC" w14:paraId="4F060008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5AD2409F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(±)8-HEPE</w:t>
            </w:r>
          </w:p>
        </w:tc>
      </w:tr>
      <w:tr w:rsidR="00020F93" w:rsidRPr="008447BC" w14:paraId="01768DE5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343C1ECE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Luteolin</w:t>
            </w:r>
          </w:p>
        </w:tc>
      </w:tr>
      <w:tr w:rsidR="00020F93" w:rsidRPr="008447BC" w14:paraId="55933433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3C2E417D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2-[1-(2,6-Dichlorophenyl)-2-nitroethyl]indane-1,3-dione</w:t>
            </w:r>
          </w:p>
        </w:tc>
      </w:tr>
      <w:tr w:rsidR="00020F93" w:rsidRPr="008447BC" w14:paraId="251ECE7F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0B465B07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5(S)-HpEPE</w:t>
            </w:r>
          </w:p>
        </w:tc>
      </w:tr>
      <w:tr w:rsidR="00020F93" w:rsidRPr="008447BC" w14:paraId="43A9E391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29E4A565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N1-[4-(cyanomethyl)phenyl]-4-chlorobenzamide</w:t>
            </w:r>
          </w:p>
        </w:tc>
      </w:tr>
      <w:tr w:rsidR="00020F93" w:rsidRPr="008447BC" w14:paraId="00807133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678BFD47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Laurolactam</w:t>
            </w:r>
          </w:p>
        </w:tc>
      </w:tr>
      <w:tr w:rsidR="00020F93" w:rsidRPr="008447BC" w14:paraId="00110EA8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5A83744A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3-Methoxy-4-(3-methyl-2-buten-1-yl)-5-[(E)-2-phenylvinyl]phenol</w:t>
            </w:r>
          </w:p>
        </w:tc>
      </w:tr>
      <w:tr w:rsidR="00020F93" w:rsidRPr="008447BC" w14:paraId="3001B233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296C04D2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Prostaglandin E2</w:t>
            </w:r>
          </w:p>
        </w:tc>
      </w:tr>
      <w:tr w:rsidR="00020F93" w:rsidRPr="008447BC" w14:paraId="3AFF9B55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4C1E21B3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18-β-Glycyrrhetinic acid</w:t>
            </w:r>
          </w:p>
        </w:tc>
      </w:tr>
      <w:tr w:rsidR="00020F93" w:rsidRPr="008447BC" w14:paraId="6A3F9363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7AF6D468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DL-Carnitine</w:t>
            </w:r>
          </w:p>
        </w:tc>
      </w:tr>
      <w:tr w:rsidR="00020F93" w:rsidRPr="008447BC" w14:paraId="1D45F93A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240635AD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5,6,7-Trimethoxy-2H-chromen-2-one</w:t>
            </w:r>
          </w:p>
        </w:tc>
      </w:tr>
      <w:tr w:rsidR="00020F93" w:rsidRPr="008447BC" w14:paraId="0EB7B12B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2076F592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DL-Glutamine</w:t>
            </w:r>
          </w:p>
        </w:tc>
      </w:tr>
      <w:tr w:rsidR="00020F93" w:rsidRPr="008447BC" w14:paraId="0256072C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38146AE8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Betaine</w:t>
            </w:r>
          </w:p>
        </w:tc>
      </w:tr>
      <w:tr w:rsidR="00020F93" w:rsidRPr="008447BC" w14:paraId="61B3EAA0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395DE200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Pseudouridine</w:t>
            </w:r>
          </w:p>
        </w:tc>
      </w:tr>
      <w:tr w:rsidR="00020F93" w:rsidRPr="008447BC" w14:paraId="0F2B536E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4E3CD7B0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Chenodeoxycholic Acid</w:t>
            </w:r>
          </w:p>
        </w:tc>
      </w:tr>
      <w:tr w:rsidR="00020F93" w:rsidRPr="008447BC" w14:paraId="1EF69617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0C2C6A4C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Bis(2-ethylhexyl) amine</w:t>
            </w:r>
          </w:p>
        </w:tc>
      </w:tr>
      <w:tr w:rsidR="00020F93" w:rsidRPr="008447BC" w14:paraId="1EE17186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74E8B7D6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2-Hydroxy-1-(4-methoxyphenyl)propyl hexopyranoside</w:t>
            </w:r>
          </w:p>
        </w:tc>
      </w:tr>
      <w:tr w:rsidR="00020F93" w:rsidRPr="008447BC" w14:paraId="53E05CC5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49CCE0FE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3-Methoxy-5,7,3',4'-tetrahydroxy-flavone</w:t>
            </w:r>
          </w:p>
        </w:tc>
      </w:tr>
      <w:tr w:rsidR="00020F93" w:rsidRPr="008447BC" w14:paraId="66C6256B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6153CC01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N'5-(2-thienylmethylidene)-2,1,3-benzoxadiazole-5-carbohydrazide</w:t>
            </w:r>
          </w:p>
        </w:tc>
      </w:tr>
      <w:tr w:rsidR="00020F93" w:rsidRPr="008447BC" w14:paraId="54D3F641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5A9658A7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(3aR,4S,6R,11aR)-6,9-Dihydroxy-6,10-dimethyl-3-methylene-2,7-dioxo-2,3,3a,4,5,6,7,8,9,11a-decahydrocyclodeca[b]furan-4-yl methacrylate</w:t>
            </w:r>
          </w:p>
        </w:tc>
      </w:tr>
      <w:tr w:rsidR="00020F93" w:rsidRPr="008447BC" w14:paraId="6D31BB89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629AF18E" w14:textId="77777777" w:rsidR="00020F93" w:rsidRPr="008447BC" w:rsidRDefault="00020F93" w:rsidP="007319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Prostaglandin F2</w:t>
            </w:r>
            <w:r w:rsidR="00731998">
              <w:rPr>
                <w:rFonts w:ascii="Times New Roman" w:hAnsi="Times New Roman" w:cs="Times New Roman"/>
                <w:sz w:val="16"/>
                <w:szCs w:val="16"/>
              </w:rPr>
              <w:t>α</w:t>
            </w:r>
          </w:p>
        </w:tc>
      </w:tr>
      <w:tr w:rsidR="00020F93" w:rsidRPr="008447BC" w14:paraId="66125C65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27F466A4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Buprenorphine</w:t>
            </w:r>
          </w:p>
        </w:tc>
      </w:tr>
      <w:tr w:rsidR="00020F93" w:rsidRPr="008447BC" w14:paraId="756B3426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696F7F15" w14:textId="77777777" w:rsidR="00020F93" w:rsidRPr="008447BC" w:rsidRDefault="00020F93" w:rsidP="007319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8-iso-13,14-dihydro-15-keto Prostaglandin F2</w:t>
            </w:r>
            <w:r w:rsidR="00731998">
              <w:rPr>
                <w:rFonts w:ascii="Times New Roman" w:hAnsi="Times New Roman" w:cs="Times New Roman"/>
                <w:sz w:val="16"/>
                <w:szCs w:val="16"/>
              </w:rPr>
              <w:t>α</w:t>
            </w:r>
          </w:p>
        </w:tc>
      </w:tr>
      <w:tr w:rsidR="00020F93" w:rsidRPr="008447BC" w14:paraId="57D6D370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2CBC88BF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N-cyclohexyl-1-methyl-5-(1H-pyrrol-1-yl)-1H-pyrazole-4-carboxamide</w:t>
            </w:r>
          </w:p>
        </w:tc>
      </w:tr>
      <w:tr w:rsidR="00020F93" w:rsidRPr="008447BC" w14:paraId="5B7D1988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677A5789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Benzoguanamine</w:t>
            </w:r>
          </w:p>
        </w:tc>
      </w:tr>
      <w:tr w:rsidR="00020F93" w:rsidRPr="008447BC" w14:paraId="3C05B928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69494C6C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2-{[4-(tert-butyl)-4H-1,2,4-triazol-3-yl]thio}-3-nitropyridine</w:t>
            </w:r>
          </w:p>
        </w:tc>
      </w:tr>
      <w:tr w:rsidR="00020F93" w:rsidRPr="008447BC" w14:paraId="1B060A7E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429CF8EA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N-Glycolylneuraminic acid</w:t>
            </w:r>
          </w:p>
        </w:tc>
      </w:tr>
      <w:tr w:rsidR="00020F93" w:rsidRPr="008447BC" w14:paraId="4A9C2F1A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51CD4350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Diaveridine</w:t>
            </w:r>
          </w:p>
        </w:tc>
      </w:tr>
      <w:tr w:rsidR="00020F93" w:rsidRPr="008447BC" w14:paraId="5F17C07E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64C7C685" w14:textId="77777777" w:rsidR="00020F93" w:rsidRPr="008447BC" w:rsidRDefault="00020F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47BC">
              <w:rPr>
                <w:rFonts w:ascii="Times New Roman" w:hAnsi="Times New Roman" w:cs="Times New Roman"/>
                <w:sz w:val="16"/>
                <w:szCs w:val="16"/>
              </w:rPr>
              <w:t>Gentisic acid</w:t>
            </w:r>
          </w:p>
        </w:tc>
      </w:tr>
      <w:tr w:rsidR="00020F93" w:rsidRPr="008447BC" w14:paraId="22BB2F32" w14:textId="77777777" w:rsidTr="000C16C1">
        <w:trPr>
          <w:trHeight w:val="278"/>
        </w:trPr>
        <w:tc>
          <w:tcPr>
            <w:tcW w:w="14500" w:type="dxa"/>
            <w:noWrap/>
            <w:hideMark/>
          </w:tcPr>
          <w:p w14:paraId="2D409C5C" w14:textId="77777777" w:rsidR="00020F93" w:rsidRPr="008447BC" w:rsidRDefault="007A4A93" w:rsidP="004C2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4A93">
              <w:rPr>
                <w:rFonts w:ascii="Times New Roman" w:hAnsi="Times New Roman" w:cs="Times New Roman" w:hint="eastAsia"/>
                <w:sz w:val="16"/>
                <w:szCs w:val="16"/>
              </w:rPr>
              <w:t>Lithocholic acid</w:t>
            </w:r>
          </w:p>
        </w:tc>
      </w:tr>
    </w:tbl>
    <w:p w14:paraId="020E465E" w14:textId="455C82F2" w:rsidR="00D8587A" w:rsidRPr="009929EB" w:rsidRDefault="00D8587A" w:rsidP="00C54DA6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929EB">
        <w:rPr>
          <w:rFonts w:ascii="Times New Roman" w:hAnsi="Times New Roman" w:cs="Times New Roman" w:hint="eastAsia"/>
          <w:sz w:val="21"/>
          <w:szCs w:val="21"/>
        </w:rPr>
        <w:t>The</w:t>
      </w:r>
      <w:r w:rsidR="00535831" w:rsidRPr="009929EB">
        <w:rPr>
          <w:rFonts w:ascii="Times New Roman" w:hAnsi="Times New Roman" w:cs="Times New Roman"/>
          <w:sz w:val="21"/>
          <w:szCs w:val="21"/>
        </w:rPr>
        <w:t>se</w:t>
      </w:r>
      <w:r w:rsidRPr="009929EB">
        <w:rPr>
          <w:rFonts w:ascii="Times New Roman" w:hAnsi="Times New Roman" w:cs="Times New Roman" w:hint="eastAsia"/>
          <w:sz w:val="21"/>
          <w:szCs w:val="21"/>
        </w:rPr>
        <w:t xml:space="preserve"> components are the </w:t>
      </w:r>
      <w:r w:rsidR="00535831" w:rsidRPr="009929EB">
        <w:rPr>
          <w:rFonts w:ascii="Times New Roman" w:hAnsi="Times New Roman" w:cs="Times New Roman" w:hint="eastAsia"/>
          <w:sz w:val="21"/>
          <w:szCs w:val="21"/>
        </w:rPr>
        <w:t xml:space="preserve">73 </w:t>
      </w:r>
      <w:r w:rsidRPr="009929EB">
        <w:rPr>
          <w:rFonts w:ascii="Times New Roman" w:hAnsi="Times New Roman" w:cs="Times New Roman" w:hint="eastAsia"/>
          <w:sz w:val="21"/>
          <w:szCs w:val="21"/>
        </w:rPr>
        <w:t xml:space="preserve">active components </w:t>
      </w:r>
      <w:r w:rsidR="00535831" w:rsidRPr="009929EB">
        <w:rPr>
          <w:rFonts w:ascii="Times New Roman" w:hAnsi="Times New Roman" w:cs="Times New Roman"/>
          <w:sz w:val="21"/>
          <w:szCs w:val="21"/>
        </w:rPr>
        <w:t>of YGJ, detected in the</w:t>
      </w:r>
      <w:r w:rsidRPr="009929EB">
        <w:rPr>
          <w:rFonts w:ascii="Times New Roman" w:hAnsi="Times New Roman" w:cs="Times New Roman" w:hint="eastAsia"/>
          <w:sz w:val="21"/>
          <w:szCs w:val="21"/>
        </w:rPr>
        <w:t xml:space="preserve"> YGJ-containing serum </w:t>
      </w:r>
      <w:r w:rsidR="00535831" w:rsidRPr="009929EB">
        <w:rPr>
          <w:rFonts w:ascii="Times New Roman" w:hAnsi="Times New Roman" w:cs="Times New Roman"/>
          <w:sz w:val="21"/>
          <w:szCs w:val="21"/>
        </w:rPr>
        <w:t>and absent in the control serum</w:t>
      </w:r>
      <w:r w:rsidRPr="009929EB">
        <w:rPr>
          <w:rFonts w:ascii="Times New Roman" w:hAnsi="Times New Roman" w:cs="Times New Roman" w:hint="eastAsia"/>
          <w:sz w:val="21"/>
          <w:szCs w:val="21"/>
        </w:rPr>
        <w:t>.</w:t>
      </w:r>
    </w:p>
    <w:p w14:paraId="78AE3646" w14:textId="77777777" w:rsidR="00020F93" w:rsidRPr="00D8587A" w:rsidRDefault="00020F93">
      <w:pPr>
        <w:rPr>
          <w:rFonts w:ascii="Times New Roman" w:hAnsi="Times New Roman" w:cs="Times New Roman"/>
          <w:sz w:val="21"/>
          <w:szCs w:val="21"/>
        </w:rPr>
      </w:pPr>
      <w:bookmarkStart w:id="0" w:name="_GoBack"/>
      <w:bookmarkEnd w:id="0"/>
    </w:p>
    <w:sectPr w:rsidR="00020F93" w:rsidRPr="00D8587A" w:rsidSect="00EB5E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86065F" w14:textId="77777777" w:rsidR="004C61D5" w:rsidRDefault="004C61D5" w:rsidP="00020F93">
      <w:pPr>
        <w:spacing w:after="0" w:line="240" w:lineRule="auto"/>
      </w:pPr>
      <w:r>
        <w:separator/>
      </w:r>
    </w:p>
  </w:endnote>
  <w:endnote w:type="continuationSeparator" w:id="0">
    <w:p w14:paraId="46B6F40F" w14:textId="77777777" w:rsidR="004C61D5" w:rsidRDefault="004C61D5" w:rsidP="00020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CDDFD7" w14:textId="77777777" w:rsidR="004C61D5" w:rsidRDefault="004C61D5" w:rsidP="00020F93">
      <w:pPr>
        <w:spacing w:after="0" w:line="240" w:lineRule="auto"/>
      </w:pPr>
      <w:r>
        <w:separator/>
      </w:r>
    </w:p>
  </w:footnote>
  <w:footnote w:type="continuationSeparator" w:id="0">
    <w:p w14:paraId="0A6296CD" w14:textId="77777777" w:rsidR="004C61D5" w:rsidRDefault="004C61D5" w:rsidP="00020F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hideSpellingErrors/>
  <w:hideGrammaticalErrors/>
  <w:trackRevisions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2NDQwNjIwNTQ3NTCwMDFW0lEKTi0uzszPAykwrgUAGWNhISwAAAA="/>
  </w:docVars>
  <w:rsids>
    <w:rsidRoot w:val="00F00115"/>
    <w:rsid w:val="00020F93"/>
    <w:rsid w:val="000F0775"/>
    <w:rsid w:val="00131571"/>
    <w:rsid w:val="001A163F"/>
    <w:rsid w:val="001C2623"/>
    <w:rsid w:val="00215600"/>
    <w:rsid w:val="002E4F93"/>
    <w:rsid w:val="0031283A"/>
    <w:rsid w:val="00313660"/>
    <w:rsid w:val="004654D7"/>
    <w:rsid w:val="004C2F7E"/>
    <w:rsid w:val="004C61D5"/>
    <w:rsid w:val="004D6763"/>
    <w:rsid w:val="00535831"/>
    <w:rsid w:val="005A4952"/>
    <w:rsid w:val="005A7AFE"/>
    <w:rsid w:val="006253B4"/>
    <w:rsid w:val="006308C4"/>
    <w:rsid w:val="006606AA"/>
    <w:rsid w:val="0068063A"/>
    <w:rsid w:val="006A4AF5"/>
    <w:rsid w:val="006E3D10"/>
    <w:rsid w:val="00731998"/>
    <w:rsid w:val="007A4A93"/>
    <w:rsid w:val="00803483"/>
    <w:rsid w:val="00803E67"/>
    <w:rsid w:val="00823B38"/>
    <w:rsid w:val="0084442D"/>
    <w:rsid w:val="008447BC"/>
    <w:rsid w:val="00856044"/>
    <w:rsid w:val="008C4658"/>
    <w:rsid w:val="00943551"/>
    <w:rsid w:val="009929EB"/>
    <w:rsid w:val="009A1F55"/>
    <w:rsid w:val="009A5813"/>
    <w:rsid w:val="009C2F5D"/>
    <w:rsid w:val="00A0186C"/>
    <w:rsid w:val="00A238F1"/>
    <w:rsid w:val="00A4291B"/>
    <w:rsid w:val="00AD3E2F"/>
    <w:rsid w:val="00AE2A13"/>
    <w:rsid w:val="00B6501D"/>
    <w:rsid w:val="00B712D3"/>
    <w:rsid w:val="00B93388"/>
    <w:rsid w:val="00BC5917"/>
    <w:rsid w:val="00C26BDF"/>
    <w:rsid w:val="00C533F4"/>
    <w:rsid w:val="00C54DA6"/>
    <w:rsid w:val="00C54DA9"/>
    <w:rsid w:val="00C67BC0"/>
    <w:rsid w:val="00C84CA7"/>
    <w:rsid w:val="00CA5B20"/>
    <w:rsid w:val="00CB69FF"/>
    <w:rsid w:val="00D2793A"/>
    <w:rsid w:val="00D8587A"/>
    <w:rsid w:val="00D86597"/>
    <w:rsid w:val="00D93A00"/>
    <w:rsid w:val="00D94BE0"/>
    <w:rsid w:val="00DB49A0"/>
    <w:rsid w:val="00DB501D"/>
    <w:rsid w:val="00DB7D4C"/>
    <w:rsid w:val="00DC3E7C"/>
    <w:rsid w:val="00E74F7C"/>
    <w:rsid w:val="00E8601D"/>
    <w:rsid w:val="00E90347"/>
    <w:rsid w:val="00EB5E3C"/>
    <w:rsid w:val="00EC7092"/>
    <w:rsid w:val="00EE51AC"/>
    <w:rsid w:val="00F00115"/>
    <w:rsid w:val="00F530E4"/>
    <w:rsid w:val="00F63EBA"/>
    <w:rsid w:val="00F86AF4"/>
    <w:rsid w:val="00FE5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7678A3"/>
  <w15:docId w15:val="{29B3BBB5-855E-4DED-86FA-C9005EBAB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42D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F0011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01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011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011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011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0115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011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011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011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011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01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01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0115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0115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0115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0115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0115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0115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F0011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0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011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011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01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01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01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01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1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1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011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20F9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20F9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20F9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20F93"/>
    <w:rPr>
      <w:sz w:val="18"/>
      <w:szCs w:val="18"/>
    </w:rPr>
  </w:style>
  <w:style w:type="table" w:styleId="TableGrid">
    <w:name w:val="Table Grid"/>
    <w:basedOn w:val="TableNormal"/>
    <w:uiPriority w:val="39"/>
    <w:rsid w:val="00020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3551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3551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43551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355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355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35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3551"/>
    <w:rPr>
      <w:b/>
      <w:bCs/>
    </w:rPr>
  </w:style>
  <w:style w:type="paragraph" w:styleId="Revision">
    <w:name w:val="Revision"/>
    <w:hidden/>
    <w:uiPriority w:val="99"/>
    <w:semiHidden/>
    <w:rsid w:val="00D94B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0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53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3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4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64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0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08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1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65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7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57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8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6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911A9F-3B87-4A86-920D-0FBABE38FE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6440FC-71FB-47F7-90D3-FABFC8290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439</Words>
  <Characters>2504</Characters>
  <Application>Microsoft Office Word</Application>
  <DocSecurity>0</DocSecurity>
  <Lines>20</Lines>
  <Paragraphs>5</Paragraphs>
  <ScaleCrop>false</ScaleCrop>
  <Company>P R C</Company>
  <LinksUpToDate>false</LinksUpToDate>
  <CharactersWithSpaces>2938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柘君 刘</dc:creator>
  <cp:lastModifiedBy>Rajalakshmi Thangaraj</cp:lastModifiedBy>
  <cp:revision>8</cp:revision>
  <dcterms:created xsi:type="dcterms:W3CDTF">2025-09-30T22:51:00Z</dcterms:created>
  <dcterms:modified xsi:type="dcterms:W3CDTF">2025-10-30T06:39:00Z</dcterms:modified>
</cp:coreProperties>
</file>