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B97" w:rsidRPr="00C60B97" w:rsidRDefault="00C60B97" w:rsidP="00C60B97">
      <w:pPr>
        <w:tabs>
          <w:tab w:val="left" w:pos="1320"/>
        </w:tabs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  <w:r w:rsidRPr="00C60B97">
        <w:rPr>
          <w:rFonts w:ascii="Times New Roman" w:eastAsia="SimSun" w:hAnsi="Times New Roman" w:cs="Times New Roman"/>
          <w:noProof/>
          <w:color w:val="000000"/>
          <w:sz w:val="24"/>
          <w:szCs w:val="24"/>
          <w:lang w:val="en-US" w:eastAsia="zh-CN"/>
        </w:rPr>
        <w:drawing>
          <wp:inline distT="0" distB="0" distL="0" distR="0" wp14:anchorId="5021B517" wp14:editId="382D23E6">
            <wp:extent cx="5448300" cy="6298565"/>
            <wp:effectExtent l="0" t="0" r="0" b="635"/>
            <wp:docPr id="86000647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006479" name="图片 8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378"/>
                    <a:stretch>
                      <a:fillRect/>
                    </a:stretch>
                  </pic:blipFill>
                  <pic:spPr>
                    <a:xfrm>
                      <a:off x="0" y="0"/>
                      <a:ext cx="5489806" cy="634654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B97" w:rsidRDefault="00C60B97" w:rsidP="00C60B97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C60B97" w:rsidRPr="00C60B97" w:rsidRDefault="00C60B97" w:rsidP="00C60B97">
      <w:pPr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/>
        </w:rPr>
      </w:pPr>
      <w:bookmarkStart w:id="0" w:name="_GoBack"/>
      <w:bookmarkEnd w:id="0"/>
      <w:r w:rsidRPr="00C60B97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>S</w:t>
      </w:r>
      <w:r w:rsidRPr="00C60B97">
        <w:rPr>
          <w:rFonts w:ascii="Times New Roman" w:eastAsia="SimSun" w:hAnsi="Times New Roman" w:cs="Times New Roman" w:hint="eastAsia"/>
          <w:b/>
          <w:sz w:val="24"/>
          <w:szCs w:val="24"/>
          <w:lang w:val="en-US" w:eastAsia="zh-CN"/>
        </w:rPr>
        <w:t>u</w:t>
      </w:r>
      <w:r w:rsidRPr="00C60B97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 xml:space="preserve">pplementary Fig S4 – </w:t>
      </w:r>
      <w:r w:rsidRPr="00C60B97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/>
        </w:rPr>
        <w:t>C</w:t>
      </w:r>
      <w:r w:rsidRPr="00C60B97">
        <w:rPr>
          <w:rFonts w:ascii="Times New Roman" w:eastAsia="SimSun" w:hAnsi="Times New Roman" w:cs="Times New Roman" w:hint="eastAsia"/>
          <w:b/>
          <w:bCs/>
          <w:color w:val="000000"/>
          <w:sz w:val="24"/>
          <w:szCs w:val="24"/>
          <w:lang w:val="en-US" w:eastAsia="zh-CN"/>
        </w:rPr>
        <w:t>ell</w:t>
      </w:r>
      <w:r w:rsidRPr="00C60B97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 type composition and cell cycle status of LEPR</w:t>
      </w:r>
      <w:r w:rsidRPr="00C60B97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vertAlign w:val="superscript"/>
          <w:lang w:val="en-US" w:eastAsia="zh-CN"/>
        </w:rPr>
        <w:t xml:space="preserve">+ </w:t>
      </w:r>
      <w:r w:rsidRPr="00C60B97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/>
        </w:rPr>
        <w:t>eMSCs.</w:t>
      </w:r>
    </w:p>
    <w:p w:rsidR="00C60B97" w:rsidRPr="00C60B97" w:rsidRDefault="00C60B97" w:rsidP="00C60B97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  <w:r w:rsidRPr="00C60B97">
        <w:rPr>
          <w:rFonts w:ascii="Times New Roman" w:eastAsia="SimSun" w:hAnsi="Times New Roman" w:cs="Times New Roman"/>
          <w:b/>
          <w:color w:val="000000"/>
          <w:sz w:val="24"/>
          <w:szCs w:val="24"/>
          <w:lang w:val="en-US" w:eastAsia="zh-CN"/>
        </w:rPr>
        <w:t>(A)</w:t>
      </w:r>
      <w:r w:rsidRPr="00C60B97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Cell type composition of LEPR</w:t>
      </w:r>
      <w:r w:rsidRPr="00C60B97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>+</w:t>
      </w:r>
      <w:r w:rsidRPr="00C60B97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eMSCs. Cell cycle distribution of different subsets among </w:t>
      </w:r>
      <w:r w:rsidRPr="00C60B97">
        <w:rPr>
          <w:rFonts w:ascii="Times New Roman" w:eastAsia="SimSun" w:hAnsi="Times New Roman" w:cs="Times New Roman"/>
          <w:b/>
          <w:color w:val="000000"/>
          <w:sz w:val="24"/>
          <w:szCs w:val="24"/>
          <w:lang w:val="en-US" w:eastAsia="zh-CN"/>
        </w:rPr>
        <w:t>(B)</w:t>
      </w:r>
      <w:r w:rsidRPr="00C60B97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cultured and </w:t>
      </w:r>
      <w:r w:rsidRPr="00C60B97">
        <w:rPr>
          <w:rFonts w:ascii="Times New Roman" w:eastAsia="SimSun" w:hAnsi="Times New Roman" w:cs="Times New Roman"/>
          <w:b/>
          <w:color w:val="000000"/>
          <w:sz w:val="24"/>
          <w:szCs w:val="24"/>
          <w:lang w:val="en-US" w:eastAsia="zh-CN"/>
        </w:rPr>
        <w:t>(E)</w:t>
      </w:r>
      <w:r w:rsidRPr="00C60B97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primary eMSCs. The expression and distribution of </w:t>
      </w:r>
      <w:r w:rsidRPr="00C60B97">
        <w:rPr>
          <w:rFonts w:ascii="Times New Roman" w:eastAsia="SimSun" w:hAnsi="Times New Roman" w:cs="Times New Roman"/>
          <w:i/>
          <w:iCs/>
          <w:color w:val="000000"/>
          <w:sz w:val="24"/>
          <w:szCs w:val="24"/>
          <w:lang w:val="en-US" w:eastAsia="zh-CN"/>
        </w:rPr>
        <w:t xml:space="preserve">CDKN1B </w:t>
      </w:r>
      <w:r w:rsidRPr="00C60B97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in different subsets among </w:t>
      </w:r>
      <w:r w:rsidRPr="00C60B97">
        <w:rPr>
          <w:rFonts w:ascii="Times New Roman" w:eastAsia="SimSun" w:hAnsi="Times New Roman" w:cs="Times New Roman"/>
          <w:b/>
          <w:color w:val="000000"/>
          <w:sz w:val="24"/>
          <w:szCs w:val="24"/>
          <w:lang w:val="en-US" w:eastAsia="zh-CN"/>
        </w:rPr>
        <w:t>(C)</w:t>
      </w:r>
      <w:r w:rsidRPr="00C60B97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cultured and </w:t>
      </w:r>
      <w:r w:rsidRPr="00C60B97">
        <w:rPr>
          <w:rFonts w:ascii="Times New Roman" w:eastAsia="SimSun" w:hAnsi="Times New Roman" w:cs="Times New Roman"/>
          <w:b/>
          <w:color w:val="000000"/>
          <w:sz w:val="24"/>
          <w:szCs w:val="24"/>
          <w:lang w:val="en-US" w:eastAsia="zh-CN"/>
        </w:rPr>
        <w:t>(F)</w:t>
      </w:r>
      <w:r w:rsidRPr="00C60B97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primary eMSCs. The expression and distribution of </w:t>
      </w:r>
      <w:r w:rsidRPr="00C60B97">
        <w:rPr>
          <w:rFonts w:ascii="Times New Roman" w:eastAsia="SimSun" w:hAnsi="Times New Roman" w:cs="Times New Roman"/>
          <w:i/>
          <w:iCs/>
          <w:color w:val="000000"/>
          <w:sz w:val="24"/>
          <w:szCs w:val="24"/>
          <w:lang w:val="en-US" w:eastAsia="zh-CN"/>
        </w:rPr>
        <w:t xml:space="preserve">MKI67 </w:t>
      </w:r>
      <w:r w:rsidRPr="00C60B97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in different subsets among </w:t>
      </w:r>
      <w:r w:rsidRPr="00C60B97">
        <w:rPr>
          <w:rFonts w:ascii="Times New Roman" w:eastAsia="SimSun" w:hAnsi="Times New Roman" w:cs="Times New Roman"/>
          <w:b/>
          <w:color w:val="000000"/>
          <w:sz w:val="24"/>
          <w:szCs w:val="24"/>
          <w:lang w:val="en-US" w:eastAsia="zh-CN"/>
        </w:rPr>
        <w:t>(D)</w:t>
      </w:r>
      <w:r w:rsidRPr="00C60B97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cultured and </w:t>
      </w:r>
      <w:r w:rsidRPr="00C60B97">
        <w:rPr>
          <w:rFonts w:ascii="Times New Roman" w:eastAsia="SimSun" w:hAnsi="Times New Roman" w:cs="Times New Roman"/>
          <w:b/>
          <w:color w:val="000000"/>
          <w:sz w:val="24"/>
          <w:szCs w:val="24"/>
          <w:lang w:val="en-US" w:eastAsia="zh-CN"/>
        </w:rPr>
        <w:t>(G)</w:t>
      </w:r>
      <w:r w:rsidRPr="00C60B97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primary eMSCs. Expression patterns of Notch ligands (</w:t>
      </w:r>
      <w:r w:rsidRPr="00C60B97">
        <w:rPr>
          <w:rFonts w:ascii="Times New Roman" w:eastAsia="SimSun" w:hAnsi="Times New Roman" w:cs="Times New Roman"/>
          <w:i/>
          <w:iCs/>
          <w:color w:val="000000"/>
          <w:sz w:val="24"/>
          <w:szCs w:val="24"/>
          <w:lang w:val="en-US" w:eastAsia="zh-CN"/>
        </w:rPr>
        <w:t xml:space="preserve">DLL1, DLL3, DLL4, JAG1, </w:t>
      </w:r>
      <w:r w:rsidRPr="00C60B97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and </w:t>
      </w:r>
      <w:r w:rsidRPr="00C60B97">
        <w:rPr>
          <w:rFonts w:ascii="Times New Roman" w:eastAsia="SimSun" w:hAnsi="Times New Roman" w:cs="Times New Roman"/>
          <w:i/>
          <w:iCs/>
          <w:color w:val="000000"/>
          <w:sz w:val="24"/>
          <w:szCs w:val="24"/>
          <w:lang w:val="en-US" w:eastAsia="zh-CN"/>
        </w:rPr>
        <w:t>JAG2</w:t>
      </w:r>
      <w:r w:rsidRPr="00C60B97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) across different endometrial cell types during </w:t>
      </w:r>
      <w:r w:rsidRPr="00C60B97">
        <w:rPr>
          <w:rFonts w:ascii="Times New Roman" w:eastAsia="SimSun" w:hAnsi="Times New Roman" w:cs="Times New Roman"/>
          <w:b/>
          <w:color w:val="000000"/>
          <w:sz w:val="24"/>
          <w:szCs w:val="24"/>
          <w:lang w:val="en-US" w:eastAsia="zh-CN"/>
        </w:rPr>
        <w:t>(H)</w:t>
      </w:r>
      <w:r w:rsidRPr="00C60B97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proliferative and </w:t>
      </w:r>
      <w:r w:rsidRPr="00C60B97">
        <w:rPr>
          <w:rFonts w:ascii="Times New Roman" w:eastAsia="SimSun" w:hAnsi="Times New Roman" w:cs="Times New Roman"/>
          <w:b/>
          <w:color w:val="000000"/>
          <w:sz w:val="24"/>
          <w:szCs w:val="24"/>
          <w:lang w:val="en-US" w:eastAsia="zh-CN"/>
        </w:rPr>
        <w:t>(I)</w:t>
      </w:r>
      <w:r w:rsidRPr="00C60B97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secretory phase.</w:t>
      </w:r>
    </w:p>
    <w:p w:rsidR="00C33933" w:rsidRDefault="00C33933"/>
    <w:sectPr w:rsidR="00C339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B97"/>
    <w:rsid w:val="004035FA"/>
    <w:rsid w:val="00C33933"/>
    <w:rsid w:val="00C60B97"/>
    <w:rsid w:val="00DD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67B04"/>
  <w15:chartTrackingRefBased/>
  <w15:docId w15:val="{45B34B76-3842-4AB0-A666-5ACF48F08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H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rwschan</dc:creator>
  <cp:keywords/>
  <dc:description/>
  <cp:lastModifiedBy>rwschan</cp:lastModifiedBy>
  <cp:revision>1</cp:revision>
  <dcterms:created xsi:type="dcterms:W3CDTF">2025-10-30T03:32:00Z</dcterms:created>
  <dcterms:modified xsi:type="dcterms:W3CDTF">2025-10-30T03:32:00Z</dcterms:modified>
</cp:coreProperties>
</file>