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D478" w14:textId="2CDF326F" w:rsidR="00ED7A7F" w:rsidRDefault="006C7DDB" w:rsidP="006C7DDB">
      <w:pPr>
        <w:spacing w:after="0"/>
        <w:jc w:val="center"/>
      </w:pPr>
      <w:r>
        <w:rPr>
          <w:noProof/>
        </w:rPr>
        <w:drawing>
          <wp:inline distT="0" distB="0" distL="0" distR="0" wp14:anchorId="1157A9CA" wp14:editId="22E2FD25">
            <wp:extent cx="5734050" cy="7572375"/>
            <wp:effectExtent l="0" t="0" r="0" b="9525"/>
            <wp:docPr id="21368401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84281" w14:textId="490F90FE" w:rsidR="006C7DDB" w:rsidRPr="006C7DDB" w:rsidRDefault="006C7DDB" w:rsidP="006C7DDB">
      <w:pPr>
        <w:jc w:val="both"/>
        <w:rPr>
          <w:rFonts w:ascii="Times New Roman" w:hAnsi="Times New Roman" w:cs="Times New Roman" w:hint="eastAsia"/>
          <w:sz w:val="24"/>
          <w:szCs w:val="28"/>
        </w:rPr>
      </w:pPr>
      <w:r w:rsidRPr="006C7DDB">
        <w:rPr>
          <w:rFonts w:ascii="Times New Roman" w:hAnsi="Times New Roman" w:cs="Times New Roman"/>
          <w:b/>
          <w:bCs/>
          <w:sz w:val="24"/>
          <w:szCs w:val="28"/>
        </w:rPr>
        <w:t>Supplementary Figure</w:t>
      </w:r>
      <w:r w:rsidRPr="006C7DDB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6C7DDB">
        <w:rPr>
          <w:rFonts w:ascii="Times New Roman" w:hAnsi="Times New Roman" w:cs="Times New Roman"/>
          <w:sz w:val="24"/>
          <w:szCs w:val="28"/>
        </w:rPr>
        <w:t xml:space="preserve">Results of the lymphocyte proliferation inhibition assay as a potency </w:t>
      </w:r>
      <w:r w:rsidR="001A0041">
        <w:rPr>
          <w:rFonts w:ascii="Times New Roman" w:hAnsi="Times New Roman" w:cs="Times New Roman" w:hint="eastAsia"/>
          <w:sz w:val="24"/>
          <w:szCs w:val="28"/>
        </w:rPr>
        <w:t>assay</w:t>
      </w:r>
      <w:r w:rsidRPr="006C7DDB">
        <w:rPr>
          <w:rFonts w:ascii="Times New Roman" w:hAnsi="Times New Roman" w:cs="Times New Roman"/>
          <w:sz w:val="24"/>
          <w:szCs w:val="28"/>
        </w:rPr>
        <w:t xml:space="preserve"> for the </w:t>
      </w:r>
      <w:r>
        <w:rPr>
          <w:rFonts w:ascii="Times New Roman" w:hAnsi="Times New Roman" w:cs="Times New Roman" w:hint="eastAsia"/>
          <w:sz w:val="24"/>
          <w:szCs w:val="28"/>
        </w:rPr>
        <w:t>canine adipose-derived mesenchymal stromal cell (</w:t>
      </w:r>
      <w:r w:rsidRPr="006C7DDB">
        <w:rPr>
          <w:rFonts w:ascii="Times New Roman" w:hAnsi="Times New Roman" w:cs="Times New Roman"/>
          <w:sz w:val="24"/>
          <w:szCs w:val="28"/>
        </w:rPr>
        <w:t>cADSC</w:t>
      </w:r>
      <w:r>
        <w:rPr>
          <w:rFonts w:ascii="Times New Roman" w:hAnsi="Times New Roman" w:cs="Times New Roman" w:hint="eastAsia"/>
          <w:sz w:val="24"/>
          <w:szCs w:val="28"/>
        </w:rPr>
        <w:t>)</w:t>
      </w:r>
      <w:r w:rsidRPr="006C7DDB">
        <w:rPr>
          <w:rFonts w:ascii="Times New Roman" w:hAnsi="Times New Roman" w:cs="Times New Roman"/>
          <w:sz w:val="24"/>
          <w:szCs w:val="28"/>
        </w:rPr>
        <w:t xml:space="preserve"> batches. </w:t>
      </w:r>
      <w:r w:rsidRPr="006C7DDB">
        <w:rPr>
          <w:rFonts w:ascii="Times New Roman" w:hAnsi="Times New Roman" w:cs="Times New Roman"/>
          <w:b/>
          <w:bCs/>
          <w:sz w:val="24"/>
          <w:szCs w:val="28"/>
        </w:rPr>
        <w:t>(A)</w:t>
      </w:r>
      <w:r w:rsidRPr="006C7DDB">
        <w:rPr>
          <w:rFonts w:ascii="Times New Roman" w:hAnsi="Times New Roman" w:cs="Times New Roman"/>
          <w:sz w:val="24"/>
          <w:szCs w:val="28"/>
        </w:rPr>
        <w:t xml:space="preserve"> Gating </w:t>
      </w:r>
      <w:r w:rsidR="001A0041">
        <w:rPr>
          <w:rFonts w:ascii="Times New Roman" w:hAnsi="Times New Roman" w:cs="Times New Roman" w:hint="eastAsia"/>
          <w:sz w:val="24"/>
          <w:szCs w:val="28"/>
        </w:rPr>
        <w:lastRenderedPageBreak/>
        <w:t>strategy</w:t>
      </w:r>
      <w:r w:rsidRPr="006C7DDB">
        <w:rPr>
          <w:rFonts w:ascii="Times New Roman" w:hAnsi="Times New Roman" w:cs="Times New Roman"/>
          <w:sz w:val="24"/>
          <w:szCs w:val="28"/>
        </w:rPr>
        <w:t xml:space="preserve"> in flow cytometry for analyzing </w:t>
      </w:r>
      <w:r>
        <w:rPr>
          <w:rFonts w:ascii="Times New Roman" w:hAnsi="Times New Roman" w:cs="Times New Roman" w:hint="eastAsia"/>
          <w:sz w:val="24"/>
          <w:szCs w:val="28"/>
        </w:rPr>
        <w:t>CD3</w:t>
      </w:r>
      <w:r w:rsidRPr="006C7DDB">
        <w:rPr>
          <w:rFonts w:ascii="Times New Roman" w:hAnsi="Times New Roman" w:cs="Times New Roman" w:hint="eastAsia"/>
          <w:sz w:val="24"/>
          <w:szCs w:val="28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8"/>
        </w:rPr>
        <w:t>CD4</w:t>
      </w:r>
      <w:r w:rsidRPr="006C7DDB">
        <w:rPr>
          <w:rFonts w:ascii="Times New Roman" w:hAnsi="Times New Roman" w:cs="Times New Roman" w:hint="eastAsia"/>
          <w:sz w:val="24"/>
          <w:szCs w:val="28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 xml:space="preserve"> </w:t>
      </w:r>
      <w:r w:rsidRPr="006C7DDB">
        <w:rPr>
          <w:rFonts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6C7DDB">
        <w:rPr>
          <w:rFonts w:ascii="Times New Roman" w:hAnsi="Times New Roman" w:cs="Times New Roman"/>
          <w:sz w:val="24"/>
          <w:szCs w:val="28"/>
        </w:rPr>
        <w:t xml:space="preserve">cell proliferation. Panels from left to right show gating of lymphocyte fractions, removal of doublets, </w:t>
      </w:r>
      <w:r w:rsidR="00D337EA" w:rsidRPr="00D337EA">
        <w:rPr>
          <w:rFonts w:ascii="Times New Roman" w:hAnsi="Times New Roman" w:cs="Times New Roman"/>
          <w:sz w:val="24"/>
          <w:szCs w:val="28"/>
        </w:rPr>
        <w:t>exclusion</w:t>
      </w:r>
      <w:r w:rsidR="00D337E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6C7DDB">
        <w:rPr>
          <w:rFonts w:ascii="Times New Roman" w:hAnsi="Times New Roman" w:cs="Times New Roman"/>
          <w:sz w:val="24"/>
          <w:szCs w:val="28"/>
        </w:rPr>
        <w:t xml:space="preserve">of dead cells, gating of </w:t>
      </w:r>
      <w:r>
        <w:rPr>
          <w:rFonts w:ascii="Times New Roman" w:hAnsi="Times New Roman" w:cs="Times New Roman" w:hint="eastAsia"/>
          <w:sz w:val="24"/>
          <w:szCs w:val="28"/>
        </w:rPr>
        <w:t>CD3</w:t>
      </w:r>
      <w:r w:rsidRPr="006C7DDB">
        <w:rPr>
          <w:rFonts w:ascii="Times New Roman" w:hAnsi="Times New Roman" w:cs="Times New Roman" w:hint="eastAsia"/>
          <w:sz w:val="24"/>
          <w:szCs w:val="28"/>
          <w:vertAlign w:val="superscript"/>
        </w:rPr>
        <w:t>+</w:t>
      </w:r>
      <w:r w:rsidRPr="006C7DDB">
        <w:rPr>
          <w:rFonts w:ascii="Times New Roman" w:hAnsi="Times New Roman" w:cs="Times New Roman"/>
          <w:sz w:val="24"/>
          <w:szCs w:val="28"/>
        </w:rPr>
        <w:t>CD4</w:t>
      </w:r>
      <w:r w:rsidRPr="006C7DDB">
        <w:rPr>
          <w:rFonts w:ascii="Times New Roman" w:hAnsi="Times New Roman" w:cs="Times New Roman"/>
          <w:sz w:val="24"/>
          <w:szCs w:val="28"/>
          <w:vertAlign w:val="superscript"/>
        </w:rPr>
        <w:t>+</w:t>
      </w:r>
      <w:r w:rsidRPr="006C7DDB">
        <w:rPr>
          <w:rFonts w:ascii="Times New Roman" w:hAnsi="Times New Roman" w:cs="Times New Roman"/>
          <w:sz w:val="24"/>
          <w:szCs w:val="28"/>
        </w:rPr>
        <w:t xml:space="preserve"> cells, and </w:t>
      </w:r>
      <w:r>
        <w:rPr>
          <w:rFonts w:ascii="Times New Roman" w:hAnsi="Times New Roman" w:cs="Times New Roman" w:hint="eastAsia"/>
          <w:sz w:val="24"/>
          <w:szCs w:val="28"/>
        </w:rPr>
        <w:t>gating</w:t>
      </w:r>
      <w:r w:rsidRPr="006C7DDB">
        <w:rPr>
          <w:rFonts w:ascii="Times New Roman" w:hAnsi="Times New Roman" w:cs="Times New Roman"/>
          <w:sz w:val="24"/>
          <w:szCs w:val="28"/>
        </w:rPr>
        <w:t xml:space="preserve"> of </w:t>
      </w:r>
      <w:r w:rsidR="00D337EA">
        <w:rPr>
          <w:rFonts w:ascii="Times New Roman" w:hAnsi="Times New Roman" w:cs="Times New Roman" w:hint="eastAsia"/>
          <w:sz w:val="24"/>
          <w:szCs w:val="28"/>
        </w:rPr>
        <w:t>C</w:t>
      </w:r>
      <w:r w:rsidRPr="006C7DDB">
        <w:rPr>
          <w:rFonts w:ascii="Times New Roman" w:hAnsi="Times New Roman" w:cs="Times New Roman"/>
          <w:sz w:val="24"/>
          <w:szCs w:val="28"/>
        </w:rPr>
        <w:t xml:space="preserve">ell </w:t>
      </w:r>
      <w:r w:rsidR="00D337EA">
        <w:rPr>
          <w:rFonts w:ascii="Times New Roman" w:hAnsi="Times New Roman" w:cs="Times New Roman" w:hint="eastAsia"/>
          <w:sz w:val="24"/>
          <w:szCs w:val="28"/>
        </w:rPr>
        <w:t>T</w:t>
      </w:r>
      <w:r w:rsidRPr="006C7DDB">
        <w:rPr>
          <w:rFonts w:ascii="Times New Roman" w:hAnsi="Times New Roman" w:cs="Times New Roman"/>
          <w:sz w:val="24"/>
          <w:szCs w:val="28"/>
        </w:rPr>
        <w:t xml:space="preserve">race </w:t>
      </w:r>
      <w:r w:rsidR="00D337EA">
        <w:rPr>
          <w:rFonts w:ascii="Times New Roman" w:hAnsi="Times New Roman" w:cs="Times New Roman" w:hint="eastAsia"/>
          <w:sz w:val="24"/>
          <w:szCs w:val="28"/>
        </w:rPr>
        <w:t>V</w:t>
      </w:r>
      <w:r w:rsidRPr="006C7DDB">
        <w:rPr>
          <w:rFonts w:ascii="Times New Roman" w:hAnsi="Times New Roman" w:cs="Times New Roman"/>
          <w:sz w:val="24"/>
          <w:szCs w:val="28"/>
        </w:rPr>
        <w:t>iolet-positive cells</w:t>
      </w:r>
      <w:r w:rsidR="00D337EA">
        <w:rPr>
          <w:rFonts w:ascii="Times New Roman" w:hAnsi="Times New Roman" w:cs="Times New Roman" w:hint="eastAsia"/>
          <w:sz w:val="24"/>
          <w:szCs w:val="28"/>
        </w:rPr>
        <w:t xml:space="preserve">; </w:t>
      </w:r>
      <w:r>
        <w:rPr>
          <w:rFonts w:ascii="Times New Roman" w:hAnsi="Times New Roman" w:cs="Times New Roman" w:hint="eastAsia"/>
          <w:sz w:val="24"/>
          <w:szCs w:val="28"/>
        </w:rPr>
        <w:t>violet</w:t>
      </w:r>
      <w:r w:rsidRPr="006C7DDB">
        <w:rPr>
          <w:rFonts w:ascii="Times New Roman" w:hAnsi="Times New Roman" w:cs="Times New Roman"/>
          <w:sz w:val="24"/>
          <w:szCs w:val="28"/>
        </w:rPr>
        <w:t xml:space="preserve"> boxes indicating gating regions. </w:t>
      </w:r>
      <w:r w:rsidRPr="00C13888">
        <w:rPr>
          <w:rFonts w:ascii="Times New Roman" w:hAnsi="Times New Roman" w:cs="Times New Roman"/>
          <w:b/>
          <w:bCs/>
          <w:sz w:val="24"/>
          <w:szCs w:val="28"/>
        </w:rPr>
        <w:t>(B)</w:t>
      </w:r>
      <w:r w:rsidRPr="006C7DDB">
        <w:rPr>
          <w:rFonts w:ascii="Times New Roman" w:hAnsi="Times New Roman" w:cs="Times New Roman"/>
          <w:sz w:val="24"/>
          <w:szCs w:val="28"/>
        </w:rPr>
        <w:t xml:space="preserve"> </w:t>
      </w:r>
      <w:r w:rsidR="00C13888" w:rsidRPr="00C13888">
        <w:rPr>
          <w:rFonts w:ascii="Times New Roman" w:hAnsi="Times New Roman" w:cs="Times New Roman"/>
          <w:sz w:val="24"/>
          <w:szCs w:val="28"/>
        </w:rPr>
        <w:t>Representative histograms of Cell</w:t>
      </w:r>
      <w:r w:rsidR="001A0041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C13888" w:rsidRPr="00C13888">
        <w:rPr>
          <w:rFonts w:ascii="Times New Roman" w:hAnsi="Times New Roman" w:cs="Times New Roman"/>
          <w:sz w:val="24"/>
          <w:szCs w:val="28"/>
        </w:rPr>
        <w:t>Trace Violet–positive CD3⁺CD4⁺ T cells showing cell division when co-cultured with each cADSC batch.</w:t>
      </w:r>
      <w:r w:rsidR="001A0041" w:rsidRPr="001A0041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(C) </w:t>
      </w:r>
      <w:r w:rsidR="00D337EA" w:rsidRPr="00D337EA">
        <w:rPr>
          <w:rFonts w:ascii="Times New Roman" w:hAnsi="Times New Roman" w:cs="Times New Roman"/>
          <w:sz w:val="24"/>
          <w:szCs w:val="28"/>
        </w:rPr>
        <w:t>Comparison of CD3⁺CD4⁺ T cell proliferation among cADSC batches, quantified as the percentage of Cell</w:t>
      </w:r>
      <w:r w:rsidR="00D337E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D337EA" w:rsidRPr="00D337EA">
        <w:rPr>
          <w:rFonts w:ascii="Times New Roman" w:hAnsi="Times New Roman" w:cs="Times New Roman"/>
          <w:sz w:val="24"/>
          <w:szCs w:val="28"/>
        </w:rPr>
        <w:t>Trace Violet–low cells.</w:t>
      </w:r>
      <w:r w:rsidR="001A0041" w:rsidRPr="001A0041">
        <w:t xml:space="preserve"> </w:t>
      </w:r>
      <w:r w:rsidR="00D337EA" w:rsidRPr="00D337EA">
        <w:rPr>
          <w:rFonts w:ascii="Times New Roman" w:hAnsi="Times New Roman" w:cs="Times New Roman"/>
          <w:sz w:val="24"/>
          <w:szCs w:val="28"/>
        </w:rPr>
        <w:t>Bars sharing the same lowercase letter indicate no significant difference between groups</w:t>
      </w:r>
      <w:r w:rsidR="001A0041" w:rsidRPr="001A0041">
        <w:rPr>
          <w:rFonts w:ascii="Times New Roman" w:hAnsi="Times New Roman" w:cs="Times New Roman"/>
          <w:sz w:val="24"/>
          <w:szCs w:val="28"/>
        </w:rPr>
        <w:t xml:space="preserve"> (</w:t>
      </w:r>
      <w:r w:rsidR="001A0041" w:rsidRPr="001A0041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1A0041" w:rsidRPr="001A0041">
        <w:rPr>
          <w:rFonts w:ascii="Times New Roman" w:hAnsi="Times New Roman" w:cs="Times New Roman"/>
          <w:sz w:val="24"/>
          <w:szCs w:val="28"/>
        </w:rPr>
        <w:t xml:space="preserve"> &gt; 0.05).</w:t>
      </w:r>
      <w:r w:rsidR="001A0041" w:rsidRPr="001A0041">
        <w:t xml:space="preserve"> </w:t>
      </w:r>
      <w:r w:rsidR="001A0041" w:rsidRPr="001A0041">
        <w:rPr>
          <w:rFonts w:ascii="Times New Roman" w:hAnsi="Times New Roman" w:cs="Times New Roman"/>
          <w:sz w:val="24"/>
          <w:szCs w:val="28"/>
        </w:rPr>
        <w:t xml:space="preserve">Data are expressed as the mean ± standard deviation from experiments performed in triplicate; </w:t>
      </w:r>
      <w:r w:rsidR="001A0041" w:rsidRPr="001A0041">
        <w:rPr>
          <w:rFonts w:ascii="Times New Roman" w:hAnsi="Times New Roman" w:cs="Times New Roman"/>
          <w:i/>
          <w:iCs/>
          <w:sz w:val="24"/>
          <w:szCs w:val="28"/>
        </w:rPr>
        <w:t>n</w:t>
      </w:r>
      <w:r w:rsidR="001A0041" w:rsidRPr="001A0041">
        <w:rPr>
          <w:rFonts w:ascii="Times New Roman" w:hAnsi="Times New Roman" w:cs="Times New Roman"/>
          <w:sz w:val="24"/>
          <w:szCs w:val="28"/>
        </w:rPr>
        <w:t xml:space="preserve"> = </w:t>
      </w:r>
      <w:r w:rsidR="001A0041">
        <w:rPr>
          <w:rFonts w:ascii="Times New Roman" w:hAnsi="Times New Roman" w:cs="Times New Roman" w:hint="eastAsia"/>
          <w:sz w:val="24"/>
          <w:szCs w:val="28"/>
        </w:rPr>
        <w:t>3</w:t>
      </w:r>
      <w:r w:rsidR="001A0041" w:rsidRPr="001A0041">
        <w:rPr>
          <w:rFonts w:ascii="Times New Roman" w:hAnsi="Times New Roman" w:cs="Times New Roman"/>
          <w:sz w:val="24"/>
          <w:szCs w:val="28"/>
        </w:rPr>
        <w:t>.</w:t>
      </w:r>
    </w:p>
    <w:sectPr w:rsidR="006C7DDB" w:rsidRPr="006C7DDB" w:rsidSect="006C7DDB">
      <w:pgSz w:w="11906" w:h="16838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DB"/>
    <w:rsid w:val="00036183"/>
    <w:rsid w:val="001A0041"/>
    <w:rsid w:val="00546157"/>
    <w:rsid w:val="006C7DDB"/>
    <w:rsid w:val="00AA263A"/>
    <w:rsid w:val="00C13888"/>
    <w:rsid w:val="00D337EA"/>
    <w:rsid w:val="00ED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4EE0E7"/>
  <w15:chartTrackingRefBased/>
  <w15:docId w15:val="{8741FBA2-BD95-470C-9386-62E948EF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7D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D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D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D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D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D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D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D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7D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7D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7D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7D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7D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7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D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7D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7D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D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7D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7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7D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7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裕堯 康村</dc:creator>
  <cp:keywords/>
  <dc:description/>
  <cp:lastModifiedBy>裕堯 康村</cp:lastModifiedBy>
  <cp:revision>2</cp:revision>
  <dcterms:created xsi:type="dcterms:W3CDTF">2025-09-02T08:12:00Z</dcterms:created>
  <dcterms:modified xsi:type="dcterms:W3CDTF">2025-09-02T09:21:00Z</dcterms:modified>
</cp:coreProperties>
</file>