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7C2572" w14:textId="77777777" w:rsidR="006F36FB" w:rsidRPr="006F36FB" w:rsidRDefault="006F36FB" w:rsidP="006F36FB">
      <w:pPr>
        <w:spacing w:before="240" w:after="120" w:line="480" w:lineRule="auto"/>
        <w:jc w:val="both"/>
        <w:rPr>
          <w:rFonts w:ascii="Arial" w:hAnsi="Arial" w:cs="Arial"/>
          <w:sz w:val="22"/>
          <w:szCs w:val="22"/>
        </w:rPr>
      </w:pPr>
      <w:r w:rsidRPr="006F36FB">
        <w:rPr>
          <w:rFonts w:ascii="Arial" w:eastAsia="Times New Roman" w:hAnsi="Arial" w:cs="Arial"/>
          <w:b/>
          <w:color w:val="000000"/>
          <w:sz w:val="22"/>
          <w:szCs w:val="22"/>
        </w:rPr>
        <w:t>Supplementary Figure Legends</w:t>
      </w:r>
    </w:p>
    <w:p w14:paraId="1343BCF1" w14:textId="62CD2FCE" w:rsidR="006F36FB" w:rsidRDefault="006F36FB" w:rsidP="006F36FB">
      <w:pPr>
        <w:spacing w:before="200" w:after="80" w:line="480" w:lineRule="auto"/>
        <w:jc w:val="both"/>
        <w:rPr>
          <w:rFonts w:ascii="Arial" w:eastAsia="Times New Roman" w:hAnsi="Arial" w:cs="Arial"/>
          <w:color w:val="000000"/>
          <w:sz w:val="22"/>
          <w:szCs w:val="22"/>
          <w:lang w:val="vi-VN"/>
        </w:rPr>
      </w:pPr>
      <w:r w:rsidRPr="006F36FB">
        <w:rPr>
          <w:rFonts w:ascii="Arial" w:eastAsia="Times New Roman" w:hAnsi="Arial" w:cs="Arial"/>
          <w:b/>
          <w:color w:val="000000"/>
          <w:sz w:val="22"/>
          <w:szCs w:val="22"/>
        </w:rPr>
        <w:t xml:space="preserve">Supplementary Figure 1. Data analysis pipeline flowchart. </w:t>
      </w:r>
      <w:r w:rsidRPr="006F36FB">
        <w:rPr>
          <w:rFonts w:ascii="Arial" w:eastAsia="Times New Roman" w:hAnsi="Arial" w:cs="Arial"/>
          <w:color w:val="000000"/>
          <w:sz w:val="22"/>
          <w:szCs w:val="22"/>
        </w:rPr>
        <w:t>Schematic overview of the computational workflow applied to the Hill et al. (2022) snRNA-</w:t>
      </w:r>
      <w:proofErr w:type="spellStart"/>
      <w:r w:rsidRPr="006F36FB">
        <w:rPr>
          <w:rFonts w:ascii="Arial" w:eastAsia="Times New Roman" w:hAnsi="Arial" w:cs="Arial"/>
          <w:color w:val="000000"/>
          <w:sz w:val="22"/>
          <w:szCs w:val="22"/>
        </w:rPr>
        <w:t>seq</w:t>
      </w:r>
      <w:proofErr w:type="spellEnd"/>
      <w:r w:rsidRPr="006F36FB">
        <w:rPr>
          <w:rFonts w:ascii="Arial" w:eastAsia="Times New Roman" w:hAnsi="Arial" w:cs="Arial"/>
          <w:color w:val="000000"/>
          <w:sz w:val="22"/>
          <w:szCs w:val="22"/>
        </w:rPr>
        <w:t xml:space="preserve"> dataset. The pipeline encompasses five sequential steps: (1) data input (GEO accession GSE</w:t>
      </w:r>
      <w:r w:rsidR="00795072">
        <w:rPr>
          <w:rFonts w:ascii="Arial" w:eastAsia="Times New Roman" w:hAnsi="Arial" w:cs="Arial"/>
          <w:color w:val="000000"/>
          <w:sz w:val="22"/>
          <w:szCs w:val="22"/>
        </w:rPr>
        <w:t>203275</w:t>
      </w:r>
      <w:r w:rsidRPr="006F36FB">
        <w:rPr>
          <w:rFonts w:ascii="Arial" w:eastAsia="Times New Roman" w:hAnsi="Arial" w:cs="Arial"/>
          <w:color w:val="000000"/>
          <w:sz w:val="22"/>
          <w:szCs w:val="22"/>
        </w:rPr>
        <w:t xml:space="preserve">; 157,273 nuclei across six diagnostic groups); (2) quality control and preprocessing (mitochondrial content filter </w:t>
      </w:r>
      <w:r w:rsidRPr="009961AF">
        <w:rPr>
          <w:rFonts w:ascii="Arial" w:eastAsia="Times New Roman" w:hAnsi="Arial" w:cs="Arial"/>
          <w:color w:val="000000" w:themeColor="text1"/>
          <w:sz w:val="22"/>
          <w:szCs w:val="22"/>
        </w:rPr>
        <w:t>&gt;20%</w:t>
      </w:r>
      <w:r w:rsidR="00BD4492" w:rsidRPr="009961AF">
        <w:rPr>
          <w:rFonts w:ascii="Arial" w:hAnsi="Arial" w:cs="Arial" w:hint="eastAsia"/>
          <w:color w:val="000000" w:themeColor="text1"/>
          <w:sz w:val="22"/>
          <w:szCs w:val="22"/>
        </w:rPr>
        <w:t>;</w:t>
      </w:r>
      <w:r w:rsidRPr="009961AF">
        <w:rPr>
          <w:rFonts w:ascii="Arial" w:eastAsia="Times New Roman" w:hAnsi="Arial" w:cs="Arial"/>
          <w:color w:val="000000" w:themeColor="text1"/>
          <w:sz w:val="22"/>
          <w:szCs w:val="22"/>
        </w:rPr>
        <w:t xml:space="preserve"> </w:t>
      </w:r>
      <w:r w:rsidR="00BD4492" w:rsidRPr="009961AF">
        <w:rPr>
          <w:rFonts w:ascii="Arial" w:eastAsia="ＭＳ 明朝" w:hAnsi="Arial" w:cs="Arial"/>
          <w:color w:val="000000" w:themeColor="text1"/>
          <w:sz w:val="22"/>
          <w:szCs w:val="22"/>
        </w:rPr>
        <w:t xml:space="preserve">abnormal </w:t>
      </w:r>
      <w:r w:rsidR="00BD4492" w:rsidRPr="009961AF">
        <w:rPr>
          <w:rFonts w:ascii="Arial" w:eastAsia="ＭＳ 明朝" w:hAnsi="Arial" w:cs="Arial" w:hint="eastAsia"/>
          <w:color w:val="000000" w:themeColor="text1"/>
          <w:sz w:val="22"/>
          <w:szCs w:val="22"/>
        </w:rPr>
        <w:t xml:space="preserve">Feature count filter &lt;200 or &gt;6,000; </w:t>
      </w:r>
      <w:proofErr w:type="spellStart"/>
      <w:r w:rsidRPr="009961AF">
        <w:rPr>
          <w:rFonts w:ascii="Arial" w:eastAsia="Times New Roman" w:hAnsi="Arial" w:cs="Arial"/>
          <w:color w:val="000000" w:themeColor="text1"/>
          <w:sz w:val="22"/>
          <w:szCs w:val="22"/>
        </w:rPr>
        <w:t>LogNormalize</w:t>
      </w:r>
      <w:proofErr w:type="spellEnd"/>
      <w:r w:rsidRPr="009961AF">
        <w:rPr>
          <w:rFonts w:ascii="Arial" w:eastAsia="Times New Roman" w:hAnsi="Arial" w:cs="Arial"/>
          <w:color w:val="000000" w:themeColor="text1"/>
          <w:sz w:val="22"/>
          <w:szCs w:val="22"/>
        </w:rPr>
        <w:t xml:space="preserve"> method, scale factor = </w:t>
      </w:r>
      <w:r w:rsidRPr="00BD4492">
        <w:rPr>
          <w:rFonts w:ascii="Arial" w:eastAsia="Times New Roman" w:hAnsi="Arial" w:cs="Arial"/>
          <w:color w:val="000000"/>
          <w:sz w:val="22"/>
          <w:szCs w:val="22"/>
        </w:rPr>
        <w:t>10,000); (3) dimensionality reduction (PCA</w:t>
      </w:r>
      <w:r w:rsidRPr="006F36FB">
        <w:rPr>
          <w:rFonts w:ascii="Arial" w:eastAsia="Times New Roman" w:hAnsi="Arial" w:cs="Arial"/>
          <w:color w:val="000000"/>
          <w:sz w:val="22"/>
          <w:szCs w:val="22"/>
        </w:rPr>
        <w:t xml:space="preserve"> followed by UMAP embedding); (4) cell type clustering and annotation (14 major cardiac cell types identified by canonical marker genes); and (5) parallel downstream analyses comprising differential expression analysis (Wilcoxon rank-sum test), cell type proportion testing, and intercellular communication analysis. All analyses were performed in R v4.2.0 on the SHIROKANE supercomputer (University of Tokyo).</w:t>
      </w:r>
    </w:p>
    <w:p w14:paraId="38A07047" w14:textId="77777777" w:rsidR="006F36FB" w:rsidRPr="006F36FB" w:rsidRDefault="006F36FB" w:rsidP="006F36FB">
      <w:pPr>
        <w:spacing w:before="200" w:after="80" w:line="480" w:lineRule="auto"/>
        <w:jc w:val="both"/>
        <w:rPr>
          <w:rFonts w:ascii="Arial" w:hAnsi="Arial" w:cs="Arial"/>
          <w:sz w:val="22"/>
          <w:szCs w:val="22"/>
          <w:lang w:val="vi-VN"/>
        </w:rPr>
      </w:pPr>
    </w:p>
    <w:p w14:paraId="0111647D" w14:textId="70A1B0BD" w:rsidR="006F36FB" w:rsidRPr="006F36FB" w:rsidRDefault="006F36FB" w:rsidP="006F36FB">
      <w:pPr>
        <w:spacing w:before="200" w:after="80" w:line="480" w:lineRule="auto"/>
        <w:jc w:val="both"/>
        <w:rPr>
          <w:rFonts w:ascii="Arial" w:hAnsi="Arial" w:cs="Arial"/>
          <w:sz w:val="22"/>
          <w:szCs w:val="22"/>
        </w:rPr>
      </w:pPr>
      <w:r w:rsidRPr="006F36FB">
        <w:rPr>
          <w:rFonts w:ascii="Arial" w:eastAsia="Times New Roman" w:hAnsi="Arial" w:cs="Arial"/>
          <w:b/>
          <w:color w:val="000000"/>
          <w:sz w:val="22"/>
          <w:szCs w:val="22"/>
        </w:rPr>
        <w:t xml:space="preserve">Supplementary Figure </w:t>
      </w:r>
      <w:r>
        <w:rPr>
          <w:rFonts w:ascii="Arial" w:eastAsia="Times New Roman" w:hAnsi="Arial" w:cs="Arial"/>
          <w:b/>
          <w:color w:val="000000"/>
          <w:sz w:val="22"/>
          <w:szCs w:val="22"/>
          <w:lang w:val="vi-VN"/>
        </w:rPr>
        <w:t>2</w:t>
      </w:r>
      <w:r w:rsidRPr="006F36FB">
        <w:rPr>
          <w:rFonts w:ascii="Arial" w:eastAsia="Times New Roman" w:hAnsi="Arial" w:cs="Arial"/>
          <w:b/>
          <w:color w:val="000000"/>
          <w:sz w:val="22"/>
          <w:szCs w:val="22"/>
        </w:rPr>
        <w:t xml:space="preserve">. </w:t>
      </w:r>
      <w:r w:rsidR="000353A6" w:rsidRPr="000353A6">
        <w:rPr>
          <w:rFonts w:ascii="Arial" w:eastAsia="Times New Roman" w:hAnsi="Arial" w:cs="Arial"/>
          <w:b/>
          <w:bCs/>
          <w:color w:val="000000"/>
          <w:sz w:val="22"/>
          <w:szCs w:val="22"/>
        </w:rPr>
        <w:t>C</w:t>
      </w:r>
      <w:r w:rsidRPr="000353A6">
        <w:rPr>
          <w:rFonts w:ascii="Arial" w:eastAsia="Times New Roman" w:hAnsi="Arial" w:cs="Arial"/>
          <w:b/>
          <w:bCs/>
          <w:color w:val="000000"/>
          <w:sz w:val="22"/>
          <w:szCs w:val="22"/>
        </w:rPr>
        <w:t>ell type proportion test results.</w:t>
      </w:r>
    </w:p>
    <w:p w14:paraId="63022CF9" w14:textId="2E21A3BC" w:rsidR="006F36FB" w:rsidRPr="006F36FB" w:rsidRDefault="006F36FB" w:rsidP="006F36FB">
      <w:pPr>
        <w:spacing w:before="120" w:after="120" w:line="480" w:lineRule="auto"/>
        <w:jc w:val="both"/>
        <w:rPr>
          <w:rFonts w:ascii="Arial" w:hAnsi="Arial" w:cs="Arial"/>
          <w:b/>
          <w:color w:val="000000"/>
          <w:sz w:val="22"/>
          <w:szCs w:val="22"/>
        </w:rPr>
      </w:pPr>
      <w:r w:rsidRPr="006F36FB">
        <w:rPr>
          <w:rFonts w:ascii="Arial" w:eastAsia="Times New Roman" w:hAnsi="Arial" w:cs="Arial"/>
          <w:b/>
          <w:color w:val="000000"/>
          <w:sz w:val="22"/>
          <w:szCs w:val="22"/>
        </w:rPr>
        <w:t xml:space="preserve">(A) </w:t>
      </w:r>
      <w:r w:rsidRPr="006F36FB">
        <w:rPr>
          <w:rFonts w:ascii="Arial" w:eastAsia="Times New Roman" w:hAnsi="Arial" w:cs="Arial"/>
          <w:b/>
          <w:bCs/>
          <w:color w:val="000000"/>
          <w:sz w:val="22"/>
          <w:szCs w:val="22"/>
        </w:rPr>
        <w:t>UMAP visualization by clinical diagnosis.</w:t>
      </w:r>
      <w:r w:rsidRPr="006F36FB">
        <w:rPr>
          <w:rFonts w:ascii="Arial" w:eastAsia="Times New Roman" w:hAnsi="Arial" w:cs="Arial"/>
          <w:b/>
          <w:color w:val="000000"/>
          <w:sz w:val="22"/>
          <w:szCs w:val="22"/>
        </w:rPr>
        <w:t> </w:t>
      </w:r>
      <w:r w:rsidRPr="006F36FB">
        <w:rPr>
          <w:rFonts w:ascii="Arial" w:eastAsia="Times New Roman" w:hAnsi="Arial" w:cs="Arial"/>
          <w:bCs/>
          <w:color w:val="000000"/>
          <w:sz w:val="22"/>
          <w:szCs w:val="22"/>
        </w:rPr>
        <w:t>UMAP embedding of all cells coloured by clinical condition</w:t>
      </w:r>
      <w:r w:rsidRPr="006F36FB">
        <w:rPr>
          <w:rFonts w:ascii="Arial" w:eastAsia="Times New Roman" w:hAnsi="Arial" w:cs="Arial"/>
          <w:bCs/>
          <w:color w:val="000000"/>
          <w:sz w:val="22"/>
          <w:szCs w:val="22"/>
          <w:lang w:val="vi-VN"/>
        </w:rPr>
        <w:t xml:space="preserve">s. </w:t>
      </w:r>
    </w:p>
    <w:p w14:paraId="6B1B5C9B" w14:textId="69DECB52" w:rsidR="006F36FB" w:rsidRPr="009961AF" w:rsidRDefault="006F36FB" w:rsidP="006F36FB">
      <w:pPr>
        <w:spacing w:before="120" w:after="120" w:line="480" w:lineRule="auto"/>
        <w:jc w:val="both"/>
        <w:rPr>
          <w:rFonts w:ascii="Arial" w:hAnsi="Arial" w:cs="Arial"/>
          <w:color w:val="000000" w:themeColor="text1"/>
          <w:sz w:val="22"/>
          <w:szCs w:val="22"/>
        </w:rPr>
      </w:pPr>
      <w:r w:rsidRPr="006F36FB">
        <w:rPr>
          <w:rFonts w:ascii="Arial" w:eastAsia="Times New Roman" w:hAnsi="Arial" w:cs="Arial"/>
          <w:b/>
          <w:color w:val="000000"/>
          <w:sz w:val="22"/>
          <w:szCs w:val="22"/>
        </w:rPr>
        <w:t xml:space="preserve">(B) Cell type proportion test results (Propeller). </w:t>
      </w:r>
      <w:r w:rsidRPr="006F36FB">
        <w:rPr>
          <w:rFonts w:ascii="Arial" w:eastAsia="Times New Roman" w:hAnsi="Arial" w:cs="Arial"/>
          <w:color w:val="000000"/>
          <w:sz w:val="22"/>
          <w:szCs w:val="22"/>
        </w:rPr>
        <w:t>Bar plot showing −log</w:t>
      </w:r>
      <w:r w:rsidRPr="006F36FB">
        <w:rPr>
          <w:rFonts w:ascii="Cambria Math" w:eastAsia="Times New Roman" w:hAnsi="Cambria Math" w:cs="Cambria Math"/>
          <w:color w:val="000000"/>
          <w:sz w:val="22"/>
          <w:szCs w:val="22"/>
        </w:rPr>
        <w:t>₁₀</w:t>
      </w:r>
      <w:r w:rsidRPr="006F36FB">
        <w:rPr>
          <w:rFonts w:ascii="Arial" w:eastAsia="Times New Roman" w:hAnsi="Arial" w:cs="Arial"/>
          <w:color w:val="000000"/>
          <w:sz w:val="22"/>
          <w:szCs w:val="22"/>
        </w:rPr>
        <w:t>(FDR) for each of the 14 major cardiac cell types from the Propeller test (</w:t>
      </w:r>
      <w:proofErr w:type="spellStart"/>
      <w:r w:rsidRPr="006F36FB">
        <w:rPr>
          <w:rFonts w:ascii="Arial" w:eastAsia="Times New Roman" w:hAnsi="Arial" w:cs="Arial"/>
          <w:color w:val="000000"/>
          <w:sz w:val="22"/>
          <w:szCs w:val="22"/>
        </w:rPr>
        <w:t>Phipson</w:t>
      </w:r>
      <w:proofErr w:type="spellEnd"/>
      <w:r w:rsidRPr="006F36FB">
        <w:rPr>
          <w:rFonts w:ascii="Arial" w:eastAsia="Times New Roman" w:hAnsi="Arial" w:cs="Arial"/>
          <w:color w:val="000000"/>
          <w:sz w:val="22"/>
          <w:szCs w:val="22"/>
        </w:rPr>
        <w:t xml:space="preserve"> et al., 2022), which applies a linear model framework to test for statistically significant differences in cell type proportions across all CHD conditions versus health</w:t>
      </w:r>
      <w:r w:rsidRPr="009961AF">
        <w:rPr>
          <w:rFonts w:ascii="Arial" w:eastAsia="Times New Roman" w:hAnsi="Arial" w:cs="Arial"/>
          <w:color w:val="000000" w:themeColor="text1"/>
          <w:sz w:val="22"/>
          <w:szCs w:val="22"/>
        </w:rPr>
        <w:t xml:space="preserve">y </w:t>
      </w:r>
      <w:r w:rsidR="002B0C6B" w:rsidRPr="009961AF">
        <w:rPr>
          <w:rFonts w:ascii="Arial" w:hAnsi="Arial" w:cs="Arial" w:hint="eastAsia"/>
          <w:color w:val="000000" w:themeColor="text1"/>
          <w:sz w:val="22"/>
          <w:szCs w:val="22"/>
        </w:rPr>
        <w:t>d</w:t>
      </w:r>
      <w:r w:rsidRPr="009961AF">
        <w:rPr>
          <w:rFonts w:ascii="Arial" w:eastAsia="Times New Roman" w:hAnsi="Arial" w:cs="Arial"/>
          <w:color w:val="000000" w:themeColor="text1"/>
          <w:sz w:val="22"/>
          <w:szCs w:val="22"/>
        </w:rPr>
        <w:t>onor controls, accounting for sample variability. Cell types with FDR &lt; 0.05 are highlighted in red, indicating statistically significant proportion changes. The dashed line indicates the FDR = 0.05 significance threshold (−log</w:t>
      </w:r>
      <w:r w:rsidRPr="009961AF">
        <w:rPr>
          <w:rFonts w:ascii="Cambria Math" w:eastAsia="Times New Roman" w:hAnsi="Cambria Math" w:cs="Cambria Math"/>
          <w:color w:val="000000" w:themeColor="text1"/>
          <w:sz w:val="22"/>
          <w:szCs w:val="22"/>
        </w:rPr>
        <w:t>₁₀</w:t>
      </w:r>
      <w:r w:rsidRPr="009961AF">
        <w:rPr>
          <w:rFonts w:ascii="Arial" w:eastAsia="Times New Roman" w:hAnsi="Arial" w:cs="Arial"/>
          <w:color w:val="000000" w:themeColor="text1"/>
          <w:sz w:val="22"/>
          <w:szCs w:val="22"/>
        </w:rPr>
        <w:t xml:space="preserve"> = 1.30). </w:t>
      </w:r>
      <w:r w:rsidR="002B0C6B" w:rsidRPr="009961AF">
        <w:rPr>
          <w:rFonts w:ascii="Arial" w:hAnsi="Arial" w:cs="Arial"/>
          <w:color w:val="000000" w:themeColor="text1"/>
          <w:sz w:val="22"/>
          <w:szCs w:val="22"/>
          <w:lang w:val="vi-VN"/>
        </w:rPr>
        <w:t xml:space="preserve">CM, Tcells, </w:t>
      </w:r>
      <w:r w:rsidR="002B0C6B" w:rsidRPr="009961AF">
        <w:rPr>
          <w:rFonts w:ascii="Arial" w:hAnsi="Arial" w:cs="Arial" w:hint="eastAsia"/>
          <w:color w:val="000000" w:themeColor="text1"/>
          <w:sz w:val="22"/>
          <w:szCs w:val="22"/>
          <w:lang w:val="vi-VN"/>
        </w:rPr>
        <w:t>Mast</w:t>
      </w:r>
      <w:r w:rsidR="002B0C6B" w:rsidRPr="009961AF">
        <w:rPr>
          <w:rFonts w:ascii="Arial" w:hAnsi="Arial" w:cs="Arial"/>
          <w:color w:val="000000" w:themeColor="text1"/>
          <w:sz w:val="22"/>
          <w:szCs w:val="22"/>
          <w:lang w:val="vi-VN"/>
        </w:rPr>
        <w:t xml:space="preserve">, </w:t>
      </w:r>
      <w:r w:rsidR="002B0C6B" w:rsidRPr="009961AF">
        <w:rPr>
          <w:rFonts w:ascii="Arial" w:hAnsi="Arial" w:cs="Arial" w:hint="eastAsia"/>
          <w:color w:val="000000" w:themeColor="text1"/>
          <w:sz w:val="22"/>
          <w:szCs w:val="22"/>
          <w:lang w:val="vi-VN"/>
        </w:rPr>
        <w:t>Mac</w:t>
      </w:r>
      <w:r w:rsidR="002B0C6B" w:rsidRPr="009961AF">
        <w:rPr>
          <w:rFonts w:ascii="Arial" w:hAnsi="Arial" w:cs="Arial"/>
          <w:color w:val="000000" w:themeColor="text1"/>
          <w:sz w:val="22"/>
          <w:szCs w:val="22"/>
          <w:lang w:val="vi-VN"/>
        </w:rPr>
        <w:t xml:space="preserve"> and LEC</w:t>
      </w:r>
      <w:r w:rsidR="002B0C6B" w:rsidRPr="009961AF">
        <w:rPr>
          <w:rFonts w:ascii="Arial" w:hAnsi="Arial" w:cs="Arial" w:hint="eastAsia"/>
          <w:color w:val="000000" w:themeColor="text1"/>
          <w:sz w:val="22"/>
          <w:szCs w:val="22"/>
          <w:lang w:val="vi-VN"/>
        </w:rPr>
        <w:t xml:space="preserve"> reached statistical significance (FDR &lt; 0.05), while EC was approaching </w:t>
      </w:r>
      <w:r w:rsidR="002B0C6B" w:rsidRPr="009961AF">
        <w:rPr>
          <w:rFonts w:ascii="Arial" w:hAnsi="Arial" w:cs="Arial"/>
          <w:color w:val="000000" w:themeColor="text1"/>
          <w:sz w:val="22"/>
          <w:szCs w:val="22"/>
          <w:lang w:val="vi-VN"/>
        </w:rPr>
        <w:t>significance (FDR = 0.059)</w:t>
      </w:r>
      <w:r w:rsidR="002B0C6B" w:rsidRPr="009961AF">
        <w:rPr>
          <w:rFonts w:ascii="Arial" w:hAnsi="Arial" w:cs="Arial" w:hint="eastAsia"/>
          <w:color w:val="000000" w:themeColor="text1"/>
          <w:sz w:val="22"/>
          <w:szCs w:val="22"/>
          <w:lang w:val="vi-VN"/>
        </w:rPr>
        <w:t xml:space="preserve">. </w:t>
      </w:r>
    </w:p>
    <w:p w14:paraId="07E72FA1" w14:textId="77777777" w:rsidR="006F36FB" w:rsidRPr="006F36FB" w:rsidRDefault="006F36FB" w:rsidP="006F36FB">
      <w:pPr>
        <w:spacing w:before="120" w:after="120" w:line="480" w:lineRule="auto"/>
        <w:jc w:val="both"/>
        <w:rPr>
          <w:rFonts w:ascii="Arial" w:hAnsi="Arial" w:cs="Arial"/>
          <w:sz w:val="22"/>
          <w:szCs w:val="22"/>
        </w:rPr>
      </w:pPr>
    </w:p>
    <w:p w14:paraId="20434D4C" w14:textId="16D7BF18" w:rsidR="006F36FB" w:rsidRPr="006F36FB" w:rsidRDefault="006F36FB" w:rsidP="006F36FB">
      <w:pPr>
        <w:spacing w:before="200" w:after="80" w:line="480" w:lineRule="auto"/>
        <w:jc w:val="both"/>
        <w:rPr>
          <w:rFonts w:ascii="Arial" w:hAnsi="Arial" w:cs="Arial"/>
          <w:sz w:val="22"/>
          <w:szCs w:val="22"/>
        </w:rPr>
      </w:pPr>
      <w:r w:rsidRPr="006F36FB">
        <w:rPr>
          <w:rFonts w:ascii="Arial" w:eastAsia="Times New Roman" w:hAnsi="Arial" w:cs="Arial"/>
          <w:b/>
          <w:color w:val="000000"/>
          <w:sz w:val="22"/>
          <w:szCs w:val="22"/>
        </w:rPr>
        <w:t xml:space="preserve">Supplementary Figure </w:t>
      </w:r>
      <w:r>
        <w:rPr>
          <w:rFonts w:ascii="Arial" w:eastAsia="Times New Roman" w:hAnsi="Arial" w:cs="Arial"/>
          <w:b/>
          <w:color w:val="000000"/>
          <w:sz w:val="22"/>
          <w:szCs w:val="22"/>
          <w:lang w:val="vi-VN"/>
        </w:rPr>
        <w:t>3</w:t>
      </w:r>
      <w:r w:rsidRPr="006F36FB">
        <w:rPr>
          <w:rFonts w:ascii="Arial" w:eastAsia="Times New Roman" w:hAnsi="Arial" w:cs="Arial"/>
          <w:b/>
          <w:color w:val="000000"/>
          <w:sz w:val="22"/>
          <w:szCs w:val="22"/>
        </w:rPr>
        <w:t xml:space="preserve">. </w:t>
      </w:r>
      <w:r w:rsidRPr="006F36FB">
        <w:rPr>
          <w:rFonts w:ascii="Arial" w:eastAsia="Times New Roman" w:hAnsi="Arial" w:cs="Arial"/>
          <w:color w:val="000000"/>
          <w:sz w:val="22"/>
          <w:szCs w:val="22"/>
        </w:rPr>
        <w:t>Intercellular communication networks including epicardial cells.</w:t>
      </w:r>
    </w:p>
    <w:p w14:paraId="50F91182" w14:textId="1803939C" w:rsidR="006F36FB" w:rsidRPr="006F36FB" w:rsidRDefault="006F36FB" w:rsidP="006F36FB">
      <w:pPr>
        <w:spacing w:before="120" w:after="120" w:line="480" w:lineRule="auto"/>
        <w:jc w:val="both"/>
        <w:rPr>
          <w:rFonts w:ascii="Arial" w:hAnsi="Arial" w:cs="Arial"/>
          <w:sz w:val="22"/>
          <w:szCs w:val="22"/>
        </w:rPr>
      </w:pPr>
      <w:r w:rsidRPr="006F36FB">
        <w:rPr>
          <w:rFonts w:ascii="Arial" w:eastAsia="Times New Roman" w:hAnsi="Arial" w:cs="Arial"/>
          <w:color w:val="000000"/>
          <w:sz w:val="22"/>
          <w:szCs w:val="22"/>
        </w:rPr>
        <w:t xml:space="preserve">Network diagrams showing intercellular communication strength across all six conditions (Donor, TOF, </w:t>
      </w:r>
      <w:proofErr w:type="spellStart"/>
      <w:r w:rsidRPr="006F36FB">
        <w:rPr>
          <w:rFonts w:ascii="Arial" w:eastAsia="Times New Roman" w:hAnsi="Arial" w:cs="Arial"/>
          <w:color w:val="000000"/>
          <w:sz w:val="22"/>
          <w:szCs w:val="22"/>
        </w:rPr>
        <w:t>Neo_HLHS</w:t>
      </w:r>
      <w:proofErr w:type="spellEnd"/>
      <w:r w:rsidRPr="006F36FB">
        <w:rPr>
          <w:rFonts w:ascii="Arial" w:eastAsia="Times New Roman" w:hAnsi="Arial" w:cs="Arial"/>
          <w:color w:val="000000"/>
          <w:sz w:val="22"/>
          <w:szCs w:val="22"/>
        </w:rPr>
        <w:t>, IF_HLHS, DCM, HCM) for a combine</w:t>
      </w:r>
      <w:r w:rsidRPr="009961AF">
        <w:rPr>
          <w:rFonts w:ascii="Arial" w:eastAsia="Times New Roman" w:hAnsi="Arial" w:cs="Arial"/>
          <w:color w:val="000000" w:themeColor="text1"/>
          <w:sz w:val="22"/>
          <w:szCs w:val="22"/>
        </w:rPr>
        <w:t xml:space="preserve">d </w:t>
      </w:r>
      <w:r w:rsidR="00775CFC" w:rsidRPr="009961AF">
        <w:rPr>
          <w:rFonts w:ascii="Arial" w:hAnsi="Arial" w:cs="Arial" w:hint="eastAsia"/>
          <w:color w:val="000000" w:themeColor="text1"/>
          <w:sz w:val="22"/>
          <w:szCs w:val="22"/>
        </w:rPr>
        <w:t>epicardial-cell (</w:t>
      </w:r>
      <w:r w:rsidRPr="009961AF">
        <w:rPr>
          <w:rFonts w:ascii="Arial" w:eastAsia="Times New Roman" w:hAnsi="Arial" w:cs="Arial"/>
          <w:color w:val="000000" w:themeColor="text1"/>
          <w:sz w:val="22"/>
          <w:szCs w:val="22"/>
        </w:rPr>
        <w:t>Epi</w:t>
      </w:r>
      <w:r w:rsidR="00775CFC" w:rsidRPr="009961AF">
        <w:rPr>
          <w:rFonts w:ascii="Arial" w:hAnsi="Arial" w:cs="Arial" w:hint="eastAsia"/>
          <w:color w:val="000000" w:themeColor="text1"/>
          <w:sz w:val="22"/>
          <w:szCs w:val="22"/>
        </w:rPr>
        <w:t>)</w:t>
      </w:r>
      <w:r w:rsidRPr="009961AF">
        <w:rPr>
          <w:rFonts w:ascii="Arial" w:eastAsia="Times New Roman" w:hAnsi="Arial" w:cs="Arial"/>
          <w:color w:val="000000" w:themeColor="text1"/>
          <w:sz w:val="22"/>
          <w:szCs w:val="22"/>
        </w:rPr>
        <w:t xml:space="preserve"> pop</w:t>
      </w:r>
      <w:r w:rsidRPr="006F36FB">
        <w:rPr>
          <w:rFonts w:ascii="Arial" w:eastAsia="Times New Roman" w:hAnsi="Arial" w:cs="Arial"/>
          <w:color w:val="000000"/>
          <w:sz w:val="22"/>
          <w:szCs w:val="22"/>
        </w:rPr>
        <w:t>ulation (</w:t>
      </w:r>
      <w:proofErr w:type="spellStart"/>
      <w:r w:rsidRPr="006F36FB">
        <w:rPr>
          <w:rFonts w:ascii="Arial" w:eastAsia="Times New Roman" w:hAnsi="Arial" w:cs="Arial"/>
          <w:color w:val="000000"/>
          <w:sz w:val="22"/>
          <w:szCs w:val="22"/>
        </w:rPr>
        <w:t>EpiC</w:t>
      </w:r>
      <w:proofErr w:type="spellEnd"/>
      <w:r w:rsidRPr="006F36FB">
        <w:rPr>
          <w:rFonts w:ascii="Arial" w:eastAsia="Times New Roman" w:hAnsi="Arial" w:cs="Arial"/>
          <w:color w:val="000000"/>
          <w:sz w:val="22"/>
          <w:szCs w:val="22"/>
        </w:rPr>
        <w:t xml:space="preserve"> + </w:t>
      </w:r>
      <w:proofErr w:type="spellStart"/>
      <w:r w:rsidRPr="006F36FB">
        <w:rPr>
          <w:rFonts w:ascii="Arial" w:eastAsia="Times New Roman" w:hAnsi="Arial" w:cs="Arial"/>
          <w:color w:val="000000"/>
          <w:sz w:val="22"/>
          <w:szCs w:val="22"/>
        </w:rPr>
        <w:t>EpiL</w:t>
      </w:r>
      <w:proofErr w:type="spellEnd"/>
      <w:r w:rsidRPr="006F36FB">
        <w:rPr>
          <w:rFonts w:ascii="Arial" w:eastAsia="Times New Roman" w:hAnsi="Arial" w:cs="Arial"/>
          <w:color w:val="000000"/>
          <w:sz w:val="22"/>
          <w:szCs w:val="22"/>
        </w:rPr>
        <w:t>) alongside CM, CF, and EC. Epicardial cells were detectable primarily in Donor and IF_HLHS groups. In Donor hearts, Epi cells engaged in VEGFA–NRP1 and EDN1–EDNRA signalling with EC and CM respectively, consistent with roles in vascular tone regulation and epicardial–myocardial crosstalk under homeostatic conditions. In IF_HLHS, Epi-mediated communication was markedly attenuated relative to Donor, consistent with the severely reduced epicardial cell abundance. Node size represents cell type abundance; edge width represents communication strength (mean crosstalk potential).</w:t>
      </w:r>
    </w:p>
    <w:p w14:paraId="0D3B0579" w14:textId="77777777" w:rsidR="00A76899" w:rsidRPr="006F36FB" w:rsidRDefault="00A76899" w:rsidP="006F36FB">
      <w:pPr>
        <w:spacing w:line="480" w:lineRule="auto"/>
        <w:jc w:val="both"/>
        <w:rPr>
          <w:rFonts w:ascii="Arial" w:hAnsi="Arial" w:cs="Arial"/>
          <w:sz w:val="22"/>
          <w:szCs w:val="22"/>
        </w:rPr>
      </w:pPr>
    </w:p>
    <w:sectPr w:rsidR="00A76899" w:rsidRPr="006F36FB">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88A0A3" w14:textId="77777777" w:rsidR="00794F2A" w:rsidRDefault="00794F2A" w:rsidP="00BD4492">
      <w:pPr>
        <w:spacing w:after="0" w:line="240" w:lineRule="auto"/>
      </w:pPr>
      <w:r>
        <w:separator/>
      </w:r>
    </w:p>
  </w:endnote>
  <w:endnote w:type="continuationSeparator" w:id="0">
    <w:p w14:paraId="21F8EE30" w14:textId="77777777" w:rsidR="00794F2A" w:rsidRDefault="00794F2A" w:rsidP="00BD44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Yu Gothic">
    <w:altName w:val="游ゴシック"/>
    <w:panose1 w:val="020B04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游ゴシック Light">
    <w:panose1 w:val="020B0300000000000000"/>
    <w:charset w:val="80"/>
    <w:family w:val="modern"/>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394D4D" w14:textId="77777777" w:rsidR="00794F2A" w:rsidRDefault="00794F2A" w:rsidP="00BD4492">
      <w:pPr>
        <w:spacing w:after="0" w:line="240" w:lineRule="auto"/>
      </w:pPr>
      <w:r>
        <w:separator/>
      </w:r>
    </w:p>
  </w:footnote>
  <w:footnote w:type="continuationSeparator" w:id="0">
    <w:p w14:paraId="1868D916" w14:textId="77777777" w:rsidR="00794F2A" w:rsidRDefault="00794F2A" w:rsidP="00BD449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36FB"/>
    <w:rsid w:val="000353A6"/>
    <w:rsid w:val="001D7939"/>
    <w:rsid w:val="002B0C6B"/>
    <w:rsid w:val="00340778"/>
    <w:rsid w:val="00547CE8"/>
    <w:rsid w:val="00583E0E"/>
    <w:rsid w:val="006F36FB"/>
    <w:rsid w:val="006F5CD1"/>
    <w:rsid w:val="00775CFC"/>
    <w:rsid w:val="00794F2A"/>
    <w:rsid w:val="00795072"/>
    <w:rsid w:val="008505AC"/>
    <w:rsid w:val="008915AE"/>
    <w:rsid w:val="008E0E24"/>
    <w:rsid w:val="009961AF"/>
    <w:rsid w:val="00A76899"/>
    <w:rsid w:val="00B64CA3"/>
    <w:rsid w:val="00BD4492"/>
    <w:rsid w:val="00C725C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0600742"/>
  <w15:chartTrackingRefBased/>
  <w15:docId w15:val="{759DA32D-2134-DD40-9B88-683A8664F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36FB"/>
  </w:style>
  <w:style w:type="paragraph" w:styleId="1">
    <w:name w:val="heading 1"/>
    <w:basedOn w:val="a"/>
    <w:next w:val="a"/>
    <w:link w:val="10"/>
    <w:uiPriority w:val="9"/>
    <w:qFormat/>
    <w:rsid w:val="006F36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6F36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6F36FB"/>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6F36FB"/>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6F36FB"/>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6F36FB"/>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6F36FB"/>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6F36FB"/>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6F36FB"/>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6F36FB"/>
    <w:rPr>
      <w:rFonts w:asciiTheme="majorHAnsi" w:eastAsiaTheme="majorEastAsia" w:hAnsiTheme="majorHAnsi" w:cstheme="majorBidi"/>
      <w:color w:val="0F4761" w:themeColor="accent1" w:themeShade="BF"/>
      <w:sz w:val="40"/>
      <w:szCs w:val="40"/>
    </w:rPr>
  </w:style>
  <w:style w:type="character" w:customStyle="1" w:styleId="20">
    <w:name w:val="見出し 2 (文字)"/>
    <w:basedOn w:val="a0"/>
    <w:link w:val="2"/>
    <w:uiPriority w:val="9"/>
    <w:semiHidden/>
    <w:rsid w:val="006F36FB"/>
    <w:rPr>
      <w:rFonts w:asciiTheme="majorHAnsi" w:eastAsiaTheme="majorEastAsia" w:hAnsiTheme="majorHAnsi" w:cstheme="majorBidi"/>
      <w:color w:val="0F4761" w:themeColor="accent1" w:themeShade="BF"/>
      <w:sz w:val="32"/>
      <w:szCs w:val="32"/>
    </w:rPr>
  </w:style>
  <w:style w:type="character" w:customStyle="1" w:styleId="30">
    <w:name w:val="見出し 3 (文字)"/>
    <w:basedOn w:val="a0"/>
    <w:link w:val="3"/>
    <w:uiPriority w:val="9"/>
    <w:semiHidden/>
    <w:rsid w:val="006F36FB"/>
    <w:rPr>
      <w:rFonts w:eastAsiaTheme="majorEastAsia" w:cstheme="majorBidi"/>
      <w:color w:val="0F4761" w:themeColor="accent1" w:themeShade="BF"/>
      <w:sz w:val="28"/>
      <w:szCs w:val="28"/>
    </w:rPr>
  </w:style>
  <w:style w:type="character" w:customStyle="1" w:styleId="40">
    <w:name w:val="見出し 4 (文字)"/>
    <w:basedOn w:val="a0"/>
    <w:link w:val="4"/>
    <w:uiPriority w:val="9"/>
    <w:semiHidden/>
    <w:rsid w:val="006F36FB"/>
    <w:rPr>
      <w:rFonts w:eastAsiaTheme="majorEastAsia" w:cstheme="majorBidi"/>
      <w:i/>
      <w:iCs/>
      <w:color w:val="0F4761" w:themeColor="accent1" w:themeShade="BF"/>
    </w:rPr>
  </w:style>
  <w:style w:type="character" w:customStyle="1" w:styleId="50">
    <w:name w:val="見出し 5 (文字)"/>
    <w:basedOn w:val="a0"/>
    <w:link w:val="5"/>
    <w:uiPriority w:val="9"/>
    <w:semiHidden/>
    <w:rsid w:val="006F36FB"/>
    <w:rPr>
      <w:rFonts w:eastAsiaTheme="majorEastAsia" w:cstheme="majorBidi"/>
      <w:color w:val="0F4761" w:themeColor="accent1" w:themeShade="BF"/>
    </w:rPr>
  </w:style>
  <w:style w:type="character" w:customStyle="1" w:styleId="60">
    <w:name w:val="見出し 6 (文字)"/>
    <w:basedOn w:val="a0"/>
    <w:link w:val="6"/>
    <w:uiPriority w:val="9"/>
    <w:semiHidden/>
    <w:rsid w:val="006F36FB"/>
    <w:rPr>
      <w:rFonts w:eastAsiaTheme="majorEastAsia" w:cstheme="majorBidi"/>
      <w:i/>
      <w:iCs/>
      <w:color w:val="595959" w:themeColor="text1" w:themeTint="A6"/>
    </w:rPr>
  </w:style>
  <w:style w:type="character" w:customStyle="1" w:styleId="70">
    <w:name w:val="見出し 7 (文字)"/>
    <w:basedOn w:val="a0"/>
    <w:link w:val="7"/>
    <w:uiPriority w:val="9"/>
    <w:semiHidden/>
    <w:rsid w:val="006F36FB"/>
    <w:rPr>
      <w:rFonts w:eastAsiaTheme="majorEastAsia" w:cstheme="majorBidi"/>
      <w:color w:val="595959" w:themeColor="text1" w:themeTint="A6"/>
    </w:rPr>
  </w:style>
  <w:style w:type="character" w:customStyle="1" w:styleId="80">
    <w:name w:val="見出し 8 (文字)"/>
    <w:basedOn w:val="a0"/>
    <w:link w:val="8"/>
    <w:uiPriority w:val="9"/>
    <w:semiHidden/>
    <w:rsid w:val="006F36FB"/>
    <w:rPr>
      <w:rFonts w:eastAsiaTheme="majorEastAsia" w:cstheme="majorBidi"/>
      <w:i/>
      <w:iCs/>
      <w:color w:val="272727" w:themeColor="text1" w:themeTint="D8"/>
    </w:rPr>
  </w:style>
  <w:style w:type="character" w:customStyle="1" w:styleId="90">
    <w:name w:val="見出し 9 (文字)"/>
    <w:basedOn w:val="a0"/>
    <w:link w:val="9"/>
    <w:uiPriority w:val="9"/>
    <w:semiHidden/>
    <w:rsid w:val="006F36FB"/>
    <w:rPr>
      <w:rFonts w:eastAsiaTheme="majorEastAsia" w:cstheme="majorBidi"/>
      <w:color w:val="272727" w:themeColor="text1" w:themeTint="D8"/>
    </w:rPr>
  </w:style>
  <w:style w:type="paragraph" w:styleId="a3">
    <w:name w:val="Title"/>
    <w:basedOn w:val="a"/>
    <w:next w:val="a"/>
    <w:link w:val="a4"/>
    <w:uiPriority w:val="10"/>
    <w:qFormat/>
    <w:rsid w:val="006F36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6F36F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F36FB"/>
    <w:pPr>
      <w:numPr>
        <w:ilvl w:val="1"/>
      </w:numPr>
    </w:pPr>
    <w:rPr>
      <w:rFonts w:eastAsiaTheme="majorEastAsia" w:cstheme="majorBidi"/>
      <w:color w:val="595959" w:themeColor="text1" w:themeTint="A6"/>
      <w:spacing w:val="15"/>
      <w:sz w:val="28"/>
      <w:szCs w:val="28"/>
    </w:rPr>
  </w:style>
  <w:style w:type="character" w:customStyle="1" w:styleId="a6">
    <w:name w:val="副題 (文字)"/>
    <w:basedOn w:val="a0"/>
    <w:link w:val="a5"/>
    <w:uiPriority w:val="11"/>
    <w:rsid w:val="006F36FB"/>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6F36FB"/>
    <w:pPr>
      <w:spacing w:before="160"/>
      <w:jc w:val="center"/>
    </w:pPr>
    <w:rPr>
      <w:i/>
      <w:iCs/>
      <w:color w:val="404040" w:themeColor="text1" w:themeTint="BF"/>
    </w:rPr>
  </w:style>
  <w:style w:type="character" w:customStyle="1" w:styleId="a8">
    <w:name w:val="引用文 (文字)"/>
    <w:basedOn w:val="a0"/>
    <w:link w:val="a7"/>
    <w:uiPriority w:val="29"/>
    <w:rsid w:val="006F36FB"/>
    <w:rPr>
      <w:i/>
      <w:iCs/>
      <w:color w:val="404040" w:themeColor="text1" w:themeTint="BF"/>
    </w:rPr>
  </w:style>
  <w:style w:type="paragraph" w:styleId="a9">
    <w:name w:val="List Paragraph"/>
    <w:basedOn w:val="a"/>
    <w:uiPriority w:val="34"/>
    <w:qFormat/>
    <w:rsid w:val="006F36FB"/>
    <w:pPr>
      <w:ind w:left="720"/>
      <w:contextualSpacing/>
    </w:pPr>
  </w:style>
  <w:style w:type="character" w:styleId="21">
    <w:name w:val="Intense Emphasis"/>
    <w:basedOn w:val="a0"/>
    <w:uiPriority w:val="21"/>
    <w:qFormat/>
    <w:rsid w:val="006F36FB"/>
    <w:rPr>
      <w:i/>
      <w:iCs/>
      <w:color w:val="0F4761" w:themeColor="accent1" w:themeShade="BF"/>
    </w:rPr>
  </w:style>
  <w:style w:type="paragraph" w:styleId="22">
    <w:name w:val="Intense Quote"/>
    <w:basedOn w:val="a"/>
    <w:next w:val="a"/>
    <w:link w:val="23"/>
    <w:uiPriority w:val="30"/>
    <w:qFormat/>
    <w:rsid w:val="006F36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6F36FB"/>
    <w:rPr>
      <w:i/>
      <w:iCs/>
      <w:color w:val="0F4761" w:themeColor="accent1" w:themeShade="BF"/>
    </w:rPr>
  </w:style>
  <w:style w:type="character" w:styleId="24">
    <w:name w:val="Intense Reference"/>
    <w:basedOn w:val="a0"/>
    <w:uiPriority w:val="32"/>
    <w:qFormat/>
    <w:rsid w:val="006F36FB"/>
    <w:rPr>
      <w:b/>
      <w:bCs/>
      <w:smallCaps/>
      <w:color w:val="0F4761" w:themeColor="accent1" w:themeShade="BF"/>
      <w:spacing w:val="5"/>
    </w:rPr>
  </w:style>
  <w:style w:type="paragraph" w:styleId="Web">
    <w:name w:val="Normal (Web)"/>
    <w:basedOn w:val="a"/>
    <w:uiPriority w:val="99"/>
    <w:semiHidden/>
    <w:unhideWhenUsed/>
    <w:rsid w:val="006F36FB"/>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aa">
    <w:name w:val="header"/>
    <w:basedOn w:val="a"/>
    <w:link w:val="ab"/>
    <w:uiPriority w:val="99"/>
    <w:unhideWhenUsed/>
    <w:rsid w:val="00BD4492"/>
    <w:pPr>
      <w:tabs>
        <w:tab w:val="center" w:pos="4252"/>
        <w:tab w:val="right" w:pos="8504"/>
      </w:tabs>
      <w:snapToGrid w:val="0"/>
    </w:pPr>
  </w:style>
  <w:style w:type="character" w:customStyle="1" w:styleId="ab">
    <w:name w:val="ヘッダー (文字)"/>
    <w:basedOn w:val="a0"/>
    <w:link w:val="aa"/>
    <w:uiPriority w:val="99"/>
    <w:rsid w:val="00BD4492"/>
  </w:style>
  <w:style w:type="paragraph" w:styleId="ac">
    <w:name w:val="footer"/>
    <w:basedOn w:val="a"/>
    <w:link w:val="ad"/>
    <w:uiPriority w:val="99"/>
    <w:unhideWhenUsed/>
    <w:rsid w:val="00BD4492"/>
    <w:pPr>
      <w:tabs>
        <w:tab w:val="center" w:pos="4252"/>
        <w:tab w:val="right" w:pos="8504"/>
      </w:tabs>
      <w:snapToGrid w:val="0"/>
    </w:pPr>
  </w:style>
  <w:style w:type="character" w:customStyle="1" w:styleId="ad">
    <w:name w:val="フッター (文字)"/>
    <w:basedOn w:val="a0"/>
    <w:link w:val="ac"/>
    <w:uiPriority w:val="99"/>
    <w:rsid w:val="00BD44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2</Pages>
  <Words>397</Words>
  <Characters>2264</Characters>
  <Application>Microsoft Office Word</Application>
  <DocSecurity>0</DocSecurity>
  <Lines>18</Lines>
  <Paragraphs>5</Paragraphs>
  <ScaleCrop>false</ScaleCrop>
  <Company/>
  <LinksUpToDate>false</LinksUpToDate>
  <CharactersWithSpaces>2656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THI PHUONG THAO</dc:creator>
  <cp:keywords/>
  <dc:description/>
  <cp:lastModifiedBy>Makoto Sahara</cp:lastModifiedBy>
  <cp:revision>8</cp:revision>
  <dcterms:created xsi:type="dcterms:W3CDTF">2026-02-24T07:20:00Z</dcterms:created>
  <dcterms:modified xsi:type="dcterms:W3CDTF">2026-03-06T04:06:00Z</dcterms:modified>
</cp:coreProperties>
</file>