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D3A2" w14:textId="77777777" w:rsidR="0074249A" w:rsidRDefault="00000000">
      <w:pPr>
        <w:pStyle w:val="a4"/>
      </w:pPr>
      <w:r>
        <w:t>The ARRIVE reporting checklist</w:t>
      </w:r>
    </w:p>
    <w:p w14:paraId="5977D999" w14:textId="77777777" w:rsidR="0074249A" w:rsidRDefault="00000000">
      <w:pPr>
        <w:pStyle w:val="a6"/>
      </w:pPr>
      <w:r>
        <w:t xml:space="preserve">For checking that articles describing </w:t>
      </w:r>
      <w:r>
        <w:rPr>
          <w:i/>
          <w:iCs/>
        </w:rPr>
        <w:t>in vivo</w:t>
      </w:r>
      <w:r>
        <w:t xml:space="preserve"> animal experiments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0765"/>
      </w:tblGrid>
      <w:tr w:rsidR="0074249A" w14:paraId="6919DFB6" w14:textId="77777777" w:rsidTr="0074249A">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65E3A410" w14:textId="77777777" w:rsidR="0074249A" w:rsidRDefault="00000000">
            <w:pPr>
              <w:pStyle w:val="FirstParagraph"/>
              <w:spacing w:before="0" w:after="0"/>
              <w:textAlignment w:val="center"/>
            </w:pPr>
            <w:r>
              <w:rPr>
                <w:noProof/>
              </w:rPr>
              <w:drawing>
                <wp:inline distT="0" distB="0" distL="0" distR="0" wp14:anchorId="44083526" wp14:editId="09EBBF4F">
                  <wp:extent cx="152400" cy="1524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Applications/quarto/share/formats/docx/note.png"/>
                          <pic:cNvPicPr>
                            <a:picLocks noChangeAspect="1" noChangeArrowheads="1"/>
                          </pic:cNvPicPr>
                        </pic:nvPicPr>
                        <pic:blipFill>
                          <a:blip r:embed="rId7"/>
                          <a:stretch>
                            <a:fillRect/>
                          </a:stretch>
                        </pic:blipFill>
                        <pic:spPr bwMode="auto">
                          <a:xfrm>
                            <a:off x="0" y="0"/>
                            <a:ext cx="152400" cy="152400"/>
                          </a:xfrm>
                          <a:prstGeom prst="rect">
                            <a:avLst/>
                          </a:prstGeom>
                          <a:noFill/>
                          <a:ln w="9525">
                            <a:noFill/>
                            <a:headEnd/>
                            <a:tailEnd/>
                          </a:ln>
                        </pic:spPr>
                      </pic:pic>
                    </a:graphicData>
                  </a:graphic>
                </wp:inline>
              </w:drawing>
            </w:r>
            <w:r>
              <w:t xml:space="preserve">  Note</w:t>
            </w:r>
          </w:p>
        </w:tc>
      </w:tr>
      <w:tr w:rsidR="0074249A" w14:paraId="3C072401" w14:textId="77777777" w:rsidTr="0074249A">
        <w:trPr>
          <w:cantSplit/>
        </w:trPr>
        <w:tc>
          <w:tcPr>
            <w:tcW w:w="0" w:type="auto"/>
            <w:tcMar>
              <w:top w:w="108" w:type="dxa"/>
              <w:bottom w:w="108" w:type="dxa"/>
            </w:tcMar>
          </w:tcPr>
          <w:p w14:paraId="20A84A85" w14:textId="77777777" w:rsidR="0074249A" w:rsidRDefault="00000000">
            <w:pPr>
              <w:pStyle w:val="a0"/>
              <w:spacing w:before="16"/>
            </w:pPr>
            <w:r>
              <w:t xml:space="preserve">If you have not used a reporting guideline before, read about </w:t>
            </w:r>
            <w:hyperlink r:id="rId8">
              <w:r w:rsidR="0074249A">
                <w:rPr>
                  <w:rStyle w:val="af"/>
                </w:rPr>
                <w:t>how and why to use them</w:t>
              </w:r>
            </w:hyperlink>
            <w:r>
              <w:t xml:space="preserve"> and check whether ARRIVE is the </w:t>
            </w:r>
            <w:hyperlink r:id="rId9" w:anchor="applicability">
              <w:r w:rsidR="0074249A">
                <w:rPr>
                  <w:rStyle w:val="af"/>
                </w:rPr>
                <w:t>most applicable reporting guideline</w:t>
              </w:r>
            </w:hyperlink>
            <w:r>
              <w:t xml:space="preserve"> for your work.</w:t>
            </w:r>
          </w:p>
          <w:p w14:paraId="733F9E64" w14:textId="77777777" w:rsidR="0074249A" w:rsidRDefault="00000000">
            <w:pPr>
              <w:pStyle w:val="a0"/>
            </w:pPr>
            <w:r>
              <w:t xml:space="preserve">Reporting guidelines are most useful when used early in research. When writing a manuscript or application, consider using the </w:t>
            </w:r>
            <w:hyperlink r:id="rId10">
              <w:r w:rsidR="0074249A">
                <w:rPr>
                  <w:rStyle w:val="af"/>
                </w:rPr>
                <w:t>Full Guidance</w:t>
              </w:r>
            </w:hyperlink>
            <w:r>
              <w:t xml:space="preserve"> where you’ll see explanations and examples for each item.</w:t>
            </w:r>
          </w:p>
          <w:p w14:paraId="6AAC4681" w14:textId="77777777" w:rsidR="0074249A" w:rsidRDefault="00000000">
            <w:pPr>
              <w:pStyle w:val="a0"/>
            </w:pPr>
            <w:r>
              <w:t>After writing, demonstrate adherence by completing this checklist:</w:t>
            </w:r>
          </w:p>
          <w:p w14:paraId="6E19BD85" w14:textId="77777777" w:rsidR="0074249A" w:rsidRDefault="00000000">
            <w:pPr>
              <w:pStyle w:val="Compact"/>
              <w:numPr>
                <w:ilvl w:val="0"/>
                <w:numId w:val="3"/>
              </w:numPr>
            </w:pPr>
            <w:r>
              <w:t xml:space="preserve">Specify where each item is described (see </w:t>
            </w:r>
            <w:hyperlink w:anchor="sec-specify">
              <w:r w:rsidR="0074249A">
                <w:rPr>
                  <w:rStyle w:val="af"/>
                </w:rPr>
                <w:t>Note 1</w:t>
              </w:r>
            </w:hyperlink>
            <w:r>
              <w:t>).</w:t>
            </w:r>
          </w:p>
          <w:p w14:paraId="6C887E6A" w14:textId="77777777" w:rsidR="0074249A" w:rsidRDefault="00000000">
            <w:pPr>
              <w:pStyle w:val="Compact"/>
              <w:numPr>
                <w:ilvl w:val="0"/>
                <w:numId w:val="3"/>
              </w:numPr>
            </w:pPr>
            <w:r>
              <w:t xml:space="preserve">Cite this checklist (See </w:t>
            </w:r>
            <w:hyperlink w:anchor="sec-cite">
              <w:r w:rsidR="0074249A">
                <w:rPr>
                  <w:rStyle w:val="af"/>
                </w:rPr>
                <w:t>Note 2</w:t>
              </w:r>
            </w:hyperlink>
            <w:r>
              <w:t>).</w:t>
            </w:r>
          </w:p>
          <w:p w14:paraId="4B66A650" w14:textId="77777777" w:rsidR="0074249A" w:rsidRDefault="00000000">
            <w:pPr>
              <w:pStyle w:val="Compact"/>
              <w:numPr>
                <w:ilvl w:val="0"/>
                <w:numId w:val="3"/>
              </w:numPr>
            </w:pPr>
            <w:r>
              <w:t>Include your completed checklist as a supplement when submitting to a journal so that future readers can use it to find information.</w:t>
            </w:r>
          </w:p>
        </w:tc>
      </w:tr>
    </w:tbl>
    <w:p w14:paraId="78FD0523" w14:textId="77777777" w:rsidR="0074249A" w:rsidRDefault="0074249A">
      <w:pPr>
        <w:pStyle w:val="FirstParagraph"/>
      </w:pPr>
    </w:p>
    <w:tbl>
      <w:tblPr>
        <w:tblStyle w:val="Table"/>
        <w:tblW w:w="5000" w:type="pct"/>
        <w:tblLayout w:type="fixed"/>
        <w:tblLook w:val="0000" w:firstRow="0" w:lastRow="0" w:firstColumn="0" w:lastColumn="0" w:noHBand="0" w:noVBand="0"/>
      </w:tblPr>
      <w:tblGrid>
        <w:gridCol w:w="2159"/>
        <w:gridCol w:w="5395"/>
        <w:gridCol w:w="3236"/>
      </w:tblGrid>
      <w:tr w:rsidR="0074249A" w14:paraId="749009DF"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1DBB1A8F" w14:textId="77777777" w:rsidR="0074249A" w:rsidRDefault="0074249A">
            <w:pPr>
              <w:pStyle w:val="Compact"/>
            </w:pPr>
          </w:p>
        </w:tc>
        <w:tc>
          <w:tcPr>
            <w:tcW w:w="3959" w:type="dxa"/>
          </w:tcPr>
          <w:p w14:paraId="2DF6A9C1" w14:textId="77777777" w:rsidR="0074249A" w:rsidRDefault="00000000">
            <w:pPr>
              <w:pStyle w:val="Compact"/>
            </w:pPr>
            <w:r>
              <w:t>Item Description</w:t>
            </w:r>
          </w:p>
        </w:tc>
        <w:tc>
          <w:tcPr>
            <w:tcW w:w="2375" w:type="dxa"/>
          </w:tcPr>
          <w:p w14:paraId="6ADB27BA" w14:textId="77777777" w:rsidR="0074249A" w:rsidRDefault="00000000">
            <w:pPr>
              <w:pStyle w:val="Compact"/>
            </w:pPr>
            <w:r>
              <w:t>Location (or reason for not reporting)</w:t>
            </w:r>
          </w:p>
        </w:tc>
      </w:tr>
      <w:tr w:rsidR="0074249A" w14:paraId="2C0B662A" w14:textId="77777777">
        <w:tc>
          <w:tcPr>
            <w:tcW w:w="1584" w:type="dxa"/>
          </w:tcPr>
          <w:p w14:paraId="54D7A13A" w14:textId="77777777" w:rsidR="0074249A" w:rsidRDefault="00000000">
            <w:pPr>
              <w:pStyle w:val="Compact"/>
            </w:pPr>
            <w:r>
              <w:t> </w:t>
            </w:r>
            <w:r>
              <w:rPr>
                <w:b/>
                <w:bCs/>
              </w:rPr>
              <w:t>Essential 10</w:t>
            </w:r>
          </w:p>
        </w:tc>
        <w:tc>
          <w:tcPr>
            <w:tcW w:w="3959" w:type="dxa"/>
          </w:tcPr>
          <w:p w14:paraId="6F511997" w14:textId="77777777" w:rsidR="0074249A" w:rsidRDefault="0074249A">
            <w:pPr>
              <w:pStyle w:val="Compact"/>
            </w:pPr>
          </w:p>
        </w:tc>
        <w:tc>
          <w:tcPr>
            <w:tcW w:w="2375" w:type="dxa"/>
          </w:tcPr>
          <w:p w14:paraId="154FA8CC" w14:textId="77777777" w:rsidR="0074249A" w:rsidRDefault="0074249A">
            <w:pPr>
              <w:pStyle w:val="Compact"/>
            </w:pPr>
          </w:p>
        </w:tc>
      </w:tr>
      <w:tr w:rsidR="0074249A" w14:paraId="2D99F131"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C5B1ABF" w14:textId="77777777" w:rsidR="0074249A" w:rsidRDefault="00000000">
            <w:pPr>
              <w:pStyle w:val="Compact"/>
            </w:pPr>
            <w:r>
              <w:t> 1. Study Design</w:t>
            </w:r>
          </w:p>
        </w:tc>
        <w:tc>
          <w:tcPr>
            <w:tcW w:w="3959" w:type="dxa"/>
          </w:tcPr>
          <w:p w14:paraId="5E1DE1C9" w14:textId="77777777" w:rsidR="0074249A" w:rsidRDefault="0074249A">
            <w:pPr>
              <w:pStyle w:val="Compact"/>
            </w:pPr>
          </w:p>
        </w:tc>
        <w:tc>
          <w:tcPr>
            <w:tcW w:w="2375" w:type="dxa"/>
          </w:tcPr>
          <w:p w14:paraId="3B6BB20A" w14:textId="77777777" w:rsidR="0074249A" w:rsidRDefault="0074249A">
            <w:pPr>
              <w:pStyle w:val="Compact"/>
            </w:pPr>
          </w:p>
        </w:tc>
      </w:tr>
      <w:tr w:rsidR="0074249A" w14:paraId="04C98D74" w14:textId="77777777">
        <w:tc>
          <w:tcPr>
            <w:tcW w:w="1584" w:type="dxa"/>
          </w:tcPr>
          <w:p w14:paraId="05C6AA30" w14:textId="77777777" w:rsidR="0074249A" w:rsidRDefault="0074249A">
            <w:pPr>
              <w:pStyle w:val="Compact"/>
            </w:pPr>
            <w:hyperlink r:id="rId11">
              <w:r>
                <w:rPr>
                  <w:rStyle w:val="af"/>
                </w:rPr>
                <w:t>1a. The groups being compared</w:t>
              </w:r>
            </w:hyperlink>
          </w:p>
        </w:tc>
        <w:tc>
          <w:tcPr>
            <w:tcW w:w="3959" w:type="dxa"/>
          </w:tcPr>
          <w:p w14:paraId="317BAE8F" w14:textId="77777777" w:rsidR="0074249A" w:rsidRDefault="00000000">
            <w:pPr>
              <w:pStyle w:val="Compact"/>
            </w:pPr>
            <w:r>
              <w:t>For each experiment, describe the groups being compared, including control groups. If you did not use a control group, explain why.</w:t>
            </w:r>
          </w:p>
        </w:tc>
        <w:tc>
          <w:tcPr>
            <w:tcW w:w="2375" w:type="dxa"/>
          </w:tcPr>
          <w:p w14:paraId="70E4637C" w14:textId="69AF6932" w:rsidR="0074249A" w:rsidRDefault="00383B82">
            <w:pPr>
              <w:pStyle w:val="Compact"/>
            </w:pPr>
            <w:r w:rsidRPr="00383B82">
              <w:t xml:space="preserve">Saline control group, MGO-induced peritoneal injury group, and MGO + </w:t>
            </w:r>
            <w:proofErr w:type="spellStart"/>
            <w:r w:rsidRPr="00383B82">
              <w:t>iPMC</w:t>
            </w:r>
            <w:proofErr w:type="spellEnd"/>
            <w:r w:rsidRPr="00383B82">
              <w:t xml:space="preserve"> transplantation group (Fig. 6A).</w:t>
            </w:r>
          </w:p>
        </w:tc>
      </w:tr>
      <w:tr w:rsidR="0074249A" w14:paraId="35A7550E"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34442ED" w14:textId="77777777" w:rsidR="0074249A" w:rsidRDefault="0074249A">
            <w:pPr>
              <w:pStyle w:val="Compact"/>
            </w:pPr>
            <w:hyperlink r:id="rId12">
              <w:r>
                <w:rPr>
                  <w:rStyle w:val="af"/>
                </w:rPr>
                <w:t>1b. The experimental unit</w:t>
              </w:r>
            </w:hyperlink>
          </w:p>
        </w:tc>
        <w:tc>
          <w:tcPr>
            <w:tcW w:w="3959" w:type="dxa"/>
          </w:tcPr>
          <w:p w14:paraId="2CC8693F" w14:textId="77777777" w:rsidR="0074249A" w:rsidRDefault="00000000">
            <w:pPr>
              <w:pStyle w:val="Compact"/>
            </w:pPr>
            <w:r>
              <w:t>Describe the experimental unit (e.g., a single animal, litter, or cage of animals).</w:t>
            </w:r>
          </w:p>
        </w:tc>
        <w:tc>
          <w:tcPr>
            <w:tcW w:w="2375" w:type="dxa"/>
          </w:tcPr>
          <w:p w14:paraId="1F7A65FD" w14:textId="3FF48695" w:rsidR="0074249A" w:rsidRDefault="00383B82">
            <w:pPr>
              <w:pStyle w:val="Compact"/>
            </w:pPr>
            <w:r w:rsidRPr="00383B82">
              <w:t>Individual mouse was considered as the experimental unit.</w:t>
            </w:r>
          </w:p>
        </w:tc>
      </w:tr>
      <w:tr w:rsidR="0074249A" w14:paraId="5245C21A" w14:textId="77777777">
        <w:tc>
          <w:tcPr>
            <w:tcW w:w="1584" w:type="dxa"/>
          </w:tcPr>
          <w:p w14:paraId="6F76D220" w14:textId="77777777" w:rsidR="0074249A" w:rsidRDefault="00000000">
            <w:pPr>
              <w:pStyle w:val="Compact"/>
            </w:pPr>
            <w:r>
              <w:t> 2. Sample Size</w:t>
            </w:r>
          </w:p>
        </w:tc>
        <w:tc>
          <w:tcPr>
            <w:tcW w:w="3959" w:type="dxa"/>
          </w:tcPr>
          <w:p w14:paraId="3C67FFE0" w14:textId="77777777" w:rsidR="0074249A" w:rsidRDefault="0074249A">
            <w:pPr>
              <w:pStyle w:val="Compact"/>
            </w:pPr>
          </w:p>
        </w:tc>
        <w:tc>
          <w:tcPr>
            <w:tcW w:w="2375" w:type="dxa"/>
          </w:tcPr>
          <w:p w14:paraId="7CCFFDBA" w14:textId="77777777" w:rsidR="0074249A" w:rsidRDefault="0074249A">
            <w:pPr>
              <w:pStyle w:val="Compact"/>
            </w:pPr>
          </w:p>
        </w:tc>
      </w:tr>
      <w:tr w:rsidR="0074249A" w14:paraId="2382A2EA"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9345143" w14:textId="77777777" w:rsidR="0074249A" w:rsidRDefault="0074249A">
            <w:pPr>
              <w:pStyle w:val="Compact"/>
            </w:pPr>
            <w:hyperlink r:id="rId13">
              <w:r>
                <w:rPr>
                  <w:rStyle w:val="af"/>
                </w:rPr>
                <w:t>2a. Number of Experimental Units</w:t>
              </w:r>
            </w:hyperlink>
          </w:p>
        </w:tc>
        <w:tc>
          <w:tcPr>
            <w:tcW w:w="3959" w:type="dxa"/>
          </w:tcPr>
          <w:p w14:paraId="471E4DCF" w14:textId="77777777" w:rsidR="0074249A" w:rsidRDefault="00000000">
            <w:pPr>
              <w:pStyle w:val="Compact"/>
            </w:pPr>
            <w:r>
              <w:t>Specify the exact number of experimental units allocated to each group, and the total number in each experiment. Also indicate the total number of animals used.</w:t>
            </w:r>
          </w:p>
        </w:tc>
        <w:tc>
          <w:tcPr>
            <w:tcW w:w="2375" w:type="dxa"/>
          </w:tcPr>
          <w:p w14:paraId="709BC933" w14:textId="217E2A6A" w:rsidR="0074249A" w:rsidRDefault="00383B82">
            <w:pPr>
              <w:pStyle w:val="Compact"/>
            </w:pPr>
            <w:r w:rsidRPr="00383B82">
              <w:t>n = 6 per group (total 18 animals).</w:t>
            </w:r>
          </w:p>
        </w:tc>
      </w:tr>
      <w:tr w:rsidR="0074249A" w14:paraId="71FE8EC9" w14:textId="77777777">
        <w:tc>
          <w:tcPr>
            <w:tcW w:w="1584" w:type="dxa"/>
          </w:tcPr>
          <w:p w14:paraId="65B0A85F" w14:textId="77777777" w:rsidR="0074249A" w:rsidRDefault="0074249A">
            <w:pPr>
              <w:pStyle w:val="Compact"/>
            </w:pPr>
            <w:hyperlink r:id="rId14">
              <w:r>
                <w:rPr>
                  <w:rStyle w:val="af"/>
                </w:rPr>
                <w:t>2b. Sample Size Justification</w:t>
              </w:r>
            </w:hyperlink>
          </w:p>
        </w:tc>
        <w:tc>
          <w:tcPr>
            <w:tcW w:w="3959" w:type="dxa"/>
          </w:tcPr>
          <w:p w14:paraId="45383BA6" w14:textId="77777777" w:rsidR="0074249A" w:rsidRDefault="00000000">
            <w:pPr>
              <w:pStyle w:val="Compact"/>
            </w:pPr>
            <w:r>
              <w:t>Explain how the sample size was decided. Provide details of any a priori sample size calculation, if done.</w:t>
            </w:r>
          </w:p>
        </w:tc>
        <w:tc>
          <w:tcPr>
            <w:tcW w:w="2375" w:type="dxa"/>
          </w:tcPr>
          <w:p w14:paraId="195521CE" w14:textId="43DB5161" w:rsidR="0074249A" w:rsidRDefault="00383B82">
            <w:pPr>
              <w:pStyle w:val="Compact"/>
            </w:pPr>
            <w:r w:rsidRPr="00383B82">
              <w:t xml:space="preserve">Sample size was determined based on prior similar </w:t>
            </w:r>
            <w:proofErr w:type="spellStart"/>
            <w:r w:rsidRPr="00383B82">
              <w:t>studie</w:t>
            </w:r>
            <w:proofErr w:type="spellEnd"/>
            <w:r w:rsidRPr="00383B82">
              <w:t>.</w:t>
            </w:r>
          </w:p>
        </w:tc>
      </w:tr>
      <w:tr w:rsidR="0074249A" w14:paraId="6EB10551"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DB8A2A4" w14:textId="77777777" w:rsidR="0074249A" w:rsidRDefault="00000000">
            <w:pPr>
              <w:pStyle w:val="Compact"/>
            </w:pPr>
            <w:r>
              <w:t> 3. Inclusion and Exclusion Criteria</w:t>
            </w:r>
          </w:p>
        </w:tc>
        <w:tc>
          <w:tcPr>
            <w:tcW w:w="3959" w:type="dxa"/>
          </w:tcPr>
          <w:p w14:paraId="3F443D87" w14:textId="77777777" w:rsidR="0074249A" w:rsidRDefault="0074249A">
            <w:pPr>
              <w:pStyle w:val="Compact"/>
            </w:pPr>
          </w:p>
        </w:tc>
        <w:tc>
          <w:tcPr>
            <w:tcW w:w="2375" w:type="dxa"/>
          </w:tcPr>
          <w:p w14:paraId="37F9369D" w14:textId="77777777" w:rsidR="0074249A" w:rsidRDefault="0074249A">
            <w:pPr>
              <w:pStyle w:val="Compact"/>
            </w:pPr>
          </w:p>
        </w:tc>
      </w:tr>
      <w:tr w:rsidR="0074249A" w14:paraId="3B68DD75" w14:textId="77777777">
        <w:tc>
          <w:tcPr>
            <w:tcW w:w="1584" w:type="dxa"/>
          </w:tcPr>
          <w:p w14:paraId="1825DDED" w14:textId="77777777" w:rsidR="0074249A" w:rsidRDefault="0074249A">
            <w:pPr>
              <w:pStyle w:val="Compact"/>
            </w:pPr>
            <w:hyperlink r:id="rId15">
              <w:r>
                <w:rPr>
                  <w:rStyle w:val="af"/>
                </w:rPr>
                <w:t>3a. Inclusion and exclusion criteria</w:t>
              </w:r>
            </w:hyperlink>
          </w:p>
        </w:tc>
        <w:tc>
          <w:tcPr>
            <w:tcW w:w="3959" w:type="dxa"/>
          </w:tcPr>
          <w:p w14:paraId="7FBF9D58" w14:textId="77777777" w:rsidR="0074249A" w:rsidRDefault="00000000">
            <w:pPr>
              <w:pStyle w:val="Compact"/>
            </w:pPr>
            <w:r>
              <w:t xml:space="preserve">Describe any criteria used for including or excluding animals (or experimental units) during the </w:t>
            </w:r>
            <w:r>
              <w:lastRenderedPageBreak/>
              <w:t>experiment, and data points during the analysis. Specify if these criteria were established a priori. If no criteria were set, state this explicitly.</w:t>
            </w:r>
          </w:p>
        </w:tc>
        <w:tc>
          <w:tcPr>
            <w:tcW w:w="2375" w:type="dxa"/>
          </w:tcPr>
          <w:p w14:paraId="75042769" w14:textId="5126BD6B" w:rsidR="0074249A" w:rsidRDefault="00383B82">
            <w:pPr>
              <w:pStyle w:val="Compact"/>
            </w:pPr>
            <w:r w:rsidRPr="00383B82">
              <w:lastRenderedPageBreak/>
              <w:t xml:space="preserve">Animals with intra-abdominal infection or handling injury </w:t>
            </w:r>
            <w:r w:rsidRPr="00383B82">
              <w:lastRenderedPageBreak/>
              <w:t>were excluded (none in this study).</w:t>
            </w:r>
          </w:p>
        </w:tc>
      </w:tr>
      <w:tr w:rsidR="0074249A" w14:paraId="5E0B40DA"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104A426" w14:textId="77777777" w:rsidR="0074249A" w:rsidRDefault="0074249A">
            <w:pPr>
              <w:pStyle w:val="Compact"/>
            </w:pPr>
            <w:hyperlink r:id="rId16">
              <w:r>
                <w:rPr>
                  <w:rStyle w:val="af"/>
                </w:rPr>
                <w:t>3b. Exclusions and Attritions</w:t>
              </w:r>
            </w:hyperlink>
          </w:p>
        </w:tc>
        <w:tc>
          <w:tcPr>
            <w:tcW w:w="3959" w:type="dxa"/>
          </w:tcPr>
          <w:p w14:paraId="6A1A2D0E" w14:textId="77777777" w:rsidR="0074249A" w:rsidRDefault="00000000">
            <w:pPr>
              <w:pStyle w:val="Compact"/>
            </w:pPr>
            <w:r>
              <w:t>For each experimental group, report any animals, experimental units, or data points not included in the analysis and explain why. If there were no exclusions, state so.</w:t>
            </w:r>
          </w:p>
        </w:tc>
        <w:tc>
          <w:tcPr>
            <w:tcW w:w="2375" w:type="dxa"/>
          </w:tcPr>
          <w:p w14:paraId="093F5778" w14:textId="3E5D335B" w:rsidR="0074249A" w:rsidRDefault="00383B82">
            <w:pPr>
              <w:pStyle w:val="Compact"/>
            </w:pPr>
            <w:r w:rsidRPr="00383B82">
              <w:t>No animals or data points were excluded from the analysis. All mice allocated to each group completed the experimental protocol and were included in the final analysis (n = 6 per group).</w:t>
            </w:r>
          </w:p>
        </w:tc>
      </w:tr>
      <w:tr w:rsidR="0074249A" w14:paraId="3E574AC0" w14:textId="77777777">
        <w:tc>
          <w:tcPr>
            <w:tcW w:w="1584" w:type="dxa"/>
          </w:tcPr>
          <w:p w14:paraId="70C3D61E" w14:textId="77777777" w:rsidR="0074249A" w:rsidRDefault="0074249A">
            <w:pPr>
              <w:pStyle w:val="Compact"/>
            </w:pPr>
            <w:hyperlink r:id="rId17">
              <w:r>
                <w:rPr>
                  <w:rStyle w:val="af"/>
                </w:rPr>
                <w:t>3c. Numbers analysed</w:t>
              </w:r>
            </w:hyperlink>
          </w:p>
        </w:tc>
        <w:tc>
          <w:tcPr>
            <w:tcW w:w="3959" w:type="dxa"/>
          </w:tcPr>
          <w:p w14:paraId="23FA1E75" w14:textId="77777777" w:rsidR="0074249A" w:rsidRDefault="00000000">
            <w:pPr>
              <w:pStyle w:val="Compact"/>
            </w:pPr>
            <w:r>
              <w:t xml:space="preserve">For each analysis, report the exact value of </w:t>
            </w:r>
            <w:r>
              <w:rPr>
                <w:i/>
                <w:iCs/>
              </w:rPr>
              <w:t>n</w:t>
            </w:r>
            <w:r>
              <w:t xml:space="preserve"> in each experimental group.</w:t>
            </w:r>
          </w:p>
        </w:tc>
        <w:tc>
          <w:tcPr>
            <w:tcW w:w="2375" w:type="dxa"/>
          </w:tcPr>
          <w:p w14:paraId="4D6F3529" w14:textId="3E15BE2A" w:rsidR="0074249A" w:rsidRDefault="00383B82">
            <w:pPr>
              <w:pStyle w:val="Compact"/>
            </w:pPr>
            <w:r w:rsidRPr="00383B82">
              <w:t>For each experimental group, six animals were analyzed (n = 6 per group).</w:t>
            </w:r>
            <w:r w:rsidRPr="00383B82">
              <w:br/>
              <w:t>All data points shown in Figure 6B were derived from these six independent animals.</w:t>
            </w:r>
          </w:p>
        </w:tc>
      </w:tr>
      <w:tr w:rsidR="0074249A" w14:paraId="640FA66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5DB6DF5" w14:textId="77777777" w:rsidR="0074249A" w:rsidRDefault="00000000">
            <w:pPr>
              <w:pStyle w:val="Compact"/>
            </w:pPr>
            <w:r>
              <w:t> 4. Randomisation</w:t>
            </w:r>
          </w:p>
        </w:tc>
        <w:tc>
          <w:tcPr>
            <w:tcW w:w="3959" w:type="dxa"/>
          </w:tcPr>
          <w:p w14:paraId="3E163169" w14:textId="77777777" w:rsidR="0074249A" w:rsidRDefault="0074249A">
            <w:pPr>
              <w:pStyle w:val="Compact"/>
            </w:pPr>
          </w:p>
        </w:tc>
        <w:tc>
          <w:tcPr>
            <w:tcW w:w="2375" w:type="dxa"/>
          </w:tcPr>
          <w:p w14:paraId="74726813" w14:textId="77777777" w:rsidR="0074249A" w:rsidRDefault="0074249A">
            <w:pPr>
              <w:pStyle w:val="Compact"/>
            </w:pPr>
          </w:p>
        </w:tc>
      </w:tr>
      <w:tr w:rsidR="0074249A" w14:paraId="30FD0E59" w14:textId="77777777">
        <w:tc>
          <w:tcPr>
            <w:tcW w:w="1584" w:type="dxa"/>
          </w:tcPr>
          <w:p w14:paraId="47707173" w14:textId="77777777" w:rsidR="0074249A" w:rsidRDefault="0074249A">
            <w:pPr>
              <w:pStyle w:val="Compact"/>
            </w:pPr>
            <w:hyperlink r:id="rId18">
              <w:r>
                <w:rPr>
                  <w:rStyle w:val="af"/>
                </w:rPr>
                <w:t>4a. Randomisation Use</w:t>
              </w:r>
            </w:hyperlink>
          </w:p>
        </w:tc>
        <w:tc>
          <w:tcPr>
            <w:tcW w:w="3959" w:type="dxa"/>
          </w:tcPr>
          <w:p w14:paraId="3FBD180D" w14:textId="77777777" w:rsidR="0074249A" w:rsidRDefault="00000000">
            <w:pPr>
              <w:pStyle w:val="Compact"/>
            </w:pPr>
            <w:r>
              <w:t>State whether randomisation was used to allocate experimental units to control and treatment groups. If done, provide the method used to generate the randomisation sequence.</w:t>
            </w:r>
          </w:p>
        </w:tc>
        <w:tc>
          <w:tcPr>
            <w:tcW w:w="2375" w:type="dxa"/>
          </w:tcPr>
          <w:p w14:paraId="54508B4E" w14:textId="67C2023D" w:rsidR="0074249A" w:rsidRDefault="00383B82">
            <w:pPr>
              <w:pStyle w:val="Compact"/>
            </w:pPr>
            <w:r w:rsidRPr="00383B82">
              <w:t>Mice were randomly allocated to each group using a random number generator.</w:t>
            </w:r>
          </w:p>
        </w:tc>
      </w:tr>
      <w:tr w:rsidR="0074249A" w14:paraId="2B19B3A4"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71C2C18" w14:textId="77777777" w:rsidR="0074249A" w:rsidRDefault="0074249A">
            <w:pPr>
              <w:pStyle w:val="Compact"/>
            </w:pPr>
            <w:hyperlink r:id="rId19">
              <w:r>
                <w:rPr>
                  <w:rStyle w:val="af"/>
                </w:rPr>
                <w:t>4b. Confounders</w:t>
              </w:r>
            </w:hyperlink>
          </w:p>
        </w:tc>
        <w:tc>
          <w:tcPr>
            <w:tcW w:w="3959" w:type="dxa"/>
          </w:tcPr>
          <w:p w14:paraId="0ED484AA" w14:textId="77777777" w:rsidR="0074249A" w:rsidRDefault="00000000">
            <w:pPr>
              <w:pStyle w:val="Compact"/>
            </w:pPr>
            <w:r>
              <w:t>Describe the strategy used to minimise potential confounders such as the order of treatments and measurements, or animal/cage location. If confounders were not controlled, state this explicitly.</w:t>
            </w:r>
          </w:p>
        </w:tc>
        <w:tc>
          <w:tcPr>
            <w:tcW w:w="2375" w:type="dxa"/>
          </w:tcPr>
          <w:p w14:paraId="09F22FA0" w14:textId="1BD6566E" w:rsidR="0074249A" w:rsidRDefault="00383B82">
            <w:pPr>
              <w:pStyle w:val="Compact"/>
            </w:pPr>
            <w:r w:rsidRPr="00383B82">
              <w:t>Animals were allocated to each group in an alternating order to minimize selection bias. Formal randomization was not performed, but the allocation was blinded to the investigator performing the analysis.</w:t>
            </w:r>
          </w:p>
        </w:tc>
      </w:tr>
      <w:tr w:rsidR="0074249A" w14:paraId="0266F798" w14:textId="77777777">
        <w:tc>
          <w:tcPr>
            <w:tcW w:w="1584" w:type="dxa"/>
          </w:tcPr>
          <w:p w14:paraId="140D5BFE" w14:textId="77777777" w:rsidR="0074249A" w:rsidRDefault="0074249A">
            <w:pPr>
              <w:pStyle w:val="Compact"/>
            </w:pPr>
            <w:hyperlink r:id="rId20">
              <w:r>
                <w:rPr>
                  <w:rStyle w:val="af"/>
                </w:rPr>
                <w:t>5. Blinding/Masking</w:t>
              </w:r>
            </w:hyperlink>
          </w:p>
        </w:tc>
        <w:tc>
          <w:tcPr>
            <w:tcW w:w="3959" w:type="dxa"/>
          </w:tcPr>
          <w:p w14:paraId="5F8EE8B4" w14:textId="77777777" w:rsidR="0074249A" w:rsidRDefault="00000000">
            <w:pPr>
              <w:pStyle w:val="Compact"/>
            </w:pPr>
            <w:r>
              <w:t>Describe who was aware of the group allocation at the different stages of the experiment (during the allocation, the conduct of the experiment, the outcome assessment, and the data analysis).</w:t>
            </w:r>
          </w:p>
        </w:tc>
        <w:tc>
          <w:tcPr>
            <w:tcW w:w="2375" w:type="dxa"/>
          </w:tcPr>
          <w:p w14:paraId="08821B88" w14:textId="65FC8046" w:rsidR="0074249A" w:rsidRDefault="00383B82">
            <w:pPr>
              <w:pStyle w:val="Compact"/>
            </w:pPr>
            <w:r w:rsidRPr="00383B82">
              <w:t>Outcome assessment (PET measurement and histological scoring) was performed in a blinded manner.</w:t>
            </w:r>
          </w:p>
        </w:tc>
      </w:tr>
      <w:tr w:rsidR="0074249A" w14:paraId="6BF4028C"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33524C3" w14:textId="77777777" w:rsidR="0074249A" w:rsidRDefault="00000000">
            <w:pPr>
              <w:pStyle w:val="Compact"/>
            </w:pPr>
            <w:r>
              <w:t> 6. Outcome Measures</w:t>
            </w:r>
          </w:p>
        </w:tc>
        <w:tc>
          <w:tcPr>
            <w:tcW w:w="3959" w:type="dxa"/>
          </w:tcPr>
          <w:p w14:paraId="68D01C90" w14:textId="77777777" w:rsidR="0074249A" w:rsidRDefault="0074249A">
            <w:pPr>
              <w:pStyle w:val="Compact"/>
            </w:pPr>
          </w:p>
        </w:tc>
        <w:tc>
          <w:tcPr>
            <w:tcW w:w="2375" w:type="dxa"/>
          </w:tcPr>
          <w:p w14:paraId="12E4BB59" w14:textId="77777777" w:rsidR="0074249A" w:rsidRDefault="0074249A">
            <w:pPr>
              <w:pStyle w:val="Compact"/>
            </w:pPr>
          </w:p>
        </w:tc>
      </w:tr>
      <w:tr w:rsidR="0074249A" w14:paraId="32AB16AA" w14:textId="77777777">
        <w:tc>
          <w:tcPr>
            <w:tcW w:w="1584" w:type="dxa"/>
          </w:tcPr>
          <w:p w14:paraId="0B129E10" w14:textId="77777777" w:rsidR="0074249A" w:rsidRDefault="0074249A">
            <w:pPr>
              <w:pStyle w:val="Compact"/>
            </w:pPr>
            <w:hyperlink r:id="rId21">
              <w:r>
                <w:rPr>
                  <w:rStyle w:val="af"/>
                </w:rPr>
                <w:t>6a. Outcome Measures</w:t>
              </w:r>
            </w:hyperlink>
          </w:p>
        </w:tc>
        <w:tc>
          <w:tcPr>
            <w:tcW w:w="3959" w:type="dxa"/>
          </w:tcPr>
          <w:p w14:paraId="6446802F" w14:textId="77777777" w:rsidR="0074249A" w:rsidRDefault="00000000">
            <w:pPr>
              <w:pStyle w:val="Compact"/>
            </w:pPr>
            <w:r>
              <w:t>Clearly define all outcome measures assessed (e.g., cell death, molecular markers, or behavioural changes).</w:t>
            </w:r>
          </w:p>
        </w:tc>
        <w:tc>
          <w:tcPr>
            <w:tcW w:w="2375" w:type="dxa"/>
          </w:tcPr>
          <w:p w14:paraId="7FB08A00" w14:textId="654C0524" w:rsidR="0074249A" w:rsidRDefault="00383B82">
            <w:pPr>
              <w:pStyle w:val="Compact"/>
            </w:pPr>
            <w:r>
              <w:rPr>
                <w:rFonts w:hint="eastAsia"/>
                <w:lang w:eastAsia="ja-JP"/>
              </w:rPr>
              <w:t>P</w:t>
            </w:r>
            <w:r w:rsidRPr="00383B82">
              <w:t>eritoneal transport function (D/D0 ratio).</w:t>
            </w:r>
          </w:p>
        </w:tc>
      </w:tr>
      <w:tr w:rsidR="0074249A" w14:paraId="1FD8E888"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8914A8D" w14:textId="77777777" w:rsidR="0074249A" w:rsidRDefault="0074249A">
            <w:pPr>
              <w:pStyle w:val="Compact"/>
            </w:pPr>
            <w:hyperlink r:id="rId22">
              <w:r>
                <w:rPr>
                  <w:rStyle w:val="af"/>
                </w:rPr>
                <w:t>6b. Primary Outcome Measure</w:t>
              </w:r>
            </w:hyperlink>
          </w:p>
        </w:tc>
        <w:tc>
          <w:tcPr>
            <w:tcW w:w="3959" w:type="dxa"/>
          </w:tcPr>
          <w:p w14:paraId="28E5F86A" w14:textId="77777777" w:rsidR="0074249A" w:rsidRDefault="00000000">
            <w:pPr>
              <w:pStyle w:val="Compact"/>
            </w:pPr>
            <w:r>
              <w:t>For hypothesis-testing studies, specify the primary outcome measure, i.e., the outcome measure that was used to determine the sample size.</w:t>
            </w:r>
          </w:p>
        </w:tc>
        <w:tc>
          <w:tcPr>
            <w:tcW w:w="2375" w:type="dxa"/>
          </w:tcPr>
          <w:p w14:paraId="1977B148" w14:textId="555C75FE" w:rsidR="0074249A" w:rsidRDefault="00383B82">
            <w:pPr>
              <w:pStyle w:val="Compact"/>
            </w:pPr>
            <w:r w:rsidRPr="00383B82">
              <w:t>The primary outcome measure was the peritoneal transport function, assessed by the D/D₀ ratio obtained from the peritoneal equilibration test (PET).</w:t>
            </w:r>
            <w:r w:rsidRPr="00383B82">
              <w:br/>
              <w:t xml:space="preserve">This outcome was used to determine the sample size and evaluate the functional </w:t>
            </w:r>
            <w:r w:rsidRPr="00383B82">
              <w:lastRenderedPageBreak/>
              <w:t xml:space="preserve">recovery after </w:t>
            </w:r>
            <w:proofErr w:type="spellStart"/>
            <w:r w:rsidRPr="00383B82">
              <w:t>iPMC</w:t>
            </w:r>
            <w:proofErr w:type="spellEnd"/>
            <w:r w:rsidRPr="00383B82">
              <w:t xml:space="preserve"> transplantation.</w:t>
            </w:r>
          </w:p>
        </w:tc>
      </w:tr>
      <w:tr w:rsidR="0074249A" w14:paraId="03C89730" w14:textId="77777777">
        <w:tc>
          <w:tcPr>
            <w:tcW w:w="1584" w:type="dxa"/>
          </w:tcPr>
          <w:p w14:paraId="5F5D66EC" w14:textId="77777777" w:rsidR="0074249A" w:rsidRDefault="00000000">
            <w:pPr>
              <w:pStyle w:val="Compact"/>
            </w:pPr>
            <w:r>
              <w:lastRenderedPageBreak/>
              <w:t> 7. Statistical Methods</w:t>
            </w:r>
          </w:p>
        </w:tc>
        <w:tc>
          <w:tcPr>
            <w:tcW w:w="3959" w:type="dxa"/>
          </w:tcPr>
          <w:p w14:paraId="1D424A72" w14:textId="77777777" w:rsidR="0074249A" w:rsidRDefault="0074249A">
            <w:pPr>
              <w:pStyle w:val="Compact"/>
            </w:pPr>
          </w:p>
        </w:tc>
        <w:tc>
          <w:tcPr>
            <w:tcW w:w="2375" w:type="dxa"/>
          </w:tcPr>
          <w:p w14:paraId="132EC1AC" w14:textId="77777777" w:rsidR="0074249A" w:rsidRDefault="0074249A">
            <w:pPr>
              <w:pStyle w:val="Compact"/>
            </w:pPr>
          </w:p>
        </w:tc>
      </w:tr>
      <w:tr w:rsidR="0074249A" w14:paraId="69770DA3"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15CCCA7" w14:textId="77777777" w:rsidR="0074249A" w:rsidRDefault="0074249A">
            <w:pPr>
              <w:pStyle w:val="Compact"/>
            </w:pPr>
            <w:hyperlink r:id="rId23">
              <w:r>
                <w:rPr>
                  <w:rStyle w:val="af"/>
                </w:rPr>
                <w:t>7a. Statistical Methods used for each Analysis</w:t>
              </w:r>
            </w:hyperlink>
          </w:p>
        </w:tc>
        <w:tc>
          <w:tcPr>
            <w:tcW w:w="3959" w:type="dxa"/>
          </w:tcPr>
          <w:p w14:paraId="2023EFB2" w14:textId="77777777" w:rsidR="0074249A" w:rsidRDefault="00000000">
            <w:pPr>
              <w:pStyle w:val="Compact"/>
            </w:pPr>
            <w:r>
              <w:t>Provide details of the statistical methods used for each analysis, including software used.</w:t>
            </w:r>
          </w:p>
        </w:tc>
        <w:tc>
          <w:tcPr>
            <w:tcW w:w="2375" w:type="dxa"/>
          </w:tcPr>
          <w:p w14:paraId="1DAF4F04" w14:textId="31B777EA" w:rsidR="0074249A" w:rsidRDefault="00383B82">
            <w:pPr>
              <w:pStyle w:val="Compact"/>
            </w:pPr>
            <w:r w:rsidRPr="00383B82">
              <w:t>One-way ANOVA with Tukey’s post hoc test (JMP ver.18). p &lt; 0.05 considered significant.</w:t>
            </w:r>
          </w:p>
        </w:tc>
      </w:tr>
      <w:tr w:rsidR="0074249A" w14:paraId="1D2DF69B" w14:textId="77777777">
        <w:tc>
          <w:tcPr>
            <w:tcW w:w="1584" w:type="dxa"/>
          </w:tcPr>
          <w:p w14:paraId="17532778" w14:textId="77777777" w:rsidR="0074249A" w:rsidRDefault="0074249A">
            <w:pPr>
              <w:pStyle w:val="Compact"/>
            </w:pPr>
            <w:hyperlink r:id="rId24">
              <w:r>
                <w:rPr>
                  <w:rStyle w:val="af"/>
                </w:rPr>
                <w:t>7b. Statistical Assumptions</w:t>
              </w:r>
            </w:hyperlink>
          </w:p>
        </w:tc>
        <w:tc>
          <w:tcPr>
            <w:tcW w:w="3959" w:type="dxa"/>
          </w:tcPr>
          <w:p w14:paraId="6C1DE6BB" w14:textId="77777777" w:rsidR="0074249A" w:rsidRDefault="00000000">
            <w:pPr>
              <w:pStyle w:val="Compact"/>
            </w:pPr>
            <w:r>
              <w:t>Describe any methods used to assess whether the data met the assumptions of the statistical approach, and what was done if the assumptions were not met.</w:t>
            </w:r>
          </w:p>
        </w:tc>
        <w:tc>
          <w:tcPr>
            <w:tcW w:w="2375" w:type="dxa"/>
          </w:tcPr>
          <w:p w14:paraId="30644732" w14:textId="77777777" w:rsidR="00383B82" w:rsidRDefault="00383B82" w:rsidP="00383B82">
            <w:pPr>
              <w:pStyle w:val="Compact"/>
            </w:pPr>
            <w:r>
              <w:t>Data were visually inspected for normality using histogram and Q–Q plots.</w:t>
            </w:r>
          </w:p>
          <w:p w14:paraId="120C1226" w14:textId="77777777" w:rsidR="00383B82" w:rsidRDefault="00383B82" w:rsidP="00383B82">
            <w:pPr>
              <w:pStyle w:val="Compact"/>
            </w:pPr>
            <w:r>
              <w:t>Because the sample size per group was small (n=6), both parametric and nonparametric tests yielded consistent trends.</w:t>
            </w:r>
          </w:p>
          <w:p w14:paraId="5229805B" w14:textId="7420EC21" w:rsidR="0074249A" w:rsidRDefault="00383B82" w:rsidP="00383B82">
            <w:pPr>
              <w:pStyle w:val="Compact"/>
            </w:pPr>
            <w:r>
              <w:t>Statistical significance was defined as p &lt; 0.05.</w:t>
            </w:r>
          </w:p>
        </w:tc>
      </w:tr>
      <w:tr w:rsidR="0074249A" w14:paraId="6699A57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75A6018" w14:textId="77777777" w:rsidR="0074249A" w:rsidRDefault="00000000">
            <w:pPr>
              <w:pStyle w:val="Compact"/>
            </w:pPr>
            <w:r>
              <w:t> 8. Experimental Animals</w:t>
            </w:r>
          </w:p>
        </w:tc>
        <w:tc>
          <w:tcPr>
            <w:tcW w:w="3959" w:type="dxa"/>
          </w:tcPr>
          <w:p w14:paraId="31252CA5" w14:textId="77777777" w:rsidR="0074249A" w:rsidRDefault="0074249A">
            <w:pPr>
              <w:pStyle w:val="Compact"/>
            </w:pPr>
          </w:p>
        </w:tc>
        <w:tc>
          <w:tcPr>
            <w:tcW w:w="2375" w:type="dxa"/>
          </w:tcPr>
          <w:p w14:paraId="7A2E8B0F" w14:textId="77777777" w:rsidR="0074249A" w:rsidRDefault="0074249A">
            <w:pPr>
              <w:pStyle w:val="Compact"/>
            </w:pPr>
          </w:p>
        </w:tc>
      </w:tr>
      <w:tr w:rsidR="0074249A" w14:paraId="601FCA42" w14:textId="77777777">
        <w:tc>
          <w:tcPr>
            <w:tcW w:w="1584" w:type="dxa"/>
          </w:tcPr>
          <w:p w14:paraId="2F6E09DF" w14:textId="77777777" w:rsidR="0074249A" w:rsidRDefault="0074249A">
            <w:pPr>
              <w:pStyle w:val="Compact"/>
            </w:pPr>
            <w:hyperlink r:id="rId25">
              <w:r>
                <w:rPr>
                  <w:rStyle w:val="af"/>
                </w:rPr>
                <w:t>8a. Species-appropriate Details</w:t>
              </w:r>
            </w:hyperlink>
          </w:p>
        </w:tc>
        <w:tc>
          <w:tcPr>
            <w:tcW w:w="3959" w:type="dxa"/>
          </w:tcPr>
          <w:p w14:paraId="2B7D6D9B" w14:textId="77777777" w:rsidR="0074249A" w:rsidRDefault="00000000">
            <w:pPr>
              <w:pStyle w:val="Compact"/>
            </w:pPr>
            <w:r>
              <w:t>Provide species-appropriate details of the animals used, including species, strain and substrain, sex, age or developmental stage, and, if relevant, weight.</w:t>
            </w:r>
          </w:p>
        </w:tc>
        <w:tc>
          <w:tcPr>
            <w:tcW w:w="2375" w:type="dxa"/>
          </w:tcPr>
          <w:p w14:paraId="05E292A0" w14:textId="76BF7C9B" w:rsidR="0074249A" w:rsidRDefault="00383B82">
            <w:pPr>
              <w:pStyle w:val="Compact"/>
            </w:pPr>
            <w:r w:rsidRPr="00383B82">
              <w:t>C.B-17/</w:t>
            </w:r>
            <w:proofErr w:type="spellStart"/>
            <w:r w:rsidRPr="00383B82">
              <w:t>lcr-scid</w:t>
            </w:r>
            <w:proofErr w:type="spellEnd"/>
            <w:r w:rsidRPr="00383B82">
              <w:t>/</w:t>
            </w:r>
            <w:proofErr w:type="spellStart"/>
            <w:r w:rsidRPr="00383B82">
              <w:t>scid</w:t>
            </w:r>
            <w:proofErr w:type="spellEnd"/>
            <w:r w:rsidRPr="00383B82">
              <w:t xml:space="preserve"> </w:t>
            </w:r>
            <w:proofErr w:type="spellStart"/>
            <w:r w:rsidRPr="00383B82">
              <w:t>Jcl</w:t>
            </w:r>
            <w:proofErr w:type="spellEnd"/>
            <w:r w:rsidRPr="00383B82">
              <w:t xml:space="preserve"> male mice, 8–10 weeks old, 20–25 g.</w:t>
            </w:r>
          </w:p>
        </w:tc>
      </w:tr>
      <w:tr w:rsidR="0074249A" w14:paraId="7FC9A460"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E9F206A" w14:textId="77777777" w:rsidR="0074249A" w:rsidRDefault="0074249A">
            <w:pPr>
              <w:pStyle w:val="Compact"/>
            </w:pPr>
            <w:hyperlink r:id="rId26">
              <w:r>
                <w:rPr>
                  <w:rStyle w:val="af"/>
                </w:rPr>
                <w:t>8b. Further Information</w:t>
              </w:r>
            </w:hyperlink>
          </w:p>
        </w:tc>
        <w:tc>
          <w:tcPr>
            <w:tcW w:w="3959" w:type="dxa"/>
          </w:tcPr>
          <w:p w14:paraId="79AB658F" w14:textId="77777777" w:rsidR="0074249A" w:rsidRDefault="00000000">
            <w:pPr>
              <w:pStyle w:val="Compact"/>
            </w:pPr>
            <w:r>
              <w:t>Provide further relevant information on the provenance of animals, health/immune status, genetic modification status, genotype, and any previous procedures.</w:t>
            </w:r>
          </w:p>
        </w:tc>
        <w:tc>
          <w:tcPr>
            <w:tcW w:w="2375" w:type="dxa"/>
          </w:tcPr>
          <w:p w14:paraId="3F642419" w14:textId="4445417C" w:rsidR="0074249A" w:rsidRDefault="00383B82">
            <w:pPr>
              <w:pStyle w:val="Compact"/>
            </w:pPr>
            <w:r w:rsidRPr="00383B82">
              <w:t>All animals were C.B-17/</w:t>
            </w:r>
            <w:proofErr w:type="spellStart"/>
            <w:r w:rsidRPr="00383B82">
              <w:t>Icr-scid</w:t>
            </w:r>
            <w:proofErr w:type="spellEnd"/>
            <w:r w:rsidRPr="00383B82">
              <w:t>/</w:t>
            </w:r>
            <w:proofErr w:type="spellStart"/>
            <w:r w:rsidRPr="00383B82">
              <w:t>scid</w:t>
            </w:r>
            <w:proofErr w:type="spellEnd"/>
            <w:r w:rsidRPr="00383B82">
              <w:t xml:space="preserve"> </w:t>
            </w:r>
            <w:proofErr w:type="spellStart"/>
            <w:r w:rsidRPr="00383B82">
              <w:t>Jcl</w:t>
            </w:r>
            <w:proofErr w:type="spellEnd"/>
            <w:r w:rsidRPr="00383B82">
              <w:t xml:space="preserve"> mice (CLEA Japan, Tokyo, Japan), maintained in a specific-pathogen-free (SPF) facility.</w:t>
            </w:r>
            <w:r w:rsidRPr="00383B82">
              <w:br/>
              <w:t>Mice were confirmed to be immunodeficient and free of known pathogens.</w:t>
            </w:r>
            <w:r w:rsidRPr="00383B82">
              <w:br/>
              <w:t>No previous experimental procedures were performed before this study.</w:t>
            </w:r>
            <w:r w:rsidRPr="00383B82">
              <w:br/>
              <w:t>Animals were acclimatized for at least one week before starting the experiments.</w:t>
            </w:r>
            <w:r w:rsidRPr="00383B82">
              <w:br/>
              <w:t>Genotype verification was performed by the breeder, and all mice were handled according to institutional guidelines for immunodeficient strains.</w:t>
            </w:r>
          </w:p>
        </w:tc>
      </w:tr>
      <w:tr w:rsidR="0074249A" w14:paraId="5870672C" w14:textId="77777777">
        <w:tc>
          <w:tcPr>
            <w:tcW w:w="1584" w:type="dxa"/>
          </w:tcPr>
          <w:p w14:paraId="75B3FA25" w14:textId="77777777" w:rsidR="0074249A" w:rsidRDefault="00000000">
            <w:pPr>
              <w:pStyle w:val="Compact"/>
            </w:pPr>
            <w:r>
              <w:t> 9. Experimental Procedures</w:t>
            </w:r>
          </w:p>
        </w:tc>
        <w:tc>
          <w:tcPr>
            <w:tcW w:w="3959" w:type="dxa"/>
          </w:tcPr>
          <w:p w14:paraId="149066A3" w14:textId="77777777" w:rsidR="0074249A" w:rsidRDefault="0074249A">
            <w:pPr>
              <w:pStyle w:val="Compact"/>
            </w:pPr>
          </w:p>
        </w:tc>
        <w:tc>
          <w:tcPr>
            <w:tcW w:w="2375" w:type="dxa"/>
          </w:tcPr>
          <w:p w14:paraId="02BE452C" w14:textId="77777777" w:rsidR="0074249A" w:rsidRDefault="0074249A">
            <w:pPr>
              <w:pStyle w:val="Compact"/>
            </w:pPr>
          </w:p>
        </w:tc>
      </w:tr>
      <w:tr w:rsidR="0074249A" w14:paraId="554F6F1A"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6B32FA0C" w14:textId="77777777" w:rsidR="0074249A" w:rsidRDefault="0074249A">
            <w:pPr>
              <w:pStyle w:val="Compact"/>
            </w:pPr>
            <w:hyperlink r:id="rId27">
              <w:r>
                <w:rPr>
                  <w:rStyle w:val="af"/>
                </w:rPr>
                <w:t>9a. What was done</w:t>
              </w:r>
            </w:hyperlink>
          </w:p>
        </w:tc>
        <w:tc>
          <w:tcPr>
            <w:tcW w:w="3959" w:type="dxa"/>
          </w:tcPr>
          <w:p w14:paraId="1DAF80E4" w14:textId="77777777" w:rsidR="0074249A" w:rsidRDefault="00000000">
            <w:pPr>
              <w:pStyle w:val="Compact"/>
            </w:pPr>
            <w:r>
              <w:t>What was done, how it was done, and what was used.</w:t>
            </w:r>
          </w:p>
        </w:tc>
        <w:tc>
          <w:tcPr>
            <w:tcW w:w="2375" w:type="dxa"/>
          </w:tcPr>
          <w:p w14:paraId="70F07F45" w14:textId="1E503305" w:rsidR="0074249A" w:rsidRDefault="00383B82">
            <w:pPr>
              <w:pStyle w:val="Compact"/>
            </w:pPr>
            <w:r w:rsidRPr="00383B82">
              <w:t xml:space="preserve">MGO (40 mM, 2 mL) injected intraperitoneally for 7 days, followed by </w:t>
            </w:r>
            <w:proofErr w:type="spellStart"/>
            <w:r w:rsidRPr="00383B82">
              <w:t>iPMC</w:t>
            </w:r>
            <w:proofErr w:type="spellEnd"/>
            <w:r w:rsidRPr="00383B82">
              <w:t xml:space="preserve"> </w:t>
            </w:r>
            <w:r w:rsidRPr="00383B82">
              <w:lastRenderedPageBreak/>
              <w:t>transplantation (1×10⁷ cells in 2 mL saline).</w:t>
            </w:r>
          </w:p>
        </w:tc>
      </w:tr>
      <w:tr w:rsidR="0074249A" w14:paraId="4E842A74" w14:textId="77777777">
        <w:tc>
          <w:tcPr>
            <w:tcW w:w="1584" w:type="dxa"/>
          </w:tcPr>
          <w:p w14:paraId="63662E28" w14:textId="77777777" w:rsidR="0074249A" w:rsidRDefault="0074249A">
            <w:pPr>
              <w:pStyle w:val="Compact"/>
            </w:pPr>
            <w:hyperlink r:id="rId28">
              <w:r>
                <w:rPr>
                  <w:rStyle w:val="af"/>
                </w:rPr>
                <w:t>9b. When and how often procedures were conducted</w:t>
              </w:r>
            </w:hyperlink>
          </w:p>
        </w:tc>
        <w:tc>
          <w:tcPr>
            <w:tcW w:w="3959" w:type="dxa"/>
          </w:tcPr>
          <w:p w14:paraId="62059C15" w14:textId="77777777" w:rsidR="0074249A" w:rsidRDefault="00000000">
            <w:pPr>
              <w:pStyle w:val="Compact"/>
            </w:pPr>
            <w:r>
              <w:t xml:space="preserve">For each experimental group, including controls, describe </w:t>
            </w:r>
            <w:r>
              <w:rPr>
                <w:b/>
                <w:bCs/>
              </w:rPr>
              <w:t>when and how often</w:t>
            </w:r>
            <w:r>
              <w:t xml:space="preserve"> procedures were performed.</w:t>
            </w:r>
          </w:p>
        </w:tc>
        <w:tc>
          <w:tcPr>
            <w:tcW w:w="2375" w:type="dxa"/>
          </w:tcPr>
          <w:p w14:paraId="0C41AC85" w14:textId="517B59DF" w:rsidR="0074249A" w:rsidRDefault="00563592">
            <w:pPr>
              <w:pStyle w:val="Compact"/>
            </w:pPr>
            <w:r w:rsidRPr="00563592">
              <w:t>Methylglyoxal (MGO, 40 mM, 2 mL) was administered intraperitoneally twice per week for 3 consecutive weeks to induce peritoneal injury.</w:t>
            </w:r>
            <w:r w:rsidRPr="00563592">
              <w:br/>
              <w:t xml:space="preserve">Three days after the final MGO injection, 1×10⁷ </w:t>
            </w:r>
            <w:proofErr w:type="spellStart"/>
            <w:r w:rsidRPr="00563592">
              <w:t>hiPSC</w:t>
            </w:r>
            <w:proofErr w:type="spellEnd"/>
            <w:r w:rsidRPr="00563592">
              <w:t>-derived peritoneal mesothelial cells (</w:t>
            </w:r>
            <w:proofErr w:type="spellStart"/>
            <w:r w:rsidRPr="00563592">
              <w:t>iPMCs</w:t>
            </w:r>
            <w:proofErr w:type="spellEnd"/>
            <w:r w:rsidRPr="00563592">
              <w:t>) suspended in 2 mL of saline were transplanted intraperitoneally once.</w:t>
            </w:r>
          </w:p>
        </w:tc>
      </w:tr>
      <w:tr w:rsidR="0074249A" w14:paraId="693B7BC9"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F5D9090" w14:textId="77777777" w:rsidR="0074249A" w:rsidRDefault="0074249A">
            <w:pPr>
              <w:pStyle w:val="Compact"/>
            </w:pPr>
            <w:hyperlink r:id="rId29">
              <w:r>
                <w:rPr>
                  <w:rStyle w:val="af"/>
                </w:rPr>
                <w:t>9c. Where procedures were conducted</w:t>
              </w:r>
            </w:hyperlink>
          </w:p>
        </w:tc>
        <w:tc>
          <w:tcPr>
            <w:tcW w:w="3959" w:type="dxa"/>
          </w:tcPr>
          <w:p w14:paraId="037FB7C9" w14:textId="77777777" w:rsidR="0074249A" w:rsidRDefault="00000000">
            <w:pPr>
              <w:pStyle w:val="Compact"/>
            </w:pPr>
            <w:r>
              <w:t xml:space="preserve">For each experimental group, including controls, describe </w:t>
            </w:r>
            <w:r>
              <w:rPr>
                <w:b/>
                <w:bCs/>
              </w:rPr>
              <w:t>where</w:t>
            </w:r>
            <w:r>
              <w:t xml:space="preserve"> procedures were conducted (including detail of any acclimatisation periods).</w:t>
            </w:r>
          </w:p>
        </w:tc>
        <w:tc>
          <w:tcPr>
            <w:tcW w:w="2375" w:type="dxa"/>
          </w:tcPr>
          <w:p w14:paraId="55BA5AD5" w14:textId="3EAEB228" w:rsidR="0074249A" w:rsidRDefault="00563592">
            <w:pPr>
              <w:pStyle w:val="Compact"/>
            </w:pPr>
            <w:r w:rsidRPr="00563592">
              <w:t>All procedures were conducted in the animal experimentation facility of</w:t>
            </w:r>
            <w:r>
              <w:rPr>
                <w:rFonts w:hint="eastAsia"/>
                <w:lang w:eastAsia="ja-JP"/>
              </w:rPr>
              <w:t xml:space="preserve"> Showa Medical University</w:t>
            </w:r>
            <w:r w:rsidRPr="00563592">
              <w:t>, which is maintained under specific-pathogen-free (SPF) conditions.</w:t>
            </w:r>
            <w:r w:rsidRPr="00563592">
              <w:br/>
              <w:t>MGO injections</w:t>
            </w:r>
            <w:r>
              <w:rPr>
                <w:rFonts w:hint="eastAsia"/>
                <w:lang w:eastAsia="ja-JP"/>
              </w:rPr>
              <w:t>,</w:t>
            </w:r>
            <w:r w:rsidRPr="00563592">
              <w:t xml:space="preserve"> </w:t>
            </w:r>
            <w:proofErr w:type="spellStart"/>
            <w:r w:rsidRPr="00563592">
              <w:t>iPMC</w:t>
            </w:r>
            <w:proofErr w:type="spellEnd"/>
            <w:r w:rsidRPr="00563592">
              <w:t xml:space="preserve"> transplantation</w:t>
            </w:r>
            <w:r>
              <w:rPr>
                <w:rFonts w:hint="eastAsia"/>
                <w:lang w:eastAsia="ja-JP"/>
              </w:rPr>
              <w:t xml:space="preserve"> and t</w:t>
            </w:r>
            <w:r w:rsidRPr="00563592">
              <w:t>he peritoneal equilibration test was conducted in the same facility, and all animals were housed individually during the observation period.</w:t>
            </w:r>
          </w:p>
        </w:tc>
      </w:tr>
      <w:tr w:rsidR="0074249A" w14:paraId="4E2B7CED" w14:textId="77777777">
        <w:tc>
          <w:tcPr>
            <w:tcW w:w="1584" w:type="dxa"/>
          </w:tcPr>
          <w:p w14:paraId="2A08C921" w14:textId="77777777" w:rsidR="0074249A" w:rsidRDefault="0074249A">
            <w:pPr>
              <w:pStyle w:val="Compact"/>
            </w:pPr>
            <w:hyperlink r:id="rId30">
              <w:r>
                <w:rPr>
                  <w:rStyle w:val="af"/>
                </w:rPr>
                <w:t>9d. Why procedures were done</w:t>
              </w:r>
            </w:hyperlink>
          </w:p>
        </w:tc>
        <w:tc>
          <w:tcPr>
            <w:tcW w:w="3959" w:type="dxa"/>
          </w:tcPr>
          <w:p w14:paraId="2E18BB2D" w14:textId="77777777" w:rsidR="0074249A" w:rsidRDefault="00000000">
            <w:pPr>
              <w:pStyle w:val="Compact"/>
            </w:pPr>
            <w:r>
              <w:t xml:space="preserve">For each experimental group, including controls, describe </w:t>
            </w:r>
            <w:r>
              <w:rPr>
                <w:b/>
                <w:bCs/>
              </w:rPr>
              <w:t>why</w:t>
            </w:r>
            <w:r>
              <w:t xml:space="preserve"> procedures were conducted.</w:t>
            </w:r>
          </w:p>
        </w:tc>
        <w:tc>
          <w:tcPr>
            <w:tcW w:w="2375" w:type="dxa"/>
          </w:tcPr>
          <w:p w14:paraId="05D16C11" w14:textId="53CD3969" w:rsidR="0074249A" w:rsidRDefault="00563592">
            <w:pPr>
              <w:pStyle w:val="Compact"/>
            </w:pPr>
            <w:r w:rsidRPr="00563592">
              <w:t>MGO injections were performed to induce peritoneal injury and mimic the pathological changes associated with long-term peritoneal dialysis exposure.</w:t>
            </w:r>
            <w:r w:rsidRPr="00563592">
              <w:br/>
              <w:t xml:space="preserve">The transplantation of </w:t>
            </w:r>
            <w:proofErr w:type="spellStart"/>
            <w:r w:rsidRPr="00563592">
              <w:t>hiPSC</w:t>
            </w:r>
            <w:proofErr w:type="spellEnd"/>
            <w:r w:rsidRPr="00563592">
              <w:t>-derived peritoneal mesothelial cells (</w:t>
            </w:r>
            <w:proofErr w:type="spellStart"/>
            <w:r w:rsidRPr="00563592">
              <w:t>iPMCs</w:t>
            </w:r>
            <w:proofErr w:type="spellEnd"/>
            <w:r w:rsidRPr="00563592">
              <w:t>) was conducted to evaluate their regenerative potential and ability to restore peritoneal function in this injury model.</w:t>
            </w:r>
            <w:r w:rsidRPr="00563592">
              <w:br/>
              <w:t xml:space="preserve">The peritoneal equilibration test (PET) and histological analyses were carried out to assess functional recovery and morphological improvements following </w:t>
            </w:r>
            <w:proofErr w:type="spellStart"/>
            <w:r w:rsidRPr="00563592">
              <w:t>iPMC</w:t>
            </w:r>
            <w:proofErr w:type="spellEnd"/>
            <w:r w:rsidRPr="00563592">
              <w:t xml:space="preserve"> transplantation.</w:t>
            </w:r>
          </w:p>
        </w:tc>
      </w:tr>
      <w:tr w:rsidR="0074249A" w14:paraId="51A8800D"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75646523" w14:textId="77777777" w:rsidR="0074249A" w:rsidRDefault="00000000">
            <w:pPr>
              <w:pStyle w:val="Compact"/>
            </w:pPr>
            <w:r>
              <w:t> 10. Results</w:t>
            </w:r>
          </w:p>
        </w:tc>
        <w:tc>
          <w:tcPr>
            <w:tcW w:w="3959" w:type="dxa"/>
          </w:tcPr>
          <w:p w14:paraId="2788F623" w14:textId="77777777" w:rsidR="0074249A" w:rsidRDefault="0074249A">
            <w:pPr>
              <w:pStyle w:val="Compact"/>
            </w:pPr>
          </w:p>
        </w:tc>
        <w:tc>
          <w:tcPr>
            <w:tcW w:w="2375" w:type="dxa"/>
          </w:tcPr>
          <w:p w14:paraId="4C577175" w14:textId="77777777" w:rsidR="0074249A" w:rsidRDefault="0074249A">
            <w:pPr>
              <w:pStyle w:val="Compact"/>
            </w:pPr>
          </w:p>
        </w:tc>
      </w:tr>
      <w:tr w:rsidR="0074249A" w14:paraId="2CBF38D4" w14:textId="77777777">
        <w:tc>
          <w:tcPr>
            <w:tcW w:w="1584" w:type="dxa"/>
          </w:tcPr>
          <w:p w14:paraId="484557CD" w14:textId="77777777" w:rsidR="0074249A" w:rsidRDefault="0074249A">
            <w:pPr>
              <w:pStyle w:val="Compact"/>
            </w:pPr>
            <w:hyperlink r:id="rId31">
              <w:r>
                <w:rPr>
                  <w:rStyle w:val="af"/>
                </w:rPr>
                <w:t>10a. Summary/Descriptive Statistics per group</w:t>
              </w:r>
            </w:hyperlink>
          </w:p>
        </w:tc>
        <w:tc>
          <w:tcPr>
            <w:tcW w:w="3959" w:type="dxa"/>
          </w:tcPr>
          <w:p w14:paraId="27462E96" w14:textId="77777777" w:rsidR="0074249A" w:rsidRDefault="00000000">
            <w:pPr>
              <w:pStyle w:val="Compact"/>
            </w:pPr>
            <w:r>
              <w:t>For each experiment conducted, including independent replications, report a summary/descriptive statistics for each experimental group, with a measure of variability where applicable (e.g., mean and SD, or median and range).</w:t>
            </w:r>
          </w:p>
        </w:tc>
        <w:tc>
          <w:tcPr>
            <w:tcW w:w="2375" w:type="dxa"/>
          </w:tcPr>
          <w:p w14:paraId="4A760589" w14:textId="671EE289" w:rsidR="0074249A" w:rsidRDefault="00563592">
            <w:pPr>
              <w:pStyle w:val="Compact"/>
            </w:pPr>
            <w:r w:rsidRPr="00563592">
              <w:t xml:space="preserve">D/D0 ratio significantly improved in </w:t>
            </w:r>
            <w:proofErr w:type="spellStart"/>
            <w:r w:rsidRPr="00563592">
              <w:t>iPMC</w:t>
            </w:r>
            <w:proofErr w:type="spellEnd"/>
            <w:r w:rsidRPr="00563592">
              <w:t xml:space="preserve"> group vs MGO group (p&lt;0.01, Fig.6B).</w:t>
            </w:r>
          </w:p>
        </w:tc>
      </w:tr>
      <w:tr w:rsidR="0074249A" w14:paraId="7D6F37AE"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EF3F19C" w14:textId="77777777" w:rsidR="0074249A" w:rsidRDefault="0074249A">
            <w:pPr>
              <w:pStyle w:val="Compact"/>
            </w:pPr>
            <w:hyperlink r:id="rId32">
              <w:r>
                <w:rPr>
                  <w:rStyle w:val="af"/>
                </w:rPr>
                <w:t>10b. Effect sizes and confidence intervals</w:t>
              </w:r>
            </w:hyperlink>
          </w:p>
        </w:tc>
        <w:tc>
          <w:tcPr>
            <w:tcW w:w="3959" w:type="dxa"/>
          </w:tcPr>
          <w:p w14:paraId="2F88CA49" w14:textId="77777777" w:rsidR="0074249A" w:rsidRDefault="00000000">
            <w:pPr>
              <w:pStyle w:val="Compact"/>
            </w:pPr>
            <w:r>
              <w:t>For each experiment conducted, including independent replications, report the effect size with a confidence interval, if applicable.</w:t>
            </w:r>
          </w:p>
        </w:tc>
        <w:tc>
          <w:tcPr>
            <w:tcW w:w="2375" w:type="dxa"/>
          </w:tcPr>
          <w:p w14:paraId="2DC5197A" w14:textId="201AA8DC" w:rsidR="0074249A" w:rsidRDefault="00563592">
            <w:pPr>
              <w:pStyle w:val="Compact"/>
            </w:pPr>
            <w:r w:rsidRPr="00563592">
              <w:t>Data are presented as mean ± standard deviation (SD).</w:t>
            </w:r>
            <w:r w:rsidRPr="00563592">
              <w:br/>
              <w:t>Group comparisons were performed using one-way ANOVA with Tukey’s post hoc test.</w:t>
            </w:r>
            <w:r w:rsidRPr="00563592">
              <w:br/>
              <w:t>Although formal effect sizes and confidence intervals were not calculated, group differences and variability are clearly shown as mean ± SD values in the figures (e.g., Fig. 6B).</w:t>
            </w:r>
            <w:r w:rsidRPr="00563592">
              <w:br/>
              <w:t>This presentation allows assessment of the magnitude and direction of the treatment effect.</w:t>
            </w:r>
          </w:p>
        </w:tc>
      </w:tr>
      <w:tr w:rsidR="0074249A" w14:paraId="359E23A5" w14:textId="77777777">
        <w:tc>
          <w:tcPr>
            <w:tcW w:w="1584" w:type="dxa"/>
          </w:tcPr>
          <w:p w14:paraId="2EB810AA" w14:textId="77777777" w:rsidR="0074249A" w:rsidRDefault="00000000">
            <w:pPr>
              <w:pStyle w:val="Compact"/>
            </w:pPr>
            <w:r>
              <w:t> </w:t>
            </w:r>
            <w:r>
              <w:rPr>
                <w:b/>
                <w:bCs/>
              </w:rPr>
              <w:t>Recommended Set</w:t>
            </w:r>
          </w:p>
        </w:tc>
        <w:tc>
          <w:tcPr>
            <w:tcW w:w="3959" w:type="dxa"/>
          </w:tcPr>
          <w:p w14:paraId="6664065F" w14:textId="77777777" w:rsidR="0074249A" w:rsidRDefault="0074249A">
            <w:pPr>
              <w:pStyle w:val="Compact"/>
            </w:pPr>
          </w:p>
        </w:tc>
        <w:tc>
          <w:tcPr>
            <w:tcW w:w="2375" w:type="dxa"/>
          </w:tcPr>
          <w:p w14:paraId="265568B1" w14:textId="77777777" w:rsidR="0074249A" w:rsidRDefault="0074249A">
            <w:pPr>
              <w:pStyle w:val="Compact"/>
            </w:pPr>
          </w:p>
        </w:tc>
      </w:tr>
      <w:tr w:rsidR="0074249A" w14:paraId="716715F2"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ECA4683" w14:textId="77777777" w:rsidR="0074249A" w:rsidRDefault="0074249A">
            <w:pPr>
              <w:pStyle w:val="Compact"/>
            </w:pPr>
            <w:hyperlink r:id="rId33">
              <w:r>
                <w:rPr>
                  <w:rStyle w:val="af"/>
                </w:rPr>
                <w:t>11. Abstract</w:t>
              </w:r>
            </w:hyperlink>
          </w:p>
        </w:tc>
        <w:tc>
          <w:tcPr>
            <w:tcW w:w="3959" w:type="dxa"/>
          </w:tcPr>
          <w:p w14:paraId="00FFD3B4" w14:textId="77777777" w:rsidR="0074249A" w:rsidRDefault="00000000">
            <w:pPr>
              <w:pStyle w:val="Compact"/>
            </w:pPr>
            <w:r>
              <w:t>Provide an accurate summary of the research objectives, animal species, strain and sex, key methods, principal findings, and study conclusions.</w:t>
            </w:r>
          </w:p>
        </w:tc>
        <w:tc>
          <w:tcPr>
            <w:tcW w:w="2375" w:type="dxa"/>
          </w:tcPr>
          <w:p w14:paraId="71695822" w14:textId="40DC7CCF" w:rsidR="0074249A" w:rsidRDefault="00563592">
            <w:pPr>
              <w:pStyle w:val="Compact"/>
            </w:pPr>
            <w:r w:rsidRPr="00563592">
              <w:t>The study aimed to develop biologically functional peritoneal mesothelial cells (PMCs) from human induced pluripotent stem cells (</w:t>
            </w:r>
            <w:proofErr w:type="spellStart"/>
            <w:r w:rsidRPr="00563592">
              <w:t>hiPSCs</w:t>
            </w:r>
            <w:proofErr w:type="spellEnd"/>
            <w:r w:rsidRPr="00563592">
              <w:t>) and evaluate their therapeutic potential in a mouse model of methylglyoxal (MGO)-induced peritoneal injury.</w:t>
            </w:r>
            <w:r w:rsidRPr="00563592">
              <w:br/>
            </w:r>
            <w:proofErr w:type="spellStart"/>
            <w:r w:rsidRPr="00563592">
              <w:t>hiPSCs</w:t>
            </w:r>
            <w:proofErr w:type="spellEnd"/>
            <w:r w:rsidRPr="00563592">
              <w:t xml:space="preserve"> were differentiated into PMCs through lateral plate mesoderm and characterized by mesothelial markers including WT1, KRT18, and MSLN.</w:t>
            </w:r>
            <w:r w:rsidRPr="00563592">
              <w:br/>
              <w:t xml:space="preserve">Transplantation of 1×10⁷ </w:t>
            </w:r>
            <w:proofErr w:type="spellStart"/>
            <w:r w:rsidRPr="00563592">
              <w:t>hiPSC</w:t>
            </w:r>
            <w:proofErr w:type="spellEnd"/>
            <w:r w:rsidRPr="00563592">
              <w:t>-derived PMCs into immunodeficient mice with MGO-induced peritoneal injury significantly improved peritoneal transport function and attenuated fibrosis.</w:t>
            </w:r>
            <w:r w:rsidRPr="00563592">
              <w:br/>
              <w:t xml:space="preserve">These results suggest that </w:t>
            </w:r>
            <w:proofErr w:type="spellStart"/>
            <w:r w:rsidRPr="00563592">
              <w:t>hiPSC</w:t>
            </w:r>
            <w:proofErr w:type="spellEnd"/>
            <w:r w:rsidRPr="00563592">
              <w:t xml:space="preserve">-derived PMCs can serve as a promising cell source for </w:t>
            </w:r>
            <w:r w:rsidRPr="00563592">
              <w:lastRenderedPageBreak/>
              <w:t>peritoneal regeneration in patients undergoing peritoneal dialysis.</w:t>
            </w:r>
          </w:p>
        </w:tc>
      </w:tr>
      <w:tr w:rsidR="0074249A" w14:paraId="20998084" w14:textId="77777777">
        <w:tc>
          <w:tcPr>
            <w:tcW w:w="1584" w:type="dxa"/>
          </w:tcPr>
          <w:p w14:paraId="1AC1EB90" w14:textId="77777777" w:rsidR="0074249A" w:rsidRDefault="00000000">
            <w:pPr>
              <w:pStyle w:val="Compact"/>
            </w:pPr>
            <w:r>
              <w:lastRenderedPageBreak/>
              <w:t> 12. Background</w:t>
            </w:r>
          </w:p>
        </w:tc>
        <w:tc>
          <w:tcPr>
            <w:tcW w:w="3959" w:type="dxa"/>
          </w:tcPr>
          <w:p w14:paraId="1C76B687" w14:textId="77777777" w:rsidR="0074249A" w:rsidRDefault="0074249A">
            <w:pPr>
              <w:pStyle w:val="Compact"/>
            </w:pPr>
          </w:p>
        </w:tc>
        <w:tc>
          <w:tcPr>
            <w:tcW w:w="2375" w:type="dxa"/>
          </w:tcPr>
          <w:p w14:paraId="114509E6" w14:textId="77777777" w:rsidR="0074249A" w:rsidRDefault="0074249A">
            <w:pPr>
              <w:pStyle w:val="Compact"/>
            </w:pPr>
          </w:p>
        </w:tc>
      </w:tr>
      <w:tr w:rsidR="0074249A" w14:paraId="70E51268"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BE41821" w14:textId="77777777" w:rsidR="0074249A" w:rsidRDefault="0074249A">
            <w:pPr>
              <w:pStyle w:val="Compact"/>
            </w:pPr>
            <w:hyperlink r:id="rId34">
              <w:r>
                <w:rPr>
                  <w:rStyle w:val="af"/>
                </w:rPr>
                <w:t>12a. Rationale</w:t>
              </w:r>
            </w:hyperlink>
          </w:p>
        </w:tc>
        <w:tc>
          <w:tcPr>
            <w:tcW w:w="3959" w:type="dxa"/>
          </w:tcPr>
          <w:p w14:paraId="387E6B1A" w14:textId="77777777" w:rsidR="0074249A" w:rsidRDefault="00000000">
            <w:pPr>
              <w:pStyle w:val="Compact"/>
            </w:pPr>
            <w:r>
              <w:t>Include sufficient scientific background to understand the rationale and context for the study, and explain the experimental approach.</w:t>
            </w:r>
          </w:p>
        </w:tc>
        <w:tc>
          <w:tcPr>
            <w:tcW w:w="2375" w:type="dxa"/>
          </w:tcPr>
          <w:p w14:paraId="64DF985D" w14:textId="2697F5C4" w:rsidR="0074249A" w:rsidRDefault="00563592">
            <w:pPr>
              <w:pStyle w:val="Compact"/>
            </w:pPr>
            <w:r w:rsidRPr="00563592">
              <w:t>Long-term peritoneal dialysis often leads to structural and functional deterioration of the peritoneal membrane due to chronic exposure to bioincompatible dialysis solutions.</w:t>
            </w:r>
            <w:r w:rsidRPr="00563592">
              <w:br/>
              <w:t>Loss of peritoneal mesothelial cells (PMCs) and subsequent fibrosis contribute to ultrafiltration failure and discontinuation of therapy.</w:t>
            </w:r>
            <w:r w:rsidRPr="00563592">
              <w:br/>
              <w:t>Because the peritoneum has limited regenerative capacity, replenishing functional PMCs may represent an effective strategy to restore peritoneal integrity.</w:t>
            </w:r>
            <w:r w:rsidRPr="00563592">
              <w:br/>
              <w:t>Human induced pluripotent stem cells (</w:t>
            </w:r>
            <w:proofErr w:type="spellStart"/>
            <w:r w:rsidRPr="00563592">
              <w:t>hiPSCs</w:t>
            </w:r>
            <w:proofErr w:type="spellEnd"/>
            <w:r w:rsidRPr="00563592">
              <w:t>) offer an unlimited cell source for generating autologous PMCs, but efficient differentiation and in vivo validation remain challenging.</w:t>
            </w:r>
            <w:r w:rsidRPr="00563592">
              <w:br/>
              <w:t xml:space="preserve">Therefore, this study aimed to establish a robust protocol to differentiate </w:t>
            </w:r>
            <w:proofErr w:type="spellStart"/>
            <w:r w:rsidRPr="00563592">
              <w:t>hiPSCs</w:t>
            </w:r>
            <w:proofErr w:type="spellEnd"/>
            <w:r w:rsidRPr="00563592">
              <w:t xml:space="preserve"> into functional PMCs and to evaluate their therapeutic potential in a mouse model of peritoneal injury.</w:t>
            </w:r>
          </w:p>
        </w:tc>
      </w:tr>
      <w:tr w:rsidR="0074249A" w14:paraId="1C3B48C3" w14:textId="77777777">
        <w:tc>
          <w:tcPr>
            <w:tcW w:w="1584" w:type="dxa"/>
          </w:tcPr>
          <w:p w14:paraId="1F000BD5" w14:textId="77777777" w:rsidR="0074249A" w:rsidRDefault="0074249A">
            <w:pPr>
              <w:pStyle w:val="Compact"/>
            </w:pPr>
            <w:hyperlink r:id="rId35">
              <w:r>
                <w:rPr>
                  <w:rStyle w:val="af"/>
                </w:rPr>
                <w:t>12b. Species and model</w:t>
              </w:r>
            </w:hyperlink>
          </w:p>
        </w:tc>
        <w:tc>
          <w:tcPr>
            <w:tcW w:w="3959" w:type="dxa"/>
          </w:tcPr>
          <w:p w14:paraId="5FD29B28" w14:textId="77777777" w:rsidR="0074249A" w:rsidRDefault="00000000">
            <w:pPr>
              <w:pStyle w:val="Compact"/>
            </w:pPr>
            <w:r>
              <w:t>Explain how the animal species and model used address the scientific objectives and, where appropriate, the relevance to human biology.</w:t>
            </w:r>
          </w:p>
        </w:tc>
        <w:tc>
          <w:tcPr>
            <w:tcW w:w="2375" w:type="dxa"/>
          </w:tcPr>
          <w:p w14:paraId="2D9730E3" w14:textId="72761E83" w:rsidR="0074249A" w:rsidRDefault="00563592">
            <w:pPr>
              <w:pStyle w:val="Compact"/>
            </w:pPr>
            <w:r w:rsidRPr="00563592">
              <w:t>Immunodeficient C.B-17/</w:t>
            </w:r>
            <w:proofErr w:type="spellStart"/>
            <w:r w:rsidRPr="00563592">
              <w:t>Icr-scid</w:t>
            </w:r>
            <w:proofErr w:type="spellEnd"/>
            <w:r w:rsidRPr="00563592">
              <w:t>/</w:t>
            </w:r>
            <w:proofErr w:type="spellStart"/>
            <w:r w:rsidRPr="00563592">
              <w:t>scid</w:t>
            </w:r>
            <w:proofErr w:type="spellEnd"/>
            <w:r w:rsidRPr="00563592">
              <w:t xml:space="preserve"> mice were selected because they allow engraftment of human cells without immune rejection.</w:t>
            </w:r>
            <w:r w:rsidRPr="00563592">
              <w:br/>
              <w:t>This strain is widely used in cell transplantation studies to evaluate the functional effects of human-derived cells in vivo.</w:t>
            </w:r>
            <w:r w:rsidRPr="00563592">
              <w:br/>
              <w:t xml:space="preserve">Methylglyoxal (MGO)-induced peritoneal injury was employed as it mimics the structural and </w:t>
            </w:r>
            <w:r w:rsidRPr="00563592">
              <w:lastRenderedPageBreak/>
              <w:t xml:space="preserve">functional alterations observed in long-term peritoneal dialysis, including mesothelial cell loss and </w:t>
            </w:r>
            <w:proofErr w:type="spellStart"/>
            <w:r w:rsidRPr="00563592">
              <w:t>submesothelial</w:t>
            </w:r>
            <w:proofErr w:type="spellEnd"/>
            <w:r w:rsidRPr="00563592">
              <w:t xml:space="preserve"> fibrosis.</w:t>
            </w:r>
            <w:r w:rsidRPr="00563592">
              <w:br/>
              <w:t xml:space="preserve">Therefore, this model provides a clinically relevant platform to assess the regenerative potential of </w:t>
            </w:r>
            <w:proofErr w:type="spellStart"/>
            <w:r w:rsidRPr="00563592">
              <w:t>hiPSC</w:t>
            </w:r>
            <w:proofErr w:type="spellEnd"/>
            <w:r w:rsidRPr="00563592">
              <w:t>-derived peritoneal mesothelial cells.</w:t>
            </w:r>
          </w:p>
        </w:tc>
      </w:tr>
      <w:tr w:rsidR="0074249A" w14:paraId="5F825D12"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29632194" w14:textId="77777777" w:rsidR="0074249A" w:rsidRDefault="0074249A">
            <w:pPr>
              <w:pStyle w:val="Compact"/>
            </w:pPr>
            <w:hyperlink r:id="rId36">
              <w:r>
                <w:rPr>
                  <w:rStyle w:val="af"/>
                </w:rPr>
                <w:t>13. Objectives</w:t>
              </w:r>
            </w:hyperlink>
          </w:p>
        </w:tc>
        <w:tc>
          <w:tcPr>
            <w:tcW w:w="3959" w:type="dxa"/>
          </w:tcPr>
          <w:p w14:paraId="5B0C0235" w14:textId="77777777" w:rsidR="0074249A" w:rsidRDefault="00000000">
            <w:pPr>
              <w:pStyle w:val="Compact"/>
            </w:pPr>
            <w:r>
              <w:t>Clearly describe the research question, research objectives and, where appropriate, specific hypotheses being tested.</w:t>
            </w:r>
          </w:p>
        </w:tc>
        <w:tc>
          <w:tcPr>
            <w:tcW w:w="2375" w:type="dxa"/>
          </w:tcPr>
          <w:p w14:paraId="76BD841E" w14:textId="272B96DF" w:rsidR="0074249A" w:rsidRDefault="00563592">
            <w:pPr>
              <w:pStyle w:val="Compact"/>
            </w:pPr>
            <w:r w:rsidRPr="00563592">
              <w:t>The primary objective of this study was to establish a reliable differentiation protocol to generate biologically functional peritoneal mesothelial cells (PMCs) from human induced pluripotent stem cells (</w:t>
            </w:r>
            <w:proofErr w:type="spellStart"/>
            <w:r w:rsidRPr="00563592">
              <w:t>hiPSCs</w:t>
            </w:r>
            <w:proofErr w:type="spellEnd"/>
            <w:r w:rsidRPr="00563592">
              <w:t>).</w:t>
            </w:r>
            <w:r w:rsidRPr="00563592">
              <w:br/>
              <w:t xml:space="preserve">A secondary objective was to evaluate the therapeutic potential of these </w:t>
            </w:r>
            <w:proofErr w:type="spellStart"/>
            <w:r w:rsidRPr="00563592">
              <w:t>hiPSC</w:t>
            </w:r>
            <w:proofErr w:type="spellEnd"/>
            <w:r w:rsidRPr="00563592">
              <w:t>-derived PMCs in a mouse model of methylglyoxal (MGO)-induced peritoneal injury.</w:t>
            </w:r>
            <w:r w:rsidRPr="00563592">
              <w:br/>
              <w:t xml:space="preserve">We hypothesized that transplantation of </w:t>
            </w:r>
            <w:proofErr w:type="spellStart"/>
            <w:r w:rsidRPr="00563592">
              <w:t>hiPSC</w:t>
            </w:r>
            <w:proofErr w:type="spellEnd"/>
            <w:r w:rsidRPr="00563592">
              <w:t>-derived PMCs would restore peritoneal structure and improve peritoneal transport function impaired by MGO-induced injury.</w:t>
            </w:r>
          </w:p>
        </w:tc>
      </w:tr>
      <w:tr w:rsidR="0074249A" w14:paraId="5CF8B6A4" w14:textId="77777777">
        <w:tc>
          <w:tcPr>
            <w:tcW w:w="1584" w:type="dxa"/>
          </w:tcPr>
          <w:p w14:paraId="27396437" w14:textId="77777777" w:rsidR="0074249A" w:rsidRDefault="0074249A">
            <w:pPr>
              <w:pStyle w:val="Compact"/>
            </w:pPr>
            <w:hyperlink r:id="rId37">
              <w:r>
                <w:rPr>
                  <w:rStyle w:val="af"/>
                </w:rPr>
                <w:t>14. Ethical statement</w:t>
              </w:r>
            </w:hyperlink>
          </w:p>
        </w:tc>
        <w:tc>
          <w:tcPr>
            <w:tcW w:w="3959" w:type="dxa"/>
          </w:tcPr>
          <w:p w14:paraId="5FC6624D" w14:textId="77777777" w:rsidR="0074249A" w:rsidRDefault="00000000">
            <w:pPr>
              <w:pStyle w:val="Compact"/>
            </w:pPr>
            <w:r>
              <w:t>Provide the name of the ethical review committee or equivalent that has approved the use of animals in this study and any relevant licence or protocol numbers (if applicable). If ethical approval was not sought or granted, provide a justification.</w:t>
            </w:r>
          </w:p>
        </w:tc>
        <w:tc>
          <w:tcPr>
            <w:tcW w:w="2375" w:type="dxa"/>
          </w:tcPr>
          <w:p w14:paraId="58B61962" w14:textId="138A1846" w:rsidR="0074249A" w:rsidRDefault="00563592">
            <w:pPr>
              <w:pStyle w:val="Compact"/>
            </w:pPr>
            <w:r w:rsidRPr="00563592">
              <w:t xml:space="preserve">All procedures approved by the Institutional Animal Care and Use Committee of </w:t>
            </w:r>
            <w:r>
              <w:rPr>
                <w:rFonts w:hint="eastAsia"/>
                <w:lang w:eastAsia="ja-JP"/>
              </w:rPr>
              <w:t>Showa Medical University</w:t>
            </w:r>
            <w:r w:rsidRPr="00563592">
              <w:t xml:space="preserve">, </w:t>
            </w:r>
            <w:bookmarkStart w:id="0" w:name="_Hlk211342283"/>
            <w:r w:rsidRPr="00563592">
              <w:t xml:space="preserve">approval No. </w:t>
            </w:r>
            <w:r w:rsidR="00875E2B">
              <w:rPr>
                <w:rFonts w:hint="eastAsia"/>
                <w:lang w:eastAsia="ja-JP"/>
              </w:rPr>
              <w:t>125015</w:t>
            </w:r>
            <w:bookmarkEnd w:id="0"/>
            <w:r w:rsidRPr="00563592">
              <w:t>.</w:t>
            </w:r>
          </w:p>
        </w:tc>
      </w:tr>
      <w:tr w:rsidR="0074249A" w14:paraId="0A9CDC37"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C839CF3" w14:textId="77777777" w:rsidR="0074249A" w:rsidRDefault="0074249A">
            <w:pPr>
              <w:pStyle w:val="Compact"/>
            </w:pPr>
            <w:hyperlink r:id="rId38">
              <w:r>
                <w:rPr>
                  <w:rStyle w:val="af"/>
                </w:rPr>
                <w:t>15. Housing and husbandry</w:t>
              </w:r>
            </w:hyperlink>
          </w:p>
        </w:tc>
        <w:tc>
          <w:tcPr>
            <w:tcW w:w="3959" w:type="dxa"/>
          </w:tcPr>
          <w:p w14:paraId="7028FB47" w14:textId="77777777" w:rsidR="0074249A" w:rsidRDefault="00000000">
            <w:pPr>
              <w:pStyle w:val="Compact"/>
            </w:pPr>
            <w:r>
              <w:t>Provide details of housing and husbandry conditions, including any environmental enrichment.</w:t>
            </w:r>
          </w:p>
        </w:tc>
        <w:tc>
          <w:tcPr>
            <w:tcW w:w="2375" w:type="dxa"/>
          </w:tcPr>
          <w:p w14:paraId="6F3CCD4C" w14:textId="1DD3626A" w:rsidR="0074249A" w:rsidRDefault="00875E2B">
            <w:pPr>
              <w:pStyle w:val="Compact"/>
            </w:pPr>
            <w:r w:rsidRPr="00875E2B">
              <w:t>Mice housed in a specific-pathogen-free facility with a 12 h light/dark cycle, ad libitum food and water.</w:t>
            </w:r>
          </w:p>
        </w:tc>
      </w:tr>
      <w:tr w:rsidR="0074249A" w14:paraId="3781D9C3" w14:textId="77777777">
        <w:tc>
          <w:tcPr>
            <w:tcW w:w="1584" w:type="dxa"/>
          </w:tcPr>
          <w:p w14:paraId="3EB8EA58" w14:textId="77777777" w:rsidR="0074249A" w:rsidRDefault="00000000">
            <w:pPr>
              <w:pStyle w:val="Compact"/>
            </w:pPr>
            <w:r>
              <w:t> 16. Animal Care and Monitoring</w:t>
            </w:r>
          </w:p>
        </w:tc>
        <w:tc>
          <w:tcPr>
            <w:tcW w:w="3959" w:type="dxa"/>
          </w:tcPr>
          <w:p w14:paraId="57030CEE" w14:textId="77777777" w:rsidR="0074249A" w:rsidRDefault="0074249A">
            <w:pPr>
              <w:pStyle w:val="Compact"/>
            </w:pPr>
          </w:p>
        </w:tc>
        <w:tc>
          <w:tcPr>
            <w:tcW w:w="2375" w:type="dxa"/>
          </w:tcPr>
          <w:p w14:paraId="2B13F3EF" w14:textId="77777777" w:rsidR="0074249A" w:rsidRDefault="0074249A">
            <w:pPr>
              <w:pStyle w:val="Compact"/>
            </w:pPr>
          </w:p>
        </w:tc>
      </w:tr>
      <w:tr w:rsidR="0074249A" w14:paraId="7179A1C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0B8BE1B0" w14:textId="77777777" w:rsidR="0074249A" w:rsidRDefault="0074249A">
            <w:pPr>
              <w:pStyle w:val="Compact"/>
            </w:pPr>
            <w:hyperlink r:id="rId39">
              <w:r>
                <w:rPr>
                  <w:rStyle w:val="af"/>
                </w:rPr>
                <w:t>16a. Reducing pain, suffering, and distress</w:t>
              </w:r>
            </w:hyperlink>
          </w:p>
        </w:tc>
        <w:tc>
          <w:tcPr>
            <w:tcW w:w="3959" w:type="dxa"/>
          </w:tcPr>
          <w:p w14:paraId="105DDA3B" w14:textId="77777777" w:rsidR="0074249A" w:rsidRDefault="00000000">
            <w:pPr>
              <w:pStyle w:val="Compact"/>
            </w:pPr>
            <w:r>
              <w:t>Describe any interventions or steps taken in the experimental protocols to reduce pain, suffering, and distress.</w:t>
            </w:r>
          </w:p>
        </w:tc>
        <w:tc>
          <w:tcPr>
            <w:tcW w:w="2375" w:type="dxa"/>
          </w:tcPr>
          <w:p w14:paraId="7B89D33C" w14:textId="23CF33DC" w:rsidR="0074249A" w:rsidRDefault="00875E2B">
            <w:pPr>
              <w:pStyle w:val="Compact"/>
            </w:pPr>
            <w:r w:rsidRPr="00875E2B">
              <w:t>Mice monitored daily; anesthesia used during injection (isoflurane inhalation). No mortality or distress observed.</w:t>
            </w:r>
          </w:p>
        </w:tc>
      </w:tr>
      <w:tr w:rsidR="0074249A" w14:paraId="274940B9" w14:textId="77777777">
        <w:tc>
          <w:tcPr>
            <w:tcW w:w="1584" w:type="dxa"/>
          </w:tcPr>
          <w:p w14:paraId="6240283B" w14:textId="77777777" w:rsidR="0074249A" w:rsidRDefault="0074249A">
            <w:pPr>
              <w:pStyle w:val="Compact"/>
            </w:pPr>
            <w:hyperlink r:id="rId40">
              <w:r>
                <w:rPr>
                  <w:rStyle w:val="af"/>
                </w:rPr>
                <w:t>16b. Adverse events</w:t>
              </w:r>
            </w:hyperlink>
          </w:p>
        </w:tc>
        <w:tc>
          <w:tcPr>
            <w:tcW w:w="3959" w:type="dxa"/>
          </w:tcPr>
          <w:p w14:paraId="525450A6" w14:textId="77777777" w:rsidR="0074249A" w:rsidRDefault="00000000">
            <w:pPr>
              <w:pStyle w:val="Compact"/>
            </w:pPr>
            <w:r>
              <w:t>Report any expected or unexpected adverse events.</w:t>
            </w:r>
          </w:p>
        </w:tc>
        <w:tc>
          <w:tcPr>
            <w:tcW w:w="2375" w:type="dxa"/>
          </w:tcPr>
          <w:p w14:paraId="07A6DBC1" w14:textId="63FEF320" w:rsidR="0074249A" w:rsidRDefault="00875E2B">
            <w:pPr>
              <w:pStyle w:val="Compact"/>
            </w:pPr>
            <w:r w:rsidRPr="00875E2B">
              <w:t xml:space="preserve">No unexpected adverse events </w:t>
            </w:r>
            <w:r w:rsidRPr="00875E2B">
              <w:lastRenderedPageBreak/>
              <w:t>or deaths occurred during the study.</w:t>
            </w:r>
            <w:r w:rsidRPr="00875E2B">
              <w:br/>
              <w:t xml:space="preserve">MGO administration and </w:t>
            </w:r>
            <w:proofErr w:type="spellStart"/>
            <w:r w:rsidRPr="00875E2B">
              <w:t>iPMC</w:t>
            </w:r>
            <w:proofErr w:type="spellEnd"/>
            <w:r w:rsidRPr="00875E2B">
              <w:t xml:space="preserve"> transplantation were well tolerated, and all animals remained active and maintained body weight throughout the experimental period.</w:t>
            </w:r>
            <w:r w:rsidRPr="00875E2B">
              <w:br/>
              <w:t>Minor transient abdominal distension was occasionally observed after MGO injection, but it resolved spontaneously within 24 hours.</w:t>
            </w:r>
          </w:p>
        </w:tc>
      </w:tr>
      <w:tr w:rsidR="0074249A" w14:paraId="2F3DB046"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4044C93B" w14:textId="77777777" w:rsidR="0074249A" w:rsidRDefault="0074249A">
            <w:pPr>
              <w:pStyle w:val="Compact"/>
            </w:pPr>
            <w:hyperlink r:id="rId41">
              <w:r>
                <w:rPr>
                  <w:rStyle w:val="af"/>
                </w:rPr>
                <w:t>16c. Humane endpoints</w:t>
              </w:r>
            </w:hyperlink>
          </w:p>
        </w:tc>
        <w:tc>
          <w:tcPr>
            <w:tcW w:w="3959" w:type="dxa"/>
          </w:tcPr>
          <w:p w14:paraId="29E8B5F9" w14:textId="77777777" w:rsidR="0074249A" w:rsidRDefault="00000000">
            <w:pPr>
              <w:pStyle w:val="Compact"/>
            </w:pPr>
            <w:r>
              <w:t>Describe the humane endpoints established for the study, the signs that were monitored, and the frequency of monitoring. If the study did not set humane endpoints, state this.</w:t>
            </w:r>
          </w:p>
        </w:tc>
        <w:tc>
          <w:tcPr>
            <w:tcW w:w="2375" w:type="dxa"/>
          </w:tcPr>
          <w:p w14:paraId="5F99ED9E" w14:textId="6CCBDEB2" w:rsidR="0074249A" w:rsidRDefault="00875E2B">
            <w:pPr>
              <w:pStyle w:val="Compact"/>
            </w:pPr>
            <w:r w:rsidRPr="00875E2B">
              <w:t>Animals were monitored daily for clinical signs of distress, such as reduced activity, ruffled fur, or weight loss exceeding 15%.</w:t>
            </w:r>
            <w:r w:rsidRPr="00875E2B">
              <w:br/>
              <w:t>No humane endpoints were reached during the study.</w:t>
            </w:r>
            <w:r w:rsidRPr="00875E2B">
              <w:br/>
            </w:r>
            <w:proofErr w:type="gramStart"/>
            <w:r w:rsidRPr="00875E2B">
              <w:t>In the event that</w:t>
            </w:r>
            <w:proofErr w:type="gramEnd"/>
            <w:r w:rsidRPr="00875E2B">
              <w:t xml:space="preserve"> severe distress or a weight loss greater than 20% occurred, euthanasia by cervical dislocation under isoflurane anesthesia was predetermined as the humane endpoint.</w:t>
            </w:r>
          </w:p>
        </w:tc>
      </w:tr>
      <w:tr w:rsidR="0074249A" w14:paraId="65B39455" w14:textId="77777777">
        <w:tc>
          <w:tcPr>
            <w:tcW w:w="1584" w:type="dxa"/>
          </w:tcPr>
          <w:p w14:paraId="6CA03A27" w14:textId="77777777" w:rsidR="0074249A" w:rsidRDefault="00000000">
            <w:pPr>
              <w:pStyle w:val="Compact"/>
            </w:pPr>
            <w:r>
              <w:t> 17. Interpretation/ scientific implications</w:t>
            </w:r>
          </w:p>
        </w:tc>
        <w:tc>
          <w:tcPr>
            <w:tcW w:w="3959" w:type="dxa"/>
          </w:tcPr>
          <w:p w14:paraId="59E3EA5E" w14:textId="77777777" w:rsidR="0074249A" w:rsidRDefault="0074249A">
            <w:pPr>
              <w:pStyle w:val="Compact"/>
            </w:pPr>
          </w:p>
        </w:tc>
        <w:tc>
          <w:tcPr>
            <w:tcW w:w="2375" w:type="dxa"/>
          </w:tcPr>
          <w:p w14:paraId="17A31043" w14:textId="77777777" w:rsidR="0074249A" w:rsidRDefault="0074249A">
            <w:pPr>
              <w:pStyle w:val="Compact"/>
            </w:pPr>
          </w:p>
        </w:tc>
      </w:tr>
      <w:tr w:rsidR="0074249A" w14:paraId="61435E6D"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354E7159" w14:textId="77777777" w:rsidR="0074249A" w:rsidRDefault="0074249A">
            <w:pPr>
              <w:pStyle w:val="Compact"/>
            </w:pPr>
            <w:hyperlink r:id="rId42">
              <w:r>
                <w:rPr>
                  <w:rStyle w:val="af"/>
                </w:rPr>
                <w:t>17a. Interpretation/scientific implications</w:t>
              </w:r>
            </w:hyperlink>
          </w:p>
        </w:tc>
        <w:tc>
          <w:tcPr>
            <w:tcW w:w="3959" w:type="dxa"/>
          </w:tcPr>
          <w:p w14:paraId="1D5F2F76" w14:textId="77777777" w:rsidR="0074249A" w:rsidRDefault="00000000">
            <w:pPr>
              <w:pStyle w:val="Compact"/>
            </w:pPr>
            <w:r>
              <w:t>Interpret the results, taking into account the study objectives and hypotheses, current theory, and other relevant studies in the literature.</w:t>
            </w:r>
          </w:p>
        </w:tc>
        <w:tc>
          <w:tcPr>
            <w:tcW w:w="2375" w:type="dxa"/>
          </w:tcPr>
          <w:p w14:paraId="67AC8A52" w14:textId="2F2A6A57" w:rsidR="0074249A" w:rsidRDefault="00875E2B">
            <w:pPr>
              <w:pStyle w:val="Compact"/>
            </w:pPr>
            <w:proofErr w:type="spellStart"/>
            <w:r w:rsidRPr="00875E2B">
              <w:t>iPMCs</w:t>
            </w:r>
            <w:proofErr w:type="spellEnd"/>
            <w:r w:rsidRPr="00875E2B">
              <w:t xml:space="preserve"> improved peritoneal transport function in the MGO-induced injury model, suggesting therapeutic potential for peritoneal regeneration.</w:t>
            </w:r>
          </w:p>
        </w:tc>
      </w:tr>
      <w:tr w:rsidR="0074249A" w14:paraId="47DA6547" w14:textId="77777777">
        <w:tc>
          <w:tcPr>
            <w:tcW w:w="1584" w:type="dxa"/>
          </w:tcPr>
          <w:p w14:paraId="708A785A" w14:textId="77777777" w:rsidR="0074249A" w:rsidRDefault="0074249A">
            <w:pPr>
              <w:pStyle w:val="Compact"/>
            </w:pPr>
            <w:hyperlink r:id="rId43">
              <w:r>
                <w:rPr>
                  <w:rStyle w:val="af"/>
                </w:rPr>
                <w:t>17b. Limitations</w:t>
              </w:r>
            </w:hyperlink>
          </w:p>
        </w:tc>
        <w:tc>
          <w:tcPr>
            <w:tcW w:w="3959" w:type="dxa"/>
          </w:tcPr>
          <w:p w14:paraId="0B37FF19" w14:textId="77777777" w:rsidR="0074249A" w:rsidRDefault="00000000">
            <w:pPr>
              <w:pStyle w:val="Compact"/>
            </w:pPr>
            <w:r>
              <w:t>Comment on the study limitations, including potential sources of bias, limitations of the animal model, and imprecision associated with the results.</w:t>
            </w:r>
          </w:p>
        </w:tc>
        <w:tc>
          <w:tcPr>
            <w:tcW w:w="2375" w:type="dxa"/>
          </w:tcPr>
          <w:p w14:paraId="7E4212DB" w14:textId="2F0A0602" w:rsidR="0074249A" w:rsidRDefault="00875E2B">
            <w:pPr>
              <w:pStyle w:val="Compact"/>
            </w:pPr>
            <w:r w:rsidRPr="00875E2B">
              <w:t>This study has several limitations.</w:t>
            </w:r>
            <w:r w:rsidRPr="00875E2B">
              <w:br/>
              <w:t>First, the experiments were conducted in immunodeficient mice, which do not fully recapitulate the immune and inflammatory responses present in human peritoneal injury.</w:t>
            </w:r>
            <w:r w:rsidRPr="00875E2B">
              <w:br/>
              <w:t xml:space="preserve">Second, the observation period </w:t>
            </w:r>
            <w:r w:rsidRPr="00875E2B">
              <w:lastRenderedPageBreak/>
              <w:t xml:space="preserve">after </w:t>
            </w:r>
            <w:proofErr w:type="spellStart"/>
            <w:r w:rsidRPr="00875E2B">
              <w:t>iPMC</w:t>
            </w:r>
            <w:proofErr w:type="spellEnd"/>
            <w:r w:rsidRPr="00875E2B">
              <w:t xml:space="preserve"> transplantation was relatively short, and long-term survival, differentiation, and integration of transplanted cells were not assessed.</w:t>
            </w:r>
            <w:r w:rsidRPr="00875E2B">
              <w:br/>
              <w:t>Third, the sample size was modest, and additional studies with larger cohorts will be required to confirm reproducibility.</w:t>
            </w:r>
            <w:r w:rsidRPr="00875E2B">
              <w:br/>
              <w:t xml:space="preserve">Finally, although functional recovery was demonstrated, the underlying molecular mechanisms of </w:t>
            </w:r>
            <w:proofErr w:type="spellStart"/>
            <w:r w:rsidRPr="00875E2B">
              <w:t>iPMC</w:t>
            </w:r>
            <w:proofErr w:type="spellEnd"/>
            <w:r w:rsidRPr="00875E2B">
              <w:t>-mediated regeneration remain to be elucidated.</w:t>
            </w:r>
          </w:p>
        </w:tc>
      </w:tr>
      <w:tr w:rsidR="0074249A" w14:paraId="16C8263E"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206C293D" w14:textId="77777777" w:rsidR="0074249A" w:rsidRDefault="0074249A">
            <w:pPr>
              <w:pStyle w:val="Compact"/>
            </w:pPr>
            <w:hyperlink r:id="rId44">
              <w:r>
                <w:rPr>
                  <w:rStyle w:val="af"/>
                </w:rPr>
                <w:t>18. Generalisability/translation</w:t>
              </w:r>
            </w:hyperlink>
          </w:p>
        </w:tc>
        <w:tc>
          <w:tcPr>
            <w:tcW w:w="3959" w:type="dxa"/>
          </w:tcPr>
          <w:p w14:paraId="7076D7D5" w14:textId="77777777" w:rsidR="0074249A" w:rsidRDefault="00000000">
            <w:pPr>
              <w:pStyle w:val="Compact"/>
            </w:pPr>
            <w:r>
              <w:t>Comment on whether, and how, the findings of this study are likely to generalise to other species or experimental conditions, including any relevance to human biology (where appropriate).</w:t>
            </w:r>
          </w:p>
        </w:tc>
        <w:tc>
          <w:tcPr>
            <w:tcW w:w="2375" w:type="dxa"/>
          </w:tcPr>
          <w:p w14:paraId="1A42FBF2" w14:textId="059B5938" w:rsidR="0074249A" w:rsidRDefault="00875E2B">
            <w:pPr>
              <w:pStyle w:val="Compact"/>
            </w:pPr>
            <w:r w:rsidRPr="00875E2B">
              <w:t xml:space="preserve">Findings indicate that </w:t>
            </w:r>
            <w:proofErr w:type="spellStart"/>
            <w:r w:rsidRPr="00875E2B">
              <w:t>hiPSC</w:t>
            </w:r>
            <w:proofErr w:type="spellEnd"/>
            <w:r w:rsidRPr="00875E2B">
              <w:t>-derived PMCs could serve as a regenerative cell source for patients with peritoneal dysfunction.</w:t>
            </w:r>
          </w:p>
        </w:tc>
      </w:tr>
      <w:tr w:rsidR="0074249A" w14:paraId="126C339B" w14:textId="77777777">
        <w:tc>
          <w:tcPr>
            <w:tcW w:w="1584" w:type="dxa"/>
          </w:tcPr>
          <w:p w14:paraId="176FDC43" w14:textId="77777777" w:rsidR="0074249A" w:rsidRDefault="0074249A">
            <w:pPr>
              <w:pStyle w:val="Compact"/>
            </w:pPr>
            <w:hyperlink r:id="rId45">
              <w:r>
                <w:rPr>
                  <w:rStyle w:val="af"/>
                </w:rPr>
                <w:t>19. Protocol registration</w:t>
              </w:r>
            </w:hyperlink>
          </w:p>
        </w:tc>
        <w:tc>
          <w:tcPr>
            <w:tcW w:w="3959" w:type="dxa"/>
          </w:tcPr>
          <w:p w14:paraId="3961B19C" w14:textId="77777777" w:rsidR="0074249A" w:rsidRDefault="00000000">
            <w:pPr>
              <w:pStyle w:val="Compact"/>
            </w:pPr>
            <w:r>
              <w:t>Provide a statement indicating whether a protocol (including the research question, key design features, and analysis plan) was prepared before the study, and if and where this protocol was registered.</w:t>
            </w:r>
          </w:p>
        </w:tc>
        <w:tc>
          <w:tcPr>
            <w:tcW w:w="2375" w:type="dxa"/>
          </w:tcPr>
          <w:p w14:paraId="73E77B25" w14:textId="69A18911" w:rsidR="0074249A" w:rsidRDefault="00875E2B">
            <w:pPr>
              <w:pStyle w:val="Compact"/>
            </w:pPr>
            <w:r w:rsidRPr="00875E2B">
              <w:t xml:space="preserve">The experimental protocol was reviewed and approved by the Institutional Animal Care and Use Committee (IACUC) of </w:t>
            </w:r>
            <w:r>
              <w:rPr>
                <w:rFonts w:hint="eastAsia"/>
                <w:lang w:eastAsia="ja-JP"/>
              </w:rPr>
              <w:t>Showa Medical University</w:t>
            </w:r>
            <w:r w:rsidRPr="00875E2B">
              <w:t xml:space="preserve"> before the start of the study.</w:t>
            </w:r>
            <w:r w:rsidRPr="00875E2B">
              <w:br/>
              <w:t xml:space="preserve">The study was conducted in accordance with the approved protocol (approval number: </w:t>
            </w:r>
            <w:r>
              <w:rPr>
                <w:rFonts w:hint="eastAsia"/>
                <w:lang w:eastAsia="ja-JP"/>
              </w:rPr>
              <w:t>125015</w:t>
            </w:r>
            <w:r w:rsidRPr="00875E2B">
              <w:t>).</w:t>
            </w:r>
            <w:r w:rsidRPr="00875E2B">
              <w:br/>
              <w:t>No separate preregistration of the experimental design or analysis plan was performed in a public registry.</w:t>
            </w:r>
          </w:p>
        </w:tc>
      </w:tr>
      <w:tr w:rsidR="0074249A" w14:paraId="69A5CDEB"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5C0469D8" w14:textId="77777777" w:rsidR="0074249A" w:rsidRDefault="0074249A">
            <w:pPr>
              <w:pStyle w:val="Compact"/>
            </w:pPr>
            <w:hyperlink r:id="rId46">
              <w:r>
                <w:rPr>
                  <w:rStyle w:val="af"/>
                </w:rPr>
                <w:t>20. Data Access</w:t>
              </w:r>
            </w:hyperlink>
          </w:p>
        </w:tc>
        <w:tc>
          <w:tcPr>
            <w:tcW w:w="3959" w:type="dxa"/>
          </w:tcPr>
          <w:p w14:paraId="305D6793" w14:textId="77777777" w:rsidR="0074249A" w:rsidRDefault="00000000">
            <w:pPr>
              <w:pStyle w:val="Compact"/>
            </w:pPr>
            <w:r>
              <w:t>Provide a statement describing if and where study data are available.</w:t>
            </w:r>
          </w:p>
        </w:tc>
        <w:tc>
          <w:tcPr>
            <w:tcW w:w="2375" w:type="dxa"/>
          </w:tcPr>
          <w:p w14:paraId="0A5B3FA8" w14:textId="77C7BCCB" w:rsidR="0074249A" w:rsidRDefault="00875E2B">
            <w:pPr>
              <w:pStyle w:val="Compact"/>
            </w:pPr>
            <w:r w:rsidRPr="00875E2B">
              <w:t>Data available upon reasonable request from the corresponding author.</w:t>
            </w:r>
          </w:p>
        </w:tc>
      </w:tr>
      <w:tr w:rsidR="0074249A" w14:paraId="0CE72A33" w14:textId="77777777">
        <w:tc>
          <w:tcPr>
            <w:tcW w:w="1584" w:type="dxa"/>
          </w:tcPr>
          <w:p w14:paraId="18D9B1ED" w14:textId="77777777" w:rsidR="0074249A" w:rsidRDefault="00000000">
            <w:pPr>
              <w:pStyle w:val="Compact"/>
            </w:pPr>
            <w:r>
              <w:t> 21. Declaration of interests</w:t>
            </w:r>
          </w:p>
        </w:tc>
        <w:tc>
          <w:tcPr>
            <w:tcW w:w="3959" w:type="dxa"/>
          </w:tcPr>
          <w:p w14:paraId="728B86BE" w14:textId="77777777" w:rsidR="0074249A" w:rsidRDefault="0074249A">
            <w:pPr>
              <w:pStyle w:val="Compact"/>
            </w:pPr>
          </w:p>
        </w:tc>
        <w:tc>
          <w:tcPr>
            <w:tcW w:w="2375" w:type="dxa"/>
          </w:tcPr>
          <w:p w14:paraId="6DBD2952" w14:textId="77777777" w:rsidR="0074249A" w:rsidRDefault="0074249A">
            <w:pPr>
              <w:pStyle w:val="Compact"/>
            </w:pPr>
          </w:p>
        </w:tc>
      </w:tr>
      <w:tr w:rsidR="0074249A" w14:paraId="36D056A7" w14:textId="77777777">
        <w:trPr>
          <w:cnfStyle w:val="000000100000" w:firstRow="0" w:lastRow="0" w:firstColumn="0" w:lastColumn="0" w:oddVBand="0" w:evenVBand="0" w:oddHBand="1" w:evenHBand="0" w:firstRowFirstColumn="0" w:firstRowLastColumn="0" w:lastRowFirstColumn="0" w:lastRowLastColumn="0"/>
        </w:trPr>
        <w:tc>
          <w:tcPr>
            <w:tcW w:w="1584" w:type="dxa"/>
          </w:tcPr>
          <w:p w14:paraId="1B4AA04D" w14:textId="77777777" w:rsidR="0074249A" w:rsidRDefault="0074249A">
            <w:pPr>
              <w:pStyle w:val="Compact"/>
            </w:pPr>
            <w:hyperlink r:id="rId47">
              <w:r>
                <w:rPr>
                  <w:rStyle w:val="af"/>
                </w:rPr>
                <w:t>21a. Conflicts of interests</w:t>
              </w:r>
            </w:hyperlink>
          </w:p>
        </w:tc>
        <w:tc>
          <w:tcPr>
            <w:tcW w:w="3959" w:type="dxa"/>
          </w:tcPr>
          <w:p w14:paraId="18F45F2D" w14:textId="77777777" w:rsidR="0074249A" w:rsidRDefault="00000000">
            <w:pPr>
              <w:pStyle w:val="Compact"/>
            </w:pPr>
            <w:r>
              <w:t>Declare any potential conflicts of interest, including financial and nonfinancial. If none exist, this should be stated.</w:t>
            </w:r>
          </w:p>
        </w:tc>
        <w:tc>
          <w:tcPr>
            <w:tcW w:w="2375" w:type="dxa"/>
          </w:tcPr>
          <w:p w14:paraId="71F3F379" w14:textId="7E9F5E11" w:rsidR="0074249A" w:rsidRDefault="004C42FC">
            <w:pPr>
              <w:pStyle w:val="Compact"/>
            </w:pPr>
            <w:r w:rsidRPr="004C42FC">
              <w:t>The authors declare no competing financial or nonfinancial interests related to this study.</w:t>
            </w:r>
          </w:p>
        </w:tc>
      </w:tr>
      <w:tr w:rsidR="0074249A" w14:paraId="673F9BC5" w14:textId="77777777">
        <w:tc>
          <w:tcPr>
            <w:tcW w:w="1584" w:type="dxa"/>
          </w:tcPr>
          <w:p w14:paraId="71991B82" w14:textId="77777777" w:rsidR="0074249A" w:rsidRDefault="0074249A">
            <w:pPr>
              <w:pStyle w:val="Compact"/>
            </w:pPr>
            <w:hyperlink r:id="rId48">
              <w:r>
                <w:rPr>
                  <w:rStyle w:val="af"/>
                </w:rPr>
                <w:t>21b. Funding</w:t>
              </w:r>
            </w:hyperlink>
          </w:p>
        </w:tc>
        <w:tc>
          <w:tcPr>
            <w:tcW w:w="3959" w:type="dxa"/>
          </w:tcPr>
          <w:p w14:paraId="19C13813" w14:textId="77777777" w:rsidR="0074249A" w:rsidRDefault="00000000">
            <w:pPr>
              <w:pStyle w:val="Compact"/>
            </w:pPr>
            <w:r>
              <w:t>List all funding sources (including grant identifier) and the role of the funder(s) in the design, analysis, and reporting of the study.</w:t>
            </w:r>
          </w:p>
        </w:tc>
        <w:tc>
          <w:tcPr>
            <w:tcW w:w="2375" w:type="dxa"/>
          </w:tcPr>
          <w:p w14:paraId="2490EF78" w14:textId="4D00F6DD" w:rsidR="0074249A" w:rsidRDefault="004C42FC">
            <w:pPr>
              <w:pStyle w:val="Compact"/>
            </w:pPr>
            <w:r w:rsidRPr="004C42FC">
              <w:t xml:space="preserve">This work was supported in part by a Grant‐in‐Aid for Young Scientists (20K08598, </w:t>
            </w:r>
            <w:r w:rsidRPr="004C42FC">
              <w:lastRenderedPageBreak/>
              <w:t>Principal Investigator: Hiroaki Ogata) and Grants‐in‐Aid for Scientific Research (21K08292, Principal Investigator: Hirofumi Hitomi; 25K11550, Principal Investigator: Tadashi Kato) from the Japan Society for the Promotion of Science (JSPS); by the Kansai Medical University Molecular Imaging Center of Diseases; by the Katano Alumni Research Grant; and by the Sanju Alumni Research Grant.</w:t>
            </w:r>
            <w:r w:rsidRPr="004C42FC">
              <w:br/>
              <w:t xml:space="preserve">This study was also conducted with the financial support of </w:t>
            </w:r>
            <w:proofErr w:type="spellStart"/>
            <w:r w:rsidRPr="004C42FC">
              <w:t>Vantive</w:t>
            </w:r>
            <w:proofErr w:type="spellEnd"/>
            <w:r w:rsidRPr="004C42FC">
              <w:t xml:space="preserve"> Co., Ltd.</w:t>
            </w:r>
            <w:r w:rsidRPr="004C42FC">
              <w:br/>
              <w:t>The funding sources had no role in the study design, data collection, analysis, interpretation, or reporting of the results.</w:t>
            </w:r>
          </w:p>
        </w:tc>
      </w:tr>
    </w:tbl>
    <w:p w14:paraId="0E47B1DB" w14:textId="77777777" w:rsidR="0074249A" w:rsidRDefault="0074249A">
      <w:pPr>
        <w:pStyle w:val="a0"/>
      </w:pPr>
    </w:p>
    <w:p w14:paraId="6F7ED780" w14:textId="77777777" w:rsidR="0074249A" w:rsidRDefault="00000000">
      <w:pPr>
        <w:pStyle w:val="2"/>
      </w:pPr>
      <w:bookmarkStart w:id="1" w:name="sec-specify"/>
      <w:r>
        <w:t>1 How to specify where content is</w:t>
      </w:r>
    </w:p>
    <w:p w14:paraId="701E4B7F" w14:textId="77777777" w:rsidR="0074249A" w:rsidRDefault="00000000">
      <w:pPr>
        <w:pStyle w:val="FirstParagraph"/>
      </w:pPr>
      <w:r>
        <w:t>Tell the reader where they can find information. E.g.,</w:t>
      </w:r>
    </w:p>
    <w:p w14:paraId="55434D08" w14:textId="77777777" w:rsidR="0074249A" w:rsidRDefault="00000000">
      <w:pPr>
        <w:pStyle w:val="Compact"/>
        <w:numPr>
          <w:ilvl w:val="0"/>
          <w:numId w:val="4"/>
        </w:numPr>
      </w:pPr>
      <w:r>
        <w:t>Results; paragraph 2</w:t>
      </w:r>
    </w:p>
    <w:p w14:paraId="11EF1C87" w14:textId="77777777" w:rsidR="0074249A" w:rsidRDefault="00000000">
      <w:pPr>
        <w:pStyle w:val="Compact"/>
        <w:numPr>
          <w:ilvl w:val="0"/>
          <w:numId w:val="4"/>
        </w:numPr>
      </w:pPr>
      <w:r>
        <w:t>Methods, Participants; paragraphs 1 &amp; 2.</w:t>
      </w:r>
    </w:p>
    <w:p w14:paraId="1D261ABF" w14:textId="77777777" w:rsidR="0074249A" w:rsidRDefault="00000000">
      <w:pPr>
        <w:pStyle w:val="Compact"/>
        <w:numPr>
          <w:ilvl w:val="0"/>
          <w:numId w:val="4"/>
        </w:numPr>
      </w:pPr>
      <w:r>
        <w:t>Table 3</w:t>
      </w:r>
    </w:p>
    <w:p w14:paraId="59DCD199" w14:textId="77777777" w:rsidR="0074249A" w:rsidRDefault="00000000">
      <w:pPr>
        <w:pStyle w:val="Compact"/>
        <w:numPr>
          <w:ilvl w:val="0"/>
          <w:numId w:val="4"/>
        </w:numPr>
      </w:pPr>
      <w:r>
        <w:t>Supplement B, para. 4</w:t>
      </w:r>
    </w:p>
    <w:p w14:paraId="0761CDFA" w14:textId="77777777" w:rsidR="0074249A" w:rsidRDefault="00000000">
      <w:pPr>
        <w:pStyle w:val="FirstParagraph"/>
      </w:pPr>
      <w:r>
        <w:t>If you have chosen not to describe an item, explain why. You can do this in the checklist, or as a note below it.</w:t>
      </w:r>
    </w:p>
    <w:p w14:paraId="4E2798CE" w14:textId="77777777" w:rsidR="0074249A" w:rsidRDefault="00000000">
      <w:pPr>
        <w:pStyle w:val="a0"/>
      </w:pPr>
      <w:r>
        <w:t>You can describe items in the article body, or in tables, figures, or supplementary materials, and should prioritize items you feel are most important to your intended audience. The order of items in your manuscript does not need to match the order of items in this checklist. You can decide how best to structure your work.</w:t>
      </w:r>
    </w:p>
    <w:p w14:paraId="601DFE63" w14:textId="77777777" w:rsidR="0074249A" w:rsidRDefault="00000000">
      <w:pPr>
        <w:pStyle w:val="2"/>
      </w:pPr>
      <w:bookmarkStart w:id="2" w:name="sec-cite"/>
      <w:bookmarkEnd w:id="1"/>
      <w:r>
        <w:t>2 How to cite</w:t>
      </w:r>
    </w:p>
    <w:p w14:paraId="79B4F6DA" w14:textId="77777777" w:rsidR="0074249A" w:rsidRDefault="00000000">
      <w:pPr>
        <w:pStyle w:val="FirstParagraph"/>
      </w:pPr>
      <w:r>
        <w:t>Describe how you used ARRIVE at the end of your Methods section, referencing the resources you used e.g.,</w:t>
      </w:r>
    </w:p>
    <w:p w14:paraId="2E6EEFB3" w14:textId="77777777" w:rsidR="0074249A" w:rsidRDefault="00000000">
      <w:pPr>
        <w:pStyle w:val="aa"/>
      </w:pPr>
      <w:r>
        <w:t>‘We used the ARRIVE reporting guideline(1) to draft this manuscript, and the ARRIVE reporting checklist(2) when editing, included in supplement A’</w:t>
      </w:r>
    </w:p>
    <w:p w14:paraId="70EE6C15" w14:textId="77777777" w:rsidR="0074249A" w:rsidRDefault="00000000">
      <w:pPr>
        <w:pStyle w:val="FirstParagraph"/>
      </w:pPr>
      <w:r>
        <w:t>If you use a reporting checklist, remember to include it as a supplement when publishing so that readers can easily find information and see how you have interpreted the guidance.</w:t>
      </w:r>
    </w:p>
    <w:p w14:paraId="05B55B77" w14:textId="77777777" w:rsidR="0074249A" w:rsidRDefault="00000000">
      <w:pPr>
        <w:pStyle w:val="a9"/>
      </w:pPr>
      <w:bookmarkStart w:id="3" w:name="ref-Citation"/>
      <w:bookmarkStart w:id="4" w:name="refs"/>
      <w:r>
        <w:lastRenderedPageBreak/>
        <w:t xml:space="preserve">1. </w:t>
      </w:r>
      <w:r>
        <w:tab/>
        <w:t xml:space="preserve">Sert NP, Hurst V, Ahluwalia A, Alam S, Avey MT, Baker M, et al. The ARRIVE guidelines 2.0: Updated guidelines for reporting animal research. PLOS Biology [Internet]. 2020 Jul;18(7):e3000410. Available from: </w:t>
      </w:r>
      <w:hyperlink r:id="rId49">
        <w:r w:rsidR="0074249A">
          <w:rPr>
            <w:rStyle w:val="af"/>
          </w:rPr>
          <w:t>https://journals.plos.org/plosbiology/article?id=10.1371/journal.pbio.3000410</w:t>
        </w:r>
      </w:hyperlink>
    </w:p>
    <w:p w14:paraId="1982A532" w14:textId="77777777" w:rsidR="0074249A" w:rsidRDefault="00000000">
      <w:pPr>
        <w:pStyle w:val="a9"/>
      </w:pPr>
      <w:bookmarkStart w:id="5" w:name="ref-Checklist"/>
      <w:bookmarkEnd w:id="3"/>
      <w:r>
        <w:t xml:space="preserve">2. </w:t>
      </w:r>
      <w:r>
        <w:tab/>
        <w:t xml:space="preserve">Sert NP, Hurst V, Ahluwalia A, Alam S, Avey MT, Baker M, et al. The ARRIVE reporting checklist. In: Harwood J, Albury C, Beyer J de, Schlüssel M, Collins G, editors. The EQUATOR network reporting guideline platform [Internet]. The UK EQUATOR Centre; 2025. Available from: </w:t>
      </w:r>
      <w:hyperlink r:id="rId50">
        <w:r w:rsidR="0074249A">
          <w:rPr>
            <w:rStyle w:val="af"/>
          </w:rPr>
          <w:t>https:/resources.equator-network.org/reporting-guidelines/arrive/arrive-checklist.docx</w:t>
        </w:r>
      </w:hyperlink>
      <w:bookmarkEnd w:id="2"/>
      <w:bookmarkEnd w:id="4"/>
      <w:bookmarkEnd w:id="5"/>
    </w:p>
    <w:sectPr w:rsidR="0074249A" w:rsidSect="002A13D1">
      <w:headerReference w:type="first" r:id="rId51"/>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D4EE" w14:textId="77777777" w:rsidR="00FF3493" w:rsidRDefault="00FF3493">
      <w:pPr>
        <w:spacing w:after="0"/>
      </w:pPr>
      <w:r>
        <w:separator/>
      </w:r>
    </w:p>
  </w:endnote>
  <w:endnote w:type="continuationSeparator" w:id="0">
    <w:p w14:paraId="5B206998" w14:textId="77777777" w:rsidR="00FF3493" w:rsidRDefault="00FF34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C5E2A" w14:textId="77777777" w:rsidR="00FF3493" w:rsidRDefault="00FF3493">
      <w:pPr>
        <w:spacing w:after="0"/>
      </w:pPr>
      <w:r>
        <w:separator/>
      </w:r>
    </w:p>
  </w:footnote>
  <w:footnote w:type="continuationSeparator" w:id="0">
    <w:p w14:paraId="1B2C3C81" w14:textId="77777777" w:rsidR="00FF3493" w:rsidRDefault="00FF34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76BA" w14:textId="77777777" w:rsidR="002A13D1" w:rsidRPr="002A13D1" w:rsidRDefault="00DA45FA" w:rsidP="0008745B">
    <w:pPr>
      <w:pStyle w:val="af1"/>
      <w:jc w:val="right"/>
      <w:rPr>
        <w:lang w:val="en-GB"/>
      </w:rPr>
    </w:pPr>
    <w:r>
      <w:rPr>
        <w:noProof/>
        <w:lang w:val="en-GB"/>
      </w:rPr>
      <w:drawing>
        <wp:inline distT="0" distB="0" distL="0" distR="0" wp14:anchorId="7B5E20A6" wp14:editId="65176EF9">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4F092B3C" wp14:editId="2DCC8267">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75A427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3BE245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B38D7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27412441">
    <w:abstractNumId w:val="3"/>
  </w:num>
  <w:num w:numId="2" w16cid:durableId="69085047">
    <w:abstractNumId w:val="0"/>
  </w:num>
  <w:num w:numId="3" w16cid:durableId="1533614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2602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4A"/>
    <w:rsid w:val="00022633"/>
    <w:rsid w:val="0008745B"/>
    <w:rsid w:val="000876FD"/>
    <w:rsid w:val="000B6852"/>
    <w:rsid w:val="001F4D17"/>
    <w:rsid w:val="002A13D1"/>
    <w:rsid w:val="00383B82"/>
    <w:rsid w:val="003D3234"/>
    <w:rsid w:val="003E7105"/>
    <w:rsid w:val="004C42FC"/>
    <w:rsid w:val="00563592"/>
    <w:rsid w:val="00622D4A"/>
    <w:rsid w:val="0074249A"/>
    <w:rsid w:val="00794F65"/>
    <w:rsid w:val="00875E2B"/>
    <w:rsid w:val="00901047"/>
    <w:rsid w:val="00915861"/>
    <w:rsid w:val="00957564"/>
    <w:rsid w:val="009B6688"/>
    <w:rsid w:val="009C620F"/>
    <w:rsid w:val="009D620D"/>
    <w:rsid w:val="00A031B9"/>
    <w:rsid w:val="00A05ED7"/>
    <w:rsid w:val="00A475A0"/>
    <w:rsid w:val="00AF6F97"/>
    <w:rsid w:val="00B31C7A"/>
    <w:rsid w:val="00BA662C"/>
    <w:rsid w:val="00BF41D5"/>
    <w:rsid w:val="00C739A6"/>
    <w:rsid w:val="00CF77C1"/>
    <w:rsid w:val="00D034E5"/>
    <w:rsid w:val="00DA140F"/>
    <w:rsid w:val="00DA45FA"/>
    <w:rsid w:val="00E209B4"/>
    <w:rsid w:val="00E96647"/>
    <w:rsid w:val="00F6011D"/>
    <w:rsid w:val="00FF3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BFFAB1"/>
  <w15:docId w15:val="{7329229C-B3A5-4171-8892-9825F438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5ED7"/>
    <w:rPr>
      <w:rFonts w:ascii="Calibri" w:hAnsi="Calibri"/>
    </w:rPr>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05ED7"/>
    <w:pPr>
      <w:spacing w:after="80"/>
      <w:contextualSpacing/>
    </w:pPr>
    <w:rPr>
      <w:rFonts w:eastAsiaTheme="majorEastAsia" w:cstheme="majorBidi"/>
      <w:spacing w:val="-10"/>
      <w:kern w:val="28"/>
      <w:sz w:val="56"/>
      <w:szCs w:val="56"/>
    </w:rPr>
  </w:style>
  <w:style w:type="character" w:customStyle="1" w:styleId="a5">
    <w:name w:val="表題 (文字)"/>
    <w:basedOn w:val="a1"/>
    <w:link w:val="a4"/>
    <w:uiPriority w:val="10"/>
    <w:rsid w:val="00A05ED7"/>
    <w:rPr>
      <w:rFonts w:ascii="Calibri" w:eastAsiaTheme="majorEastAsia" w:hAnsi="Calibri" w:cstheme="majorBidi"/>
      <w:spacing w:val="-10"/>
      <w:kern w:val="28"/>
      <w:sz w:val="56"/>
      <w:szCs w:val="56"/>
    </w:rPr>
  </w:style>
  <w:style w:type="paragraph" w:styleId="a6">
    <w:name w:val="Subtitle"/>
    <w:basedOn w:val="a4"/>
    <w:next w:val="a0"/>
    <w:link w:val="a7"/>
    <w:uiPriority w:val="11"/>
    <w:qFormat/>
    <w:rsid w:val="00A05ED7"/>
    <w:pPr>
      <w:numPr>
        <w:ilvl w:val="1"/>
      </w:numPr>
    </w:pPr>
    <w:rPr>
      <w:color w:val="ADADAD" w:themeColor="background2" w:themeShade="BF"/>
      <w:spacing w:val="15"/>
      <w:sz w:val="28"/>
      <w:szCs w:val="28"/>
    </w:rPr>
  </w:style>
  <w:style w:type="character" w:customStyle="1" w:styleId="a7">
    <w:name w:val="副題 (文字)"/>
    <w:basedOn w:val="a1"/>
    <w:link w:val="a6"/>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a0"/>
    <w:qFormat/>
    <w:rsid w:val="00A05ED7"/>
    <w:pPr>
      <w:keepNext/>
      <w:keepLines/>
    </w:pPr>
    <w:rPr>
      <w:rFonts w:ascii="Calibri" w:hAnsi="Calibri"/>
    </w:rPr>
  </w:style>
  <w:style w:type="paragraph" w:styleId="a8">
    <w:name w:val="Date"/>
    <w:next w:val="a0"/>
    <w:qFormat/>
    <w:rsid w:val="00A05ED7"/>
    <w:pPr>
      <w:keepNext/>
      <w:keepLines/>
    </w:pPr>
    <w:rPr>
      <w:rFonts w:ascii="Calibri" w:hAnsi="Calibri"/>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basedOn w:val="a2"/>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sid w:val="00E209B4"/>
    <w:rPr>
      <w:color w:val="0070C0"/>
    </w:rPr>
  </w:style>
  <w:style w:type="paragraph" w:styleId="af0">
    <w:name w:val="TOC Heading"/>
    <w:basedOn w:val="1"/>
    <w:next w:val="a0"/>
    <w:uiPriority w:val="39"/>
    <w:unhideWhenUsed/>
    <w:qFormat/>
    <w:pPr>
      <w:spacing w:before="240" w:line="259" w:lineRule="auto"/>
      <w:outlineLvl w:val="9"/>
    </w:pPr>
  </w:style>
  <w:style w:type="paragraph" w:styleId="af1">
    <w:name w:val="header"/>
    <w:basedOn w:val="a"/>
    <w:link w:val="af2"/>
    <w:rsid w:val="002A13D1"/>
    <w:pPr>
      <w:tabs>
        <w:tab w:val="center" w:pos="4513"/>
        <w:tab w:val="right" w:pos="9026"/>
      </w:tabs>
      <w:spacing w:after="0"/>
    </w:pPr>
  </w:style>
  <w:style w:type="character" w:customStyle="1" w:styleId="af2">
    <w:name w:val="ヘッダー (文字)"/>
    <w:basedOn w:val="a1"/>
    <w:link w:val="af1"/>
    <w:rsid w:val="002A13D1"/>
    <w:rPr>
      <w:rFonts w:ascii="Calibri" w:hAnsi="Calibri"/>
    </w:rPr>
  </w:style>
  <w:style w:type="paragraph" w:styleId="af3">
    <w:name w:val="footer"/>
    <w:basedOn w:val="a"/>
    <w:link w:val="af4"/>
    <w:rsid w:val="002A13D1"/>
    <w:pPr>
      <w:tabs>
        <w:tab w:val="center" w:pos="4513"/>
        <w:tab w:val="right" w:pos="9026"/>
      </w:tabs>
      <w:spacing w:after="0"/>
    </w:pPr>
  </w:style>
  <w:style w:type="character" w:customStyle="1" w:styleId="af4">
    <w:name w:val="フッター (文字)"/>
    <w:basedOn w:val="a1"/>
    <w:link w:val="af3"/>
    <w:rsid w:val="002A13D1"/>
    <w:rPr>
      <w:rFonts w:ascii="Calibri" w:hAnsi="Calibri"/>
    </w:rPr>
  </w:style>
  <w:style w:type="table" w:styleId="4-6">
    <w:name w:val="List Table 4 Accent 6"/>
    <w:basedOn w:val="a2"/>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31">
    <w:name w:val="Light Grid Accent 5"/>
    <w:basedOn w:val="a2"/>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a"/>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equator-network.org/reporting-guidelines/arrive/items/number-of-experimental-units.html?utm_source=arrive&amp;utm_medium=checklist&amp;utm_campaign=2020_v1_1" TargetMode="External"/><Relationship Id="rId18" Type="http://schemas.openxmlformats.org/officeDocument/2006/relationships/hyperlink" Target="https:/resources.equator-network.org/reporting-guidelines/arrive/items/randomisation.html?utm_source=arrive&amp;utm_medium=checklist&amp;utm_campaign=2020_v1_1" TargetMode="External"/><Relationship Id="rId26" Type="http://schemas.openxmlformats.org/officeDocument/2006/relationships/hyperlink" Target="https:/resources.equator-network.org/reporting-guidelines/arrive/items/experimental-animals-further-information.html?utm_source=arrive&amp;utm_medium=checklist&amp;utm_campaign=2020_v1_1" TargetMode="External"/><Relationship Id="rId39" Type="http://schemas.openxmlformats.org/officeDocument/2006/relationships/hyperlink" Target="https:/resources.equator-network.org/reporting-guidelines/arrive/items/reducing-pain-suffering-distress.html?utm_source=arrive&amp;utm_medium=checklist&amp;utm_campaign=2020_v1_1" TargetMode="External"/><Relationship Id="rId3" Type="http://schemas.openxmlformats.org/officeDocument/2006/relationships/settings" Target="settings.xml"/><Relationship Id="rId21" Type="http://schemas.openxmlformats.org/officeDocument/2006/relationships/hyperlink" Target="https:/resources.equator-network.org/reporting-guidelines/arrive/items/outcome-measures.html?utm_source=arrive&amp;utm_medium=checklist&amp;utm_campaign=2020_v1_1" TargetMode="External"/><Relationship Id="rId34" Type="http://schemas.openxmlformats.org/officeDocument/2006/relationships/hyperlink" Target="https:/resources.equator-network.org/reporting-guidelines/arrive/items/rationale.html?utm_source=arrive&amp;utm_medium=checklist&amp;utm_campaign=2020_v1_1" TargetMode="External"/><Relationship Id="rId42" Type="http://schemas.openxmlformats.org/officeDocument/2006/relationships/hyperlink" Target="https:/resources.equator-network.org/reporting-guidelines/arrive/items/interpretation-implications.html?utm_source=arrive&amp;utm_medium=checklist&amp;utm_campaign=2020_v1_1" TargetMode="External"/><Relationship Id="rId47" Type="http://schemas.openxmlformats.org/officeDocument/2006/relationships/hyperlink" Target="https:/resources.equator-network.org/reporting-guidelines/arrive/items/conflicts-of-interests.html?utm_source=arrive&amp;utm_medium=checklist&amp;utm_campaign=2020_v1_1" TargetMode="External"/><Relationship Id="rId50" Type="http://schemas.openxmlformats.org/officeDocument/2006/relationships/hyperlink" Target="https://https:/resources.equator-network.org/reporting-guidelines/arrive/arrive-checklist.docx" TargetMode="External"/><Relationship Id="rId7" Type="http://schemas.openxmlformats.org/officeDocument/2006/relationships/image" Target="media/image1.png"/><Relationship Id="rId12" Type="http://schemas.openxmlformats.org/officeDocument/2006/relationships/hyperlink" Target="https:/resources.equator-network.org/reporting-guidelines/arrive/items/experimental-unit.html?utm_source=arrive&amp;utm_medium=checklist&amp;utm_campaign=2020_v1_1" TargetMode="External"/><Relationship Id="rId17" Type="http://schemas.openxmlformats.org/officeDocument/2006/relationships/hyperlink" Target="https:/resources.equator-network.org/reporting-guidelines/arrive/items/numbers-analysed.html?utm_source=arrive&amp;utm_medium=checklist&amp;utm_campaign=2020_v1_1" TargetMode="External"/><Relationship Id="rId25" Type="http://schemas.openxmlformats.org/officeDocument/2006/relationships/hyperlink" Target="https:/resources.equator-network.org/reporting-guidelines/arrive/items/experimental-animals-species-appropriate-details.html?utm_source=arrive&amp;utm_medium=checklist&amp;utm_campaign=2020_v1_1" TargetMode="External"/><Relationship Id="rId33" Type="http://schemas.openxmlformats.org/officeDocument/2006/relationships/hyperlink" Target="https:/resources.equator-network.org/reporting-guidelines/arrive/items/abstract.html?utm_source=arrive&amp;utm_medium=checklist&amp;utm_campaign=2020_v1_1" TargetMode="External"/><Relationship Id="rId38" Type="http://schemas.openxmlformats.org/officeDocument/2006/relationships/hyperlink" Target="https:/resources.equator-network.org/reporting-guidelines/arrive/items/housing-husbandry.html?utm_source=arrive&amp;utm_medium=checklist&amp;utm_campaign=2020_v1_1" TargetMode="External"/><Relationship Id="rId46" Type="http://schemas.openxmlformats.org/officeDocument/2006/relationships/hyperlink" Target="https:/resources.equator-network.org/reporting-guidelines/arrive/items/data-access.html?utm_source=arrive&amp;utm_medium=checklist&amp;utm_campaign=2020_v1_1" TargetMode="External"/><Relationship Id="rId2" Type="http://schemas.openxmlformats.org/officeDocument/2006/relationships/styles" Target="styles.xml"/><Relationship Id="rId16" Type="http://schemas.openxmlformats.org/officeDocument/2006/relationships/hyperlink" Target="https:/resources.equator-network.org/reporting-guidelines/arrive/items/exclusions-and-attritions.html?utm_source=arrive&amp;utm_medium=checklist&amp;utm_campaign=2020_v1_1" TargetMode="External"/><Relationship Id="rId20" Type="http://schemas.openxmlformats.org/officeDocument/2006/relationships/hyperlink" Target="https:/resources.equator-network.org/reporting-guidelines/arrive/items/blinding.html?utm_source=arrive&amp;utm_medium=checklist&amp;utm_campaign=2020_v1_1" TargetMode="External"/><Relationship Id="rId29" Type="http://schemas.openxmlformats.org/officeDocument/2006/relationships/hyperlink" Target="https:/resources.equator-network.org/reporting-guidelines/arrive/items/experimental-procedures-where.html?utm_source=arrive&amp;utm_medium=checklist&amp;utm_campaign=2020_v1_1" TargetMode="External"/><Relationship Id="rId41" Type="http://schemas.openxmlformats.org/officeDocument/2006/relationships/hyperlink" Target="https:/resources.equator-network.org/reporting-guidelines/arrive/items/humane-endpoints.html?utm_source=arrive&amp;utm_medium=checklist&amp;utm_campaign=2020_v1_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ources.equator-network.org/reporting-guidelines/arrive/items/groups-being-compared.html?utm_source=arrive&amp;utm_medium=checklist&amp;utm_campaign=2020_v1_1" TargetMode="External"/><Relationship Id="rId24" Type="http://schemas.openxmlformats.org/officeDocument/2006/relationships/hyperlink" Target="https:/resources.equator-network.org/reporting-guidelines/arrive/items/statistical-methods-assumptions.html?utm_source=arrive&amp;utm_medium=checklist&amp;utm_campaign=2020_v1_1" TargetMode="External"/><Relationship Id="rId32" Type="http://schemas.openxmlformats.org/officeDocument/2006/relationships/hyperlink" Target="https:/resources.equator-network.org/reporting-guidelines/arrive/items/results-effect-sizes.html?utm_source=arrive&amp;utm_medium=checklist&amp;utm_campaign=2020_v1_1" TargetMode="External"/><Relationship Id="rId37" Type="http://schemas.openxmlformats.org/officeDocument/2006/relationships/hyperlink" Target="https:/resources.equator-network.org/reporting-guidelines/arrive/items/ethical-statement.html?utm_source=arrive&amp;utm_medium=checklist&amp;utm_campaign=2020_v1_1" TargetMode="External"/><Relationship Id="rId40" Type="http://schemas.openxmlformats.org/officeDocument/2006/relationships/hyperlink" Target="https:/resources.equator-network.org/reporting-guidelines/arrive/items/adverse-events.html?utm_source=arrive&amp;utm_medium=checklist&amp;utm_campaign=2020_v1_1" TargetMode="External"/><Relationship Id="rId45" Type="http://schemas.openxmlformats.org/officeDocument/2006/relationships/hyperlink" Target="https:/resources.equator-network.org/reporting-guidelines/arrive/items/protocol-registration.html?utm_source=arrive&amp;utm_medium=checklist&amp;utm_campaign=2020_v1_1"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sources.equator-network.org/reporting-guidelines/arrive/items/inclusion-and-exclusion-criteria.html?utm_source=arrive&amp;utm_medium=checklist&amp;utm_campaign=2020_v1_1" TargetMode="External"/><Relationship Id="rId23" Type="http://schemas.openxmlformats.org/officeDocument/2006/relationships/hyperlink" Target="https:/resources.equator-network.org/reporting-guidelines/arrive/items/statistical-methods-analysis-methods.html?utm_source=arrive&amp;utm_medium=checklist&amp;utm_campaign=2020_v1_1" TargetMode="External"/><Relationship Id="rId28" Type="http://schemas.openxmlformats.org/officeDocument/2006/relationships/hyperlink" Target="https:/resources.equator-network.org/reporting-guidelines/arrive/items/experimental-procedures-when-and-how-often.html?utm_source=arrive&amp;utm_medium=checklist&amp;utm_campaign=2020_v1_1" TargetMode="External"/><Relationship Id="rId36" Type="http://schemas.openxmlformats.org/officeDocument/2006/relationships/hyperlink" Target="https:/resources.equator-network.org/reporting-guidelines/arrive/items/objectives.html?utm_source=arrive&amp;utm_medium=checklist&amp;utm_campaign=2020_v1_1" TargetMode="External"/><Relationship Id="rId49" Type="http://schemas.openxmlformats.org/officeDocument/2006/relationships/hyperlink" Target="https://journals.plos.org/plosbiology/article?id=10.1371/journal.pbio.3000410" TargetMode="External"/><Relationship Id="rId10" Type="http://schemas.openxmlformats.org/officeDocument/2006/relationships/hyperlink" Target="https:/resources.equator-network.org/reporting-guidelines/arrive/index.html" TargetMode="External"/><Relationship Id="rId19" Type="http://schemas.openxmlformats.org/officeDocument/2006/relationships/hyperlink" Target="https:/resources.equator-network.org/reporting-guidelines/arrive/items/confounders.html?utm_source=arrive&amp;utm_medium=checklist&amp;utm_campaign=2020_v1_1" TargetMode="External"/><Relationship Id="rId31" Type="http://schemas.openxmlformats.org/officeDocument/2006/relationships/hyperlink" Target="https:/resources.equator-network.org/reporting-guidelines/arrive/items/results-summary-per-group.html?utm_source=arrive&amp;utm_medium=checklist&amp;utm_campaign=2020_v1_1" TargetMode="External"/><Relationship Id="rId44" Type="http://schemas.openxmlformats.org/officeDocument/2006/relationships/hyperlink" Target="https:/resources.equator-network.org/reporting-guidelines/arrive/items/generalisability.html?utm_source=arrive&amp;utm_medium=checklist&amp;utm_campaign=2020_v1_1"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ources.equator-network.org/reporting-guidelines/arrive/index.html?" TargetMode="External"/><Relationship Id="rId14" Type="http://schemas.openxmlformats.org/officeDocument/2006/relationships/hyperlink" Target="https:/resources.equator-network.org/reporting-guidelines/arrive/items/sample-size-justification.html?utm_source=arrive&amp;utm_medium=checklist&amp;utm_campaign=2020_v1_1" TargetMode="External"/><Relationship Id="rId22" Type="http://schemas.openxmlformats.org/officeDocument/2006/relationships/hyperlink" Target="https:/resources.equator-network.org/reporting-guidelines/arrive/items/primary-outcome-measure.html?utm_source=arrive&amp;utm_medium=checklist&amp;utm_campaign=2020_v1_1" TargetMode="External"/><Relationship Id="rId27" Type="http://schemas.openxmlformats.org/officeDocument/2006/relationships/hyperlink" Target="https:/resources.equator-network.org/reporting-guidelines/arrive/items/experimental-procedures-what-was-done.html?utm_source=arrive&amp;utm_medium=checklist&amp;utm_campaign=2020_v1_1" TargetMode="External"/><Relationship Id="rId30" Type="http://schemas.openxmlformats.org/officeDocument/2006/relationships/hyperlink" Target="https:/resources.equator-network.org/reporting-guidelines/arrive/items/experimental-procedures-why.html?utm_source=arrive&amp;utm_medium=checklist&amp;utm_campaign=2020_v1_1" TargetMode="External"/><Relationship Id="rId35" Type="http://schemas.openxmlformats.org/officeDocument/2006/relationships/hyperlink" Target="https:/resources.equator-network.org/reporting-guidelines/arrive/items/species-and-model.html?utm_source=arrive&amp;utm_medium=checklist&amp;utm_campaign=2020_v1_1" TargetMode="External"/><Relationship Id="rId43" Type="http://schemas.openxmlformats.org/officeDocument/2006/relationships/hyperlink" Target="https:/resources.equator-network.org/reporting-guidelines/arrive/items/limitations.html?utm_source=arrive&amp;utm_medium=checklist&amp;utm_campaign=2020_v1_1" TargetMode="External"/><Relationship Id="rId48" Type="http://schemas.openxmlformats.org/officeDocument/2006/relationships/hyperlink" Target="https:/resources.equator-network.org/reporting-guidelines/arrive/items/funding.html?utm_source=arrive&amp;utm_medium=checklist&amp;utm_campaign=2020_v1_1" TargetMode="External"/><Relationship Id="rId8" Type="http://schemas.openxmlformats.org/officeDocument/2006/relationships/hyperlink" Target="https:/resources.equator-network.org/about/reporting-guidelines.html" TargetMode="External"/><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3982</Words>
  <Characters>22702</Characters>
  <Application>Microsoft Office Word</Application>
  <DocSecurity>0</DocSecurity>
  <Lines>189</Lines>
  <Paragraphs>53</Paragraphs>
  <ScaleCrop>false</ScaleCrop>
  <HeadingPairs>
    <vt:vector size="2" baseType="variant">
      <vt:variant>
        <vt:lpstr>タイトル</vt:lpstr>
      </vt:variant>
      <vt:variant>
        <vt:i4>1</vt:i4>
      </vt:variant>
    </vt:vector>
  </HeadingPairs>
  <TitlesOfParts>
    <vt:vector size="1" baseType="lpstr">
      <vt:lpstr>The ARRIVE reporting checklist</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ARRIVE reporting checklist</dc:title>
  <dc:creator>憲 加藤</dc:creator>
  <cp:keywords/>
  <cp:lastModifiedBy>憲 加藤</cp:lastModifiedBy>
  <cp:revision>2</cp:revision>
  <dcterms:created xsi:type="dcterms:W3CDTF">2025-10-14T05:36:00Z</dcterms:created>
  <dcterms:modified xsi:type="dcterms:W3CDTF">2025-10-14T05:36:00Z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ARRIVE</vt:lpwstr>
  </property>
  <property fmtid="{D5CDD505-2E9C-101B-9397-08002B2CF9AE}" pid="4" name="acronym-definition">
    <vt:lpwstr>Animal Research: Reporting of In Vivo Experiments</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Nathalie Percie Sert, Viki Hurst, Amrita Ahluwalia, Sabina Alam, Marc T. Avey, Monya Baker, William J. Browne, Alejandra Clark, Innes C. Cuthill, Ulrich Dirnagl, Michael Emerson, Paul Garner, Stephen T. Holgate, David W. Howells, Natasha A. Karp, Stanley E. Lazic, Katie Lidster, Catriona J. MacCallum, Malcolm Macleod, Esther J. Pearl, Ole H. Petersen, Frances Rawle, Penny Reynolds, Kieron Rooney, Emily S. Sena, Shai D. Silberberg, Thomas Steckler, Hanno Würbel</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rossref">
    <vt:lpwstr/>
  </property>
  <property fmtid="{D5CDD505-2E9C-101B-9397-08002B2CF9AE}" pid="13" name="csl">
    <vt:lpwstr>../../vancouver.csl</vt:lpwstr>
  </property>
  <property fmtid="{D5CDD505-2E9C-101B-9397-08002B2CF9AE}" pid="14" name="execute">
    <vt:lpwstr/>
  </property>
  <property fmtid="{D5CDD505-2E9C-101B-9397-08002B2CF9AE}" pid="15" name="footer">
    <vt:lpwstr>none</vt:lpwstr>
  </property>
  <property fmtid="{D5CDD505-2E9C-101B-9397-08002B2CF9AE}" pid="16" name="for-writing">
    <vt:lpwstr>articles describing in vivo animal experiments</vt:lpwstr>
  </property>
  <property fmtid="{D5CDD505-2E9C-101B-9397-08002B2CF9AE}" pid="17" name="google-scholar">
    <vt:lpwstr>True</vt:lpwstr>
  </property>
  <property fmtid="{D5CDD505-2E9C-101B-9397-08002B2CF9AE}" pid="18" name="header-includes">
    <vt:lpwstr/>
  </property>
  <property fmtid="{D5CDD505-2E9C-101B-9397-08002B2CF9AE}" pid="19" name="id">
    <vt:lpwstr>arrive</vt:lpwstr>
  </property>
  <property fmtid="{D5CDD505-2E9C-101B-9397-08002B2CF9AE}" pid="20" name="include-after">
    <vt:lpwstr/>
  </property>
  <property fmtid="{D5CDD505-2E9C-101B-9397-08002B2CF9AE}" pid="21" name="include-before">
    <vt:lpwstr/>
  </property>
  <property fmtid="{D5CDD505-2E9C-101B-9397-08002B2CF9AE}" pid="22" name="items">
    <vt:lpwstr/>
  </property>
  <property fmtid="{D5CDD505-2E9C-101B-9397-08002B2CF9AE}" pid="23" name="journal-endorsement-count">
    <vt:lpwstr>500+</vt:lpwstr>
  </property>
  <property fmtid="{D5CDD505-2E9C-101B-9397-08002B2CF9AE}" pid="24" name="labels">
    <vt:lpwstr/>
  </property>
  <property fmtid="{D5CDD505-2E9C-101B-9397-08002B2CF9AE}" pid="25" name="license">
    <vt:lpwstr/>
  </property>
  <property fmtid="{D5CDD505-2E9C-101B-9397-08002B2CF9AE}" pid="26" name="paths">
    <vt:lpwstr/>
  </property>
  <property fmtid="{D5CDD505-2E9C-101B-9397-08002B2CF9AE}" pid="27" name="search">
    <vt:lpwstr>False</vt:lpwstr>
  </property>
  <property fmtid="{D5CDD505-2E9C-101B-9397-08002B2CF9AE}" pid="28" name="smooth-scroll">
    <vt:lpwstr>True</vt:lpwstr>
  </property>
  <property fmtid="{D5CDD505-2E9C-101B-9397-08002B2CF9AE}" pid="29" name="subtitle">
    <vt:lpwstr>For checking that articles describing in vivo animal experiments can be understood and used by everyone</vt:lpwstr>
  </property>
  <property fmtid="{D5CDD505-2E9C-101B-9397-08002B2CF9AE}" pid="30" name="toc-title">
    <vt:lpwstr>Table of contents</vt:lpwstr>
  </property>
  <property fmtid="{D5CDD505-2E9C-101B-9397-08002B2CF9AE}" pid="31" name="translations">
    <vt:lpwstr/>
  </property>
  <property fmtid="{D5CDD505-2E9C-101B-9397-08002B2CF9AE}" pid="32" name="utm_campaign">
    <vt:lpwstr>2020_v1.1</vt:lpwstr>
  </property>
  <property fmtid="{D5CDD505-2E9C-101B-9397-08002B2CF9AE}" pid="33" name="version">
    <vt:lpwstr>2020 v1.1</vt:lpwstr>
  </property>
</Properties>
</file>