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176" w:rsidRPr="006207DF" w:rsidRDefault="004F3B51">
      <w:pPr>
        <w:spacing w:line="360" w:lineRule="auto"/>
        <w:jc w:val="both"/>
        <w:rPr>
          <w:lang w:val="en-US"/>
        </w:rPr>
      </w:pPr>
      <w:r w:rsidRPr="006207DF">
        <w:rPr>
          <w:rFonts w:ascii="Arial" w:hAnsi="Arial" w:cs="Arial"/>
          <w:b/>
          <w:lang w:val="en-US"/>
        </w:rPr>
        <w:t xml:space="preserve">Identification of a long-term surviving human mesenchymal stromal cell subpopulation and implications for recessive dystrophic epidermolysis </w:t>
      </w:r>
      <w:proofErr w:type="spellStart"/>
      <w:r w:rsidRPr="006207DF">
        <w:rPr>
          <w:rFonts w:ascii="Arial" w:hAnsi="Arial" w:cs="Arial"/>
          <w:b/>
          <w:lang w:val="en-US"/>
        </w:rPr>
        <w:t>bullosa</w:t>
      </w:r>
      <w:proofErr w:type="spellEnd"/>
      <w:r w:rsidRPr="006207DF">
        <w:rPr>
          <w:rFonts w:ascii="Arial" w:hAnsi="Arial" w:cs="Arial"/>
          <w:b/>
          <w:lang w:val="en-US"/>
        </w:rPr>
        <w:t xml:space="preserve"> treatment</w:t>
      </w:r>
    </w:p>
    <w:p w:rsidR="00B37176" w:rsidRDefault="00204F3A">
      <w:pPr>
        <w:suppressAutoHyphens w:val="0"/>
        <w:spacing w:beforeAutospacing="1" w:afterAutospacing="1" w:line="240" w:lineRule="auto"/>
        <w:outlineLvl w:val="1"/>
        <w:rPr>
          <w:b/>
        </w:rPr>
      </w:pPr>
      <w:r>
        <w:rPr>
          <w:b/>
        </w:rPr>
        <w:t>Bonnet des Claustres et al.</w:t>
      </w:r>
    </w:p>
    <w:p w:rsidR="00B37176" w:rsidRDefault="00204F3A">
      <w:pPr>
        <w:pStyle w:val="Titre2"/>
        <w:spacing w:beforeAutospacing="0" w:after="0" w:afterAutospacing="0" w:line="480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Supplementary material </w:t>
      </w:r>
    </w:p>
    <w:p w:rsidR="00B37176" w:rsidRDefault="00204F3A">
      <w:pPr>
        <w:suppressAutoHyphens w:val="0"/>
        <w:rPr>
          <w:lang w:val="en-US"/>
        </w:rPr>
      </w:pPr>
      <w:r>
        <w:br w:type="page"/>
      </w:r>
    </w:p>
    <w:p w:rsidR="00B37176" w:rsidRDefault="00B37176">
      <w:pPr>
        <w:rPr>
          <w:lang w:val="en-US"/>
        </w:rPr>
      </w:pPr>
    </w:p>
    <w:p w:rsidR="00B37176" w:rsidRDefault="00204F3A">
      <w:pPr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4714875" cy="4450080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45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after="0" w:line="36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Figure S1.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  <w:b/>
          <w:lang w:val="en-US"/>
        </w:rPr>
        <w:t xml:space="preserve">Generation of stably transduced Fluc+/mCherry+ BM-MSC. </w:t>
      </w:r>
      <w:r>
        <w:rPr>
          <w:rFonts w:cstheme="minorHAnsi"/>
          <w:b/>
          <w:bCs/>
          <w:lang w:val="en-US"/>
        </w:rPr>
        <w:t xml:space="preserve">(A) </w:t>
      </w:r>
      <w:r>
        <w:rPr>
          <w:rFonts w:cstheme="minorHAnsi"/>
          <w:lang w:val="en-US"/>
        </w:rPr>
        <w:t xml:space="preserve">Schematic representation of the </w:t>
      </w:r>
      <w:proofErr w:type="spellStart"/>
      <w:r>
        <w:rPr>
          <w:rFonts w:cstheme="minorHAnsi"/>
          <w:lang w:val="en-US"/>
        </w:rPr>
        <w:t>bicistronic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pEFS</w:t>
      </w:r>
      <w:proofErr w:type="spellEnd"/>
      <w:r>
        <w:rPr>
          <w:rFonts w:cstheme="minorHAnsi"/>
          <w:lang w:val="en-US"/>
        </w:rPr>
        <w:t>-</w:t>
      </w:r>
      <w:proofErr w:type="spellStart"/>
      <w:r>
        <w:rPr>
          <w:rFonts w:cstheme="minorHAnsi"/>
          <w:lang w:val="en-US"/>
        </w:rPr>
        <w:t>EFFLy</w:t>
      </w:r>
      <w:proofErr w:type="spellEnd"/>
      <w:r>
        <w:rPr>
          <w:rFonts w:cstheme="minorHAnsi"/>
          <w:lang w:val="en-US"/>
        </w:rPr>
        <w:t>-mCherry lentiviral construct carrying an expression cassette containing enhanced Firefly Luciferase (</w:t>
      </w:r>
      <w:proofErr w:type="spellStart"/>
      <w:r>
        <w:rPr>
          <w:rFonts w:cstheme="minorHAnsi"/>
          <w:lang w:val="en-US"/>
        </w:rPr>
        <w:t>eFFLY</w:t>
      </w:r>
      <w:proofErr w:type="spellEnd"/>
      <w:r>
        <w:rPr>
          <w:rFonts w:cstheme="minorHAnsi"/>
          <w:lang w:val="en-US"/>
        </w:rPr>
        <w:t xml:space="preserve">, colored in yellow) and mCherry </w:t>
      </w:r>
      <w:proofErr w:type="spellStart"/>
      <w:r>
        <w:rPr>
          <w:rFonts w:cstheme="minorHAnsi"/>
          <w:lang w:val="en-US"/>
        </w:rPr>
        <w:t>fluorescente</w:t>
      </w:r>
      <w:proofErr w:type="spellEnd"/>
      <w:r>
        <w:rPr>
          <w:rFonts w:cstheme="minorHAnsi"/>
          <w:lang w:val="en-US"/>
        </w:rPr>
        <w:t xml:space="preserve"> protein (mCherry, colored in red) linked by a 2A self-cleaving peptides sequence (T2A, colored in purple) and under the regulation of the human short Elongation Factor 1 alpha promoter (EFS, colored in blue). </w:t>
      </w:r>
      <w:r>
        <w:rPr>
          <w:rFonts w:cstheme="minorHAnsi"/>
          <w:b/>
          <w:bCs/>
          <w:lang w:val="en-US"/>
        </w:rPr>
        <w:t>(B)</w:t>
      </w:r>
      <w:r>
        <w:rPr>
          <w:rFonts w:cstheme="minorHAnsi"/>
          <w:lang w:val="en-US"/>
        </w:rPr>
        <w:t xml:space="preserve"> Assessment of mCherry expression by flow cytometry analysis of transduced BM-MSC at MOI 20. Non-transduced cells were used as negative control (MOI 0). </w:t>
      </w:r>
      <w:r>
        <w:rPr>
          <w:rFonts w:cstheme="minorHAnsi"/>
          <w:b/>
          <w:bCs/>
          <w:lang w:val="en-US"/>
        </w:rPr>
        <w:t xml:space="preserve">(C) </w:t>
      </w:r>
      <w:r>
        <w:rPr>
          <w:rFonts w:cstheme="minorHAnsi"/>
          <w:lang w:val="en-US"/>
        </w:rPr>
        <w:t>Mean percentage of mCherry+ BM-MSC determined by flow cytometry are similar among all tested conditions.</w:t>
      </w:r>
      <w:r>
        <w:rPr>
          <w:rFonts w:cstheme="minorHAnsi"/>
          <w:b/>
          <w:bCs/>
          <w:lang w:val="en-US"/>
        </w:rPr>
        <w:t xml:space="preserve"> (D) </w:t>
      </w:r>
      <w:proofErr w:type="gramStart"/>
      <w:r>
        <w:rPr>
          <w:rFonts w:cstheme="minorHAnsi"/>
          <w:lang w:val="en-US"/>
        </w:rPr>
        <w:t>qPCR</w:t>
      </w:r>
      <w:proofErr w:type="gramEnd"/>
      <w:r>
        <w:rPr>
          <w:rFonts w:cstheme="minorHAnsi"/>
          <w:lang w:val="en-US"/>
        </w:rPr>
        <w:t xml:space="preserve"> analyses and flow cytometry analyses showing a mean vector copy number (VCN) of 1.3 at MOI 20.</w:t>
      </w:r>
    </w:p>
    <w:p w:rsidR="00B37176" w:rsidRDefault="00B37176">
      <w:pPr>
        <w:spacing w:after="0" w:line="360" w:lineRule="auto"/>
        <w:jc w:val="both"/>
        <w:rPr>
          <w:rFonts w:cstheme="minorHAnsi"/>
          <w:lang w:val="en-US"/>
        </w:rPr>
      </w:pPr>
    </w:p>
    <w:p w:rsidR="00B37176" w:rsidRDefault="00B37176">
      <w:pPr>
        <w:spacing w:after="0" w:line="360" w:lineRule="auto"/>
        <w:jc w:val="both"/>
        <w:rPr>
          <w:rFonts w:cstheme="minorHAnsi"/>
          <w:lang w:val="en-US"/>
        </w:rPr>
      </w:pPr>
    </w:p>
    <w:p w:rsidR="00B37176" w:rsidRDefault="00B37176">
      <w:pPr>
        <w:spacing w:after="0" w:line="360" w:lineRule="auto"/>
        <w:jc w:val="both"/>
        <w:rPr>
          <w:rFonts w:cstheme="minorHAnsi"/>
          <w:b/>
          <w:bCs/>
          <w:lang w:val="en-US"/>
        </w:rPr>
      </w:pPr>
    </w:p>
    <w:p w:rsidR="00B37176" w:rsidRDefault="00B37176">
      <w:pPr>
        <w:spacing w:after="0" w:line="360" w:lineRule="auto"/>
        <w:jc w:val="both"/>
        <w:rPr>
          <w:rFonts w:cstheme="minorHAnsi"/>
          <w:b/>
          <w:bCs/>
          <w:lang w:val="en-US"/>
        </w:rPr>
      </w:pPr>
    </w:p>
    <w:p w:rsidR="00B37176" w:rsidRDefault="00204F3A">
      <w:pPr>
        <w:spacing w:after="0" w:line="360" w:lineRule="auto"/>
        <w:jc w:val="both"/>
        <w:rPr>
          <w:rFonts w:cstheme="minorHAnsi"/>
          <w:b/>
          <w:bCs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305425" cy="2793365"/>
            <wp:effectExtent l="0" t="0" r="0" b="0"/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79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after="0" w:line="36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Figure S2</w:t>
      </w:r>
      <w:r>
        <w:rPr>
          <w:rFonts w:cstheme="minorHAnsi"/>
          <w:lang w:val="en-US"/>
        </w:rPr>
        <w:t xml:space="preserve">. </w:t>
      </w:r>
      <w:r>
        <w:rPr>
          <w:rFonts w:cstheme="minorHAnsi"/>
          <w:b/>
          <w:lang w:val="en-US"/>
        </w:rPr>
        <w:t>Characterization of Fluc+/mCherry+ BM-MSC</w:t>
      </w:r>
      <w:r>
        <w:rPr>
          <w:rFonts w:cstheme="minorHAnsi"/>
          <w:lang w:val="en-US"/>
        </w:rPr>
        <w:t>.</w:t>
      </w:r>
      <w:r>
        <w:rPr>
          <w:rFonts w:cstheme="minorHAnsi"/>
          <w:b/>
          <w:bCs/>
          <w:lang w:val="en-US"/>
        </w:rPr>
        <w:t xml:space="preserve"> (A) </w:t>
      </w:r>
      <w:r>
        <w:rPr>
          <w:rFonts w:cstheme="minorHAnsi"/>
          <w:lang w:val="en-US"/>
        </w:rPr>
        <w:t xml:space="preserve">Fluc+/mCherry+ BM-MSC were CD73+, CD90+, CD105+ and CD31-, CD34-, CD45-, HLA-DR-, CD19-, CD16- (FITC negative). </w:t>
      </w:r>
      <w:r>
        <w:rPr>
          <w:rFonts w:cstheme="minorHAnsi"/>
          <w:b/>
          <w:bCs/>
          <w:lang w:val="en-US"/>
        </w:rPr>
        <w:t>(B)</w:t>
      </w:r>
      <w:r>
        <w:rPr>
          <w:rFonts w:cstheme="minorHAnsi"/>
          <w:lang w:val="en-US"/>
        </w:rPr>
        <w:t xml:space="preserve"> Fluc+/mCherry+ BM-MSC differentiation into </w:t>
      </w:r>
      <w:proofErr w:type="spellStart"/>
      <w:r>
        <w:rPr>
          <w:rFonts w:cstheme="minorHAnsi"/>
          <w:lang w:val="en-US"/>
        </w:rPr>
        <w:t>adipogenic</w:t>
      </w:r>
      <w:proofErr w:type="spellEnd"/>
      <w:r>
        <w:rPr>
          <w:rFonts w:cstheme="minorHAnsi"/>
          <w:lang w:val="en-US"/>
        </w:rPr>
        <w:t xml:space="preserve">, </w:t>
      </w:r>
      <w:proofErr w:type="spellStart"/>
      <w:r>
        <w:rPr>
          <w:rFonts w:cstheme="minorHAnsi"/>
          <w:lang w:val="en-US"/>
        </w:rPr>
        <w:t>osteogenic</w:t>
      </w:r>
      <w:proofErr w:type="spellEnd"/>
      <w:r>
        <w:rPr>
          <w:rFonts w:cstheme="minorHAnsi"/>
          <w:lang w:val="en-US"/>
        </w:rPr>
        <w:t xml:space="preserve">, and </w:t>
      </w:r>
      <w:proofErr w:type="spellStart"/>
      <w:r>
        <w:rPr>
          <w:rFonts w:cstheme="minorHAnsi"/>
          <w:lang w:val="en-US"/>
        </w:rPr>
        <w:t>chondrogenic</w:t>
      </w:r>
      <w:proofErr w:type="spellEnd"/>
      <w:r>
        <w:rPr>
          <w:rFonts w:cstheme="minorHAnsi"/>
          <w:lang w:val="en-US"/>
        </w:rPr>
        <w:t xml:space="preserve"> lineages. </w:t>
      </w:r>
    </w:p>
    <w:p w:rsidR="00B37176" w:rsidRDefault="00B37176">
      <w:pPr>
        <w:spacing w:after="0" w:line="360" w:lineRule="auto"/>
        <w:jc w:val="both"/>
        <w:rPr>
          <w:rFonts w:cstheme="minorHAnsi"/>
          <w:lang w:val="en-US"/>
        </w:rPr>
      </w:pPr>
    </w:p>
    <w:p w:rsidR="00B37176" w:rsidRDefault="00204F3A">
      <w:pPr>
        <w:suppressAutoHyphens w:val="0"/>
        <w:rPr>
          <w:rFonts w:cstheme="minorHAnsi"/>
          <w:lang w:val="en-US"/>
        </w:rPr>
      </w:pPr>
      <w:r w:rsidRPr="004F3B51">
        <w:rPr>
          <w:lang w:val="en-US"/>
        </w:rPr>
        <w:br w:type="page"/>
      </w:r>
    </w:p>
    <w:p w:rsidR="00B37176" w:rsidRDefault="00204F3A">
      <w:pPr>
        <w:spacing w:line="360" w:lineRule="auto"/>
        <w:ind w:left="-426"/>
        <w:jc w:val="center"/>
        <w:rPr>
          <w:rFonts w:cstheme="minorHAnsi"/>
          <w:b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400040" cy="691007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1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after="0" w:line="36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 xml:space="preserve">Figure S3. GO and </w:t>
      </w:r>
      <w:r w:rsidR="00556835">
        <w:rPr>
          <w:rFonts w:cstheme="minorHAnsi"/>
          <w:b/>
          <w:lang w:val="en-US"/>
        </w:rPr>
        <w:t>Reactome</w:t>
      </w:r>
      <w:bookmarkStart w:id="0" w:name="_GoBack"/>
      <w:bookmarkEnd w:id="0"/>
      <w:r>
        <w:rPr>
          <w:rFonts w:cstheme="minorHAnsi"/>
          <w:b/>
          <w:lang w:val="en-US"/>
        </w:rPr>
        <w:t xml:space="preserve"> ontologies of scRNAseq data. </w:t>
      </w:r>
      <w:r>
        <w:rPr>
          <w:rFonts w:cstheme="minorHAnsi"/>
          <w:b/>
          <w:bCs/>
          <w:lang w:val="en-US"/>
        </w:rPr>
        <w:t>(A)</w:t>
      </w:r>
      <w:r>
        <w:rPr>
          <w:rFonts w:cstheme="minorHAnsi"/>
          <w:lang w:val="en-US"/>
        </w:rPr>
        <w:t xml:space="preserve"> UMAP projection of the integrated single-cell </w:t>
      </w:r>
      <w:proofErr w:type="spellStart"/>
      <w:r>
        <w:rPr>
          <w:rFonts w:cstheme="minorHAnsi"/>
          <w:lang w:val="en-US"/>
        </w:rPr>
        <w:t>trancriptome</w:t>
      </w:r>
      <w:proofErr w:type="spellEnd"/>
      <w:r>
        <w:rPr>
          <w:rFonts w:cstheme="minorHAnsi"/>
          <w:lang w:val="en-US"/>
        </w:rPr>
        <w:t xml:space="preserve"> of the four conditions colored by the </w:t>
      </w:r>
      <w:r>
        <w:rPr>
          <w:rFonts w:ascii="Calibri" w:hAnsi="Calibri" w:cs="Calibri"/>
          <w:color w:val="000000" w:themeColor="text1"/>
          <w:szCs w:val="20"/>
          <w:lang w:val="en-US"/>
        </w:rPr>
        <w:t>five main categories determined by enrichment analysis</w:t>
      </w:r>
      <w:r>
        <w:rPr>
          <w:rFonts w:cstheme="minorHAnsi"/>
          <w:lang w:val="en-US"/>
        </w:rPr>
        <w:t xml:space="preserve">. </w:t>
      </w:r>
      <w:r>
        <w:rPr>
          <w:rFonts w:cstheme="minorHAnsi"/>
          <w:b/>
          <w:bCs/>
          <w:lang w:val="en-US"/>
        </w:rPr>
        <w:t>(B)</w:t>
      </w:r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Dotplot</w:t>
      </w:r>
      <w:proofErr w:type="spellEnd"/>
      <w:r>
        <w:rPr>
          <w:rFonts w:cstheme="minorHAnsi"/>
          <w:lang w:val="en-US"/>
        </w:rPr>
        <w:t xml:space="preserve"> representing the top 5 </w:t>
      </w:r>
      <w:proofErr w:type="spellStart"/>
      <w:r>
        <w:rPr>
          <w:rFonts w:cstheme="minorHAnsi"/>
          <w:lang w:val="en-US"/>
        </w:rPr>
        <w:t>reactome</w:t>
      </w:r>
      <w:proofErr w:type="spellEnd"/>
      <w:r>
        <w:rPr>
          <w:rFonts w:cstheme="minorHAnsi"/>
          <w:lang w:val="en-US"/>
        </w:rPr>
        <w:t xml:space="preserve"> terms for each cluster ordered by adjusted p-value (p-adjust &lt; 0.05).</w:t>
      </w:r>
    </w:p>
    <w:p w:rsidR="00B37176" w:rsidRDefault="00B37176">
      <w:pPr>
        <w:spacing w:after="0" w:line="360" w:lineRule="auto"/>
        <w:jc w:val="both"/>
        <w:rPr>
          <w:rFonts w:cstheme="minorHAnsi"/>
          <w:lang w:val="en-US"/>
        </w:rPr>
      </w:pPr>
    </w:p>
    <w:p w:rsidR="00B37176" w:rsidRDefault="00B37176">
      <w:pPr>
        <w:spacing w:after="0" w:line="360" w:lineRule="auto"/>
        <w:jc w:val="both"/>
        <w:rPr>
          <w:rFonts w:cstheme="minorHAnsi"/>
          <w:lang w:val="en-US"/>
        </w:rPr>
      </w:pPr>
    </w:p>
    <w:p w:rsidR="00B37176" w:rsidRDefault="00204F3A">
      <w:pPr>
        <w:spacing w:line="360" w:lineRule="auto"/>
        <w:jc w:val="both"/>
        <w:rPr>
          <w:rFonts w:cstheme="minorHAnsi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4137025" cy="6877050"/>
            <wp:effectExtent l="0" t="0" r="0" b="0"/>
            <wp:docPr id="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25" cy="687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after="0" w:line="360" w:lineRule="auto"/>
        <w:jc w:val="both"/>
        <w:rPr>
          <w:lang w:val="en-US"/>
        </w:rPr>
      </w:pPr>
      <w:r>
        <w:rPr>
          <w:rFonts w:cstheme="minorHAnsi"/>
          <w:b/>
          <w:lang w:val="en-US"/>
        </w:rPr>
        <w:t xml:space="preserve">Figure S4. </w:t>
      </w:r>
      <w:r>
        <w:rPr>
          <w:b/>
          <w:lang w:val="en-US"/>
        </w:rPr>
        <w:t>Long-term engraftment of Fluc+/mCherry+ BM-MSC upon ID injection in immunodeficient mice.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(A) </w:t>
      </w:r>
      <w:r>
        <w:rPr>
          <w:lang w:val="en-GB"/>
        </w:rPr>
        <w:t xml:space="preserve">Total Flux (photons/sec) integrated over the ROI area and measured for each mouse and each tested condition. Bioluminescent signals from each time point representing mean ± standard deviation of all mice for each group.  Total n = 15 (PL normoxia: n = 4, FCS normoxia: n = 4, PL hypoxia: n = 4, and FCS hypoxia n = 3). </w:t>
      </w:r>
      <w:r>
        <w:rPr>
          <w:lang w:val="en-US"/>
        </w:rPr>
        <w:t xml:space="preserve">One-way ANOVA with </w:t>
      </w:r>
      <w:proofErr w:type="spellStart"/>
      <w:r>
        <w:rPr>
          <w:lang w:val="en-US"/>
        </w:rPr>
        <w:t>Tukey’s</w:t>
      </w:r>
      <w:proofErr w:type="spellEnd"/>
      <w:r>
        <w:rPr>
          <w:lang w:val="en-US"/>
        </w:rPr>
        <w:t xml:space="preserve"> multiple comparison test was performed. </w:t>
      </w:r>
      <w:r>
        <w:rPr>
          <w:b/>
          <w:lang w:val="en-US"/>
        </w:rPr>
        <w:t>(B)</w:t>
      </w:r>
      <w:r>
        <w:rPr>
          <w:lang w:val="en-US"/>
        </w:rPr>
        <w:t xml:space="preserve"> Proliferation assay. </w:t>
      </w:r>
      <w:r>
        <w:rPr>
          <w:b/>
          <w:lang w:val="en-US"/>
        </w:rPr>
        <w:t>(C)</w:t>
      </w:r>
      <w:r>
        <w:rPr>
          <w:lang w:val="en-US"/>
        </w:rPr>
        <w:t xml:space="preserve"> Senescence assay. ID: intradermal; ns: not significant; </w:t>
      </w:r>
      <w:bookmarkStart w:id="1" w:name="OLE_LINK1"/>
      <w:r>
        <w:rPr>
          <w:lang w:val="en-US"/>
        </w:rPr>
        <w:t>n: number of mice</w:t>
      </w:r>
      <w:bookmarkEnd w:id="1"/>
      <w:r>
        <w:rPr>
          <w:lang w:val="en-US"/>
        </w:rPr>
        <w:t>; ROI: region of interest.</w:t>
      </w:r>
    </w:p>
    <w:p w:rsidR="00B37176" w:rsidRDefault="00B37176">
      <w:pPr>
        <w:spacing w:line="360" w:lineRule="auto"/>
        <w:rPr>
          <w:rFonts w:cstheme="minorHAnsi"/>
          <w:b/>
          <w:lang w:val="en-US"/>
        </w:rPr>
      </w:pPr>
    </w:p>
    <w:p w:rsidR="00B37176" w:rsidRDefault="00204F3A">
      <w:pPr>
        <w:spacing w:line="360" w:lineRule="auto"/>
        <w:jc w:val="both"/>
        <w:rPr>
          <w:rFonts w:cstheme="minorHAnsi"/>
          <w:b/>
          <w:highlight w:val="darkCyan"/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5517515" cy="2219325"/>
            <wp:effectExtent l="0" t="0" r="0" b="0"/>
            <wp:docPr id="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5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line="360" w:lineRule="auto"/>
        <w:jc w:val="both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 xml:space="preserve">Figure S5. </w:t>
      </w:r>
      <w:r>
        <w:rPr>
          <w:b/>
          <w:lang w:val="en-US"/>
        </w:rPr>
        <w:t>In vivo survival of Fluc+/mCherry+ BM-MSC from donor 1 and donor 2 upon ID injection in immunodeficient mice.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(A) </w:t>
      </w:r>
      <w:proofErr w:type="gramStart"/>
      <w:r>
        <w:rPr>
          <w:lang w:val="en-US"/>
        </w:rPr>
        <w:t>and</w:t>
      </w:r>
      <w:proofErr w:type="gramEnd"/>
      <w:r>
        <w:rPr>
          <w:b/>
          <w:bCs/>
          <w:lang w:val="en-US"/>
        </w:rPr>
        <w:t xml:space="preserve"> (B) </w:t>
      </w:r>
      <w:r>
        <w:rPr>
          <w:lang w:val="en-GB"/>
        </w:rPr>
        <w:t xml:space="preserve">Total Flux (photons/sec) integrated over the ROI area is measured weekly for 7 weeks for donor 1 </w:t>
      </w:r>
      <w:r>
        <w:rPr>
          <w:b/>
          <w:bCs/>
          <w:lang w:val="en-GB"/>
        </w:rPr>
        <w:t>(A)</w:t>
      </w:r>
      <w:r>
        <w:rPr>
          <w:lang w:val="en-GB"/>
        </w:rPr>
        <w:t xml:space="preserve"> and donor 2 </w:t>
      </w:r>
      <w:r>
        <w:rPr>
          <w:b/>
          <w:bCs/>
          <w:lang w:val="en-GB"/>
        </w:rPr>
        <w:t>(B)</w:t>
      </w:r>
      <w:r>
        <w:rPr>
          <w:lang w:val="en-GB"/>
        </w:rPr>
        <w:t xml:space="preserve"> for each mouse and each tested condition. Bioluminescent signals from each time point represents the mean ± standard deviation of all animals for each group. Total n = 45 (donor 1: </w:t>
      </w:r>
      <w:proofErr w:type="spellStart"/>
      <w:r>
        <w:rPr>
          <w:lang w:val="en-GB"/>
        </w:rPr>
        <w:t>MoNor</w:t>
      </w:r>
      <w:proofErr w:type="spellEnd"/>
      <w:r>
        <w:rPr>
          <w:lang w:val="en-GB"/>
        </w:rPr>
        <w:t xml:space="preserve">: n = 7, </w:t>
      </w:r>
      <w:proofErr w:type="spellStart"/>
      <w:r>
        <w:rPr>
          <w:lang w:val="en-GB"/>
        </w:rPr>
        <w:t>MoHyp</w:t>
      </w:r>
      <w:proofErr w:type="spellEnd"/>
      <w:r>
        <w:rPr>
          <w:lang w:val="en-GB"/>
        </w:rPr>
        <w:t xml:space="preserve"> n = 7, </w:t>
      </w:r>
      <w:proofErr w:type="spellStart"/>
      <w:r>
        <w:rPr>
          <w:lang w:val="en-GB"/>
        </w:rPr>
        <w:t>SpNor</w:t>
      </w:r>
      <w:proofErr w:type="spellEnd"/>
      <w:r>
        <w:rPr>
          <w:lang w:val="en-GB"/>
        </w:rPr>
        <w:t xml:space="preserve">: n = 7, and </w:t>
      </w:r>
      <w:proofErr w:type="spellStart"/>
      <w:r>
        <w:rPr>
          <w:lang w:val="en-GB"/>
        </w:rPr>
        <w:t>SpHyp</w:t>
      </w:r>
      <w:proofErr w:type="spellEnd"/>
      <w:r>
        <w:rPr>
          <w:lang w:val="en-GB"/>
        </w:rPr>
        <w:t xml:space="preserve"> n = 8. Donor 2: </w:t>
      </w:r>
      <w:proofErr w:type="spellStart"/>
      <w:r>
        <w:rPr>
          <w:lang w:val="en-GB"/>
        </w:rPr>
        <w:t>MoNor</w:t>
      </w:r>
      <w:proofErr w:type="spellEnd"/>
      <w:r>
        <w:rPr>
          <w:lang w:val="en-GB"/>
        </w:rPr>
        <w:t xml:space="preserve">: n = 7, </w:t>
      </w:r>
      <w:proofErr w:type="spellStart"/>
      <w:r>
        <w:rPr>
          <w:lang w:val="en-GB"/>
        </w:rPr>
        <w:t>MoHyp</w:t>
      </w:r>
      <w:proofErr w:type="spellEnd"/>
      <w:r>
        <w:rPr>
          <w:lang w:val="en-GB"/>
        </w:rPr>
        <w:t xml:space="preserve"> n = 5, </w:t>
      </w:r>
      <w:proofErr w:type="spellStart"/>
      <w:r>
        <w:rPr>
          <w:lang w:val="en-GB"/>
        </w:rPr>
        <w:t>SpNor</w:t>
      </w:r>
      <w:proofErr w:type="spellEnd"/>
      <w:r>
        <w:rPr>
          <w:lang w:val="en-GB"/>
        </w:rPr>
        <w:t xml:space="preserve">: n = 2, and </w:t>
      </w:r>
      <w:proofErr w:type="spellStart"/>
      <w:r>
        <w:rPr>
          <w:lang w:val="en-GB"/>
        </w:rPr>
        <w:t>SpHyp</w:t>
      </w:r>
      <w:proofErr w:type="spellEnd"/>
      <w:r>
        <w:rPr>
          <w:lang w:val="en-GB"/>
        </w:rPr>
        <w:t xml:space="preserve"> n = 2). </w:t>
      </w:r>
      <w:r>
        <w:rPr>
          <w:lang w:val="en-US"/>
        </w:rPr>
        <w:t xml:space="preserve">One-way ANOVA with </w:t>
      </w:r>
      <w:proofErr w:type="spellStart"/>
      <w:r>
        <w:rPr>
          <w:lang w:val="en-US"/>
        </w:rPr>
        <w:t>Tukey’s</w:t>
      </w:r>
      <w:proofErr w:type="spellEnd"/>
      <w:r>
        <w:rPr>
          <w:lang w:val="en-US"/>
        </w:rPr>
        <w:t xml:space="preserve"> multiple comparison test was performed. </w:t>
      </w:r>
      <w:r>
        <w:rPr>
          <w:rFonts w:cstheme="minorHAnsi"/>
          <w:lang w:val="en-US"/>
        </w:rPr>
        <w:t xml:space="preserve">* p&lt;0.05; ns: not significative; </w:t>
      </w:r>
      <w:r>
        <w:rPr>
          <w:lang w:val="en-US"/>
        </w:rPr>
        <w:t>n: number of mice</w:t>
      </w:r>
      <w:r>
        <w:rPr>
          <w:rFonts w:cstheme="minorHAnsi"/>
          <w:lang w:val="en-US"/>
        </w:rPr>
        <w:t>.</w:t>
      </w:r>
    </w:p>
    <w:p w:rsidR="00B37176" w:rsidRDefault="00204F3A">
      <w:pPr>
        <w:spacing w:line="360" w:lineRule="auto"/>
        <w:jc w:val="center"/>
        <w:rPr>
          <w:rFonts w:cstheme="minorHAnsi"/>
          <w:b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4826000" cy="6503035"/>
            <wp:effectExtent l="0" t="0" r="0" b="0"/>
            <wp:docPr id="6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2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650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line="360" w:lineRule="auto"/>
        <w:jc w:val="both"/>
        <w:rPr>
          <w:lang w:val="en-US"/>
        </w:rPr>
      </w:pPr>
      <w:r>
        <w:rPr>
          <w:rFonts w:cstheme="minorHAnsi"/>
          <w:b/>
          <w:lang w:val="en-US"/>
        </w:rPr>
        <w:t>Figure S6. Co-</w:t>
      </w:r>
      <w:proofErr w:type="spellStart"/>
      <w:r>
        <w:rPr>
          <w:rFonts w:cstheme="minorHAnsi"/>
          <w:b/>
          <w:lang w:val="en-US"/>
        </w:rPr>
        <w:t>immunostainings</w:t>
      </w:r>
      <w:proofErr w:type="spellEnd"/>
      <w:r>
        <w:rPr>
          <w:rFonts w:cstheme="minorHAnsi"/>
          <w:b/>
          <w:lang w:val="en-US"/>
        </w:rPr>
        <w:t xml:space="preserve"> of Fluc and mCherry in the dermis of murine skin injected ID with </w:t>
      </w:r>
      <w:r>
        <w:rPr>
          <w:rFonts w:ascii="Calibri" w:hAnsi="Calibri" w:cs="Calibri"/>
          <w:b/>
          <w:lang w:val="en-US"/>
        </w:rPr>
        <w:t xml:space="preserve">Fluc+/mCherry+ BM-MSC. </w:t>
      </w:r>
      <w:r>
        <w:rPr>
          <w:rFonts w:ascii="Calibri" w:hAnsi="Calibri" w:cs="Calibri"/>
          <w:b/>
          <w:bCs/>
          <w:lang w:val="en-US"/>
        </w:rPr>
        <w:t>(A)</w:t>
      </w:r>
      <w:r>
        <w:rPr>
          <w:rFonts w:ascii="Calibri" w:hAnsi="Calibri" w:cs="Calibri"/>
          <w:lang w:val="en-US"/>
        </w:rPr>
        <w:t xml:space="preserve"> and </w:t>
      </w:r>
      <w:r>
        <w:rPr>
          <w:rFonts w:ascii="Calibri" w:hAnsi="Calibri" w:cs="Calibri"/>
          <w:b/>
          <w:bCs/>
          <w:lang w:val="en-US"/>
        </w:rPr>
        <w:t>(B)</w:t>
      </w:r>
      <w:r>
        <w:rPr>
          <w:rFonts w:ascii="Calibri" w:hAnsi="Calibri" w:cs="Calibri"/>
          <w:lang w:val="en-US"/>
        </w:rPr>
        <w:t xml:space="preserve"> Human cells detected in the dermis of murine skin injected ID with Fluc+/mCherry+ BM-MSC by co-</w:t>
      </w:r>
      <w:proofErr w:type="spellStart"/>
      <w:r>
        <w:rPr>
          <w:rFonts w:ascii="Calibri" w:hAnsi="Calibri" w:cs="Calibri"/>
          <w:lang w:val="en-US"/>
        </w:rPr>
        <w:t>immunostaining</w:t>
      </w:r>
      <w:proofErr w:type="spellEnd"/>
      <w:r>
        <w:rPr>
          <w:rFonts w:ascii="Calibri" w:hAnsi="Calibri" w:cs="Calibri"/>
          <w:lang w:val="en-US"/>
        </w:rPr>
        <w:t xml:space="preserve"> of Fluc and mCherry from donor 1 </w:t>
      </w:r>
      <w:r>
        <w:rPr>
          <w:rFonts w:ascii="Calibri" w:hAnsi="Calibri" w:cs="Calibri"/>
          <w:b/>
          <w:bCs/>
          <w:lang w:val="en-US"/>
        </w:rPr>
        <w:t>(A)</w:t>
      </w:r>
      <w:r>
        <w:rPr>
          <w:rFonts w:ascii="Calibri" w:hAnsi="Calibri" w:cs="Calibri"/>
          <w:lang w:val="en-US"/>
        </w:rPr>
        <w:t xml:space="preserve"> and from donor 2 (B)</w:t>
      </w:r>
      <w:r>
        <w:rPr>
          <w:lang w:val="en-US"/>
        </w:rPr>
        <w:t xml:space="preserve">. Nuclei were counterstained with DAPI (blue). Representative pictures of 3 independent experiments are shown (magnification x10). </w:t>
      </w:r>
      <w:r>
        <w:rPr>
          <w:b/>
          <w:lang w:val="en-US"/>
        </w:rPr>
        <w:t>(C)</w:t>
      </w:r>
      <w:r>
        <w:rPr>
          <w:lang w:val="en-US"/>
        </w:rPr>
        <w:t xml:space="preserve"> Enlargement of Fluc and mCherry </w:t>
      </w:r>
      <w:proofErr w:type="spellStart"/>
      <w:r>
        <w:rPr>
          <w:lang w:val="en-US"/>
        </w:rPr>
        <w:t>immunostainings</w:t>
      </w:r>
      <w:proofErr w:type="spellEnd"/>
      <w:r>
        <w:rPr>
          <w:lang w:val="en-US"/>
        </w:rPr>
        <w:t xml:space="preserve"> (magnification x40). </w:t>
      </w:r>
      <w:r>
        <w:rPr>
          <w:b/>
          <w:lang w:val="en-US"/>
        </w:rPr>
        <w:t>(D)</w:t>
      </w:r>
      <w:r>
        <w:rPr>
          <w:rFonts w:ascii="Calibri" w:hAnsi="Calibri" w:cs="Calibri"/>
          <w:lang w:val="en-US"/>
        </w:rPr>
        <w:t xml:space="preserve"> Human cells detected in the dermis of murine skin injected ID with Fluc+/mCherry+ BM-MSC by </w:t>
      </w:r>
      <w:r>
        <w:rPr>
          <w:rFonts w:ascii="Calibri" w:hAnsi="Calibri" w:cs="Calibri"/>
          <w:i/>
          <w:iCs/>
          <w:lang w:val="en-US"/>
        </w:rPr>
        <w:t xml:space="preserve">in situ </w:t>
      </w:r>
      <w:r>
        <w:rPr>
          <w:rFonts w:ascii="Calibri" w:hAnsi="Calibri" w:cs="Calibri"/>
          <w:lang w:val="en-US"/>
        </w:rPr>
        <w:t>hybridization (</w:t>
      </w:r>
      <w:proofErr w:type="spellStart"/>
      <w:r>
        <w:rPr>
          <w:rFonts w:ascii="Calibri" w:hAnsi="Calibri" w:cs="Calibri"/>
          <w:lang w:val="en-US"/>
        </w:rPr>
        <w:t>RNAscope</w:t>
      </w:r>
      <w:proofErr w:type="spellEnd"/>
      <w:r>
        <w:rPr>
          <w:rFonts w:ascii="Calibri" w:hAnsi="Calibri" w:cs="Calibri"/>
          <w:lang w:val="en-US"/>
        </w:rPr>
        <w:t>) analysis using a probe targeting a human housekeeping gene (</w:t>
      </w:r>
      <w:r>
        <w:rPr>
          <w:rFonts w:ascii="Calibri" w:hAnsi="Calibri" w:cs="Calibri"/>
          <w:i/>
          <w:iCs/>
          <w:lang w:val="en-US"/>
        </w:rPr>
        <w:t>UBC).</w:t>
      </w:r>
      <w:r>
        <w:rPr>
          <w:lang w:val="en-US"/>
        </w:rPr>
        <w:t xml:space="preserve"> </w:t>
      </w:r>
      <w:r>
        <w:rPr>
          <w:b/>
          <w:lang w:val="en-US"/>
        </w:rPr>
        <w:t>(E)</w:t>
      </w:r>
      <w:r>
        <w:rPr>
          <w:lang w:val="en-US"/>
        </w:rPr>
        <w:t xml:space="preserve"> Enlargement of Fluc and mCherry </w:t>
      </w:r>
      <w:proofErr w:type="spellStart"/>
      <w:r>
        <w:rPr>
          <w:lang w:val="en-US"/>
        </w:rPr>
        <w:t>immunostaining</w:t>
      </w:r>
      <w:proofErr w:type="spellEnd"/>
      <w:r>
        <w:rPr>
          <w:lang w:val="en-US"/>
        </w:rPr>
        <w:t xml:space="preserve"> (magnification x120).</w:t>
      </w: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B37176">
      <w:pPr>
        <w:spacing w:line="360" w:lineRule="auto"/>
        <w:jc w:val="both"/>
        <w:rPr>
          <w:sz w:val="24"/>
          <w:szCs w:val="24"/>
          <w:lang w:val="en-US"/>
        </w:rPr>
      </w:pPr>
    </w:p>
    <w:p w:rsidR="00B37176" w:rsidRDefault="00204F3A">
      <w:pPr>
        <w:spacing w:after="0" w:line="360" w:lineRule="auto"/>
        <w:jc w:val="both"/>
        <w:rPr>
          <w:sz w:val="24"/>
          <w:szCs w:val="24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000625" cy="4354830"/>
            <wp:effectExtent l="0" t="0" r="0" b="0"/>
            <wp:docPr id="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35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after="0" w:line="360" w:lineRule="auto"/>
        <w:jc w:val="both"/>
        <w:rPr>
          <w:lang w:val="en-US"/>
        </w:rPr>
      </w:pPr>
      <w:r>
        <w:rPr>
          <w:b/>
          <w:bCs/>
          <w:sz w:val="24"/>
          <w:szCs w:val="24"/>
          <w:lang w:val="en-US"/>
        </w:rPr>
        <w:t>Figure S7. Spatial transcriptomic data from donor 1 and donor. 2</w:t>
      </w:r>
      <w:r>
        <w:rPr>
          <w:sz w:val="24"/>
          <w:szCs w:val="24"/>
          <w:lang w:val="en-US"/>
        </w:rPr>
        <w:t xml:space="preserve"> </w:t>
      </w:r>
      <w:r>
        <w:rPr>
          <w:b/>
          <w:lang w:val="en-US"/>
        </w:rPr>
        <w:t xml:space="preserve">(A) </w:t>
      </w:r>
      <w:r>
        <w:rPr>
          <w:rFonts w:cstheme="minorHAnsi"/>
          <w:lang w:val="en-US"/>
        </w:rPr>
        <w:t xml:space="preserve">UMAP projection of integrated spatial transcriptomes from donor 1 (four conditions) and donor 2 (three conditions), with cells colored by origin: mouse colored in blue and human colored in pink. </w:t>
      </w:r>
      <w:r>
        <w:rPr>
          <w:b/>
          <w:lang w:val="en-US"/>
        </w:rPr>
        <w:t xml:space="preserve">(B) </w:t>
      </w:r>
      <w:r>
        <w:rPr>
          <w:bCs/>
          <w:lang w:val="en-US"/>
        </w:rPr>
        <w:t xml:space="preserve">UMAP projections displayed separately of </w:t>
      </w:r>
      <w:r>
        <w:rPr>
          <w:rFonts w:cstheme="minorHAnsi"/>
          <w:bCs/>
          <w:lang w:val="en-US"/>
        </w:rPr>
        <w:t>transcriptomes</w:t>
      </w:r>
      <w:r>
        <w:rPr>
          <w:rFonts w:cstheme="minorHAnsi"/>
          <w:lang w:val="en-US"/>
        </w:rPr>
        <w:t xml:space="preserve"> from donor 1 (four conditions) and donor 2 (three conditions), with dots colored by organism of origin: mouse (blue), and human (pink).</w:t>
      </w:r>
      <w:r>
        <w:rPr>
          <w:lang w:val="en-US"/>
        </w:rPr>
        <w:t xml:space="preserve"> </w:t>
      </w:r>
      <w:r>
        <w:rPr>
          <w:b/>
          <w:lang w:val="en-US"/>
        </w:rPr>
        <w:t xml:space="preserve">(C) </w:t>
      </w:r>
      <w:proofErr w:type="gramStart"/>
      <w:r>
        <w:rPr>
          <w:b/>
          <w:lang w:val="en-US"/>
        </w:rPr>
        <w:t>and</w:t>
      </w:r>
      <w:proofErr w:type="gramEnd"/>
      <w:r>
        <w:rPr>
          <w:b/>
          <w:lang w:val="en-US"/>
        </w:rPr>
        <w:t xml:space="preserve"> (D) </w:t>
      </w:r>
      <w:r>
        <w:rPr>
          <w:bCs/>
          <w:lang w:val="en-US"/>
        </w:rPr>
        <w:t>Heat map of the Pearson correlation between the human subset of the spatial transcriptomic data from</w:t>
      </w:r>
      <w:r>
        <w:rPr>
          <w:b/>
          <w:lang w:val="en-US"/>
        </w:rPr>
        <w:t xml:space="preserve"> </w:t>
      </w:r>
      <w:r>
        <w:rPr>
          <w:rFonts w:cstheme="minorHAnsi"/>
          <w:lang w:val="en-US"/>
        </w:rPr>
        <w:t xml:space="preserve">donor 1 (four conditions) </w:t>
      </w:r>
      <w:r>
        <w:rPr>
          <w:rFonts w:cstheme="minorHAnsi"/>
          <w:b/>
          <w:bCs/>
          <w:lang w:val="en-US"/>
        </w:rPr>
        <w:t>(C)</w:t>
      </w:r>
      <w:r>
        <w:rPr>
          <w:rFonts w:cstheme="minorHAnsi"/>
          <w:lang w:val="en-US"/>
        </w:rPr>
        <w:t xml:space="preserve"> and donor 2 (three conditions) </w:t>
      </w:r>
      <w:r>
        <w:rPr>
          <w:rFonts w:cstheme="minorHAnsi"/>
          <w:b/>
          <w:bCs/>
          <w:lang w:val="en-US"/>
        </w:rPr>
        <w:t>(D)</w:t>
      </w:r>
      <w:r>
        <w:rPr>
          <w:rFonts w:cstheme="minorHAnsi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cstheme="minorHAnsi"/>
          <w:lang w:val="en-GB"/>
        </w:rPr>
        <w:t>UMAP: Uniform manifold approximation and projection.</w:t>
      </w:r>
    </w:p>
    <w:p w:rsidR="00B37176" w:rsidRDefault="00204F3A">
      <w:pPr>
        <w:spacing w:line="360" w:lineRule="auto"/>
        <w:ind w:left="426"/>
        <w:jc w:val="both"/>
        <w:rPr>
          <w:sz w:val="24"/>
          <w:szCs w:val="24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070475" cy="4986655"/>
            <wp:effectExtent l="0" t="0" r="0" b="0"/>
            <wp:docPr id="8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2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475" cy="498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line="360" w:lineRule="auto"/>
        <w:jc w:val="both"/>
        <w:rPr>
          <w:rFonts w:cstheme="minorHAnsi"/>
          <w:lang w:val="en-GB"/>
        </w:rPr>
      </w:pPr>
      <w:r>
        <w:rPr>
          <w:b/>
          <w:bCs/>
          <w:sz w:val="24"/>
          <w:szCs w:val="24"/>
          <w:lang w:val="en-US"/>
        </w:rPr>
        <w:t>Figure S8.</w:t>
      </w:r>
      <w:r>
        <w:rPr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>Spatial transcriptomic and scRNAseq data integration.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b/>
          <w:lang w:val="en-GB"/>
        </w:rPr>
        <w:t xml:space="preserve">(A) </w:t>
      </w:r>
      <w:proofErr w:type="gramStart"/>
      <w:r>
        <w:rPr>
          <w:rFonts w:cstheme="minorHAnsi"/>
          <w:bCs/>
          <w:lang w:val="en-GB"/>
        </w:rPr>
        <w:t>and</w:t>
      </w:r>
      <w:proofErr w:type="gramEnd"/>
      <w:r>
        <w:rPr>
          <w:rFonts w:cstheme="minorHAnsi"/>
          <w:b/>
          <w:lang w:val="en-GB"/>
        </w:rPr>
        <w:t xml:space="preserve"> (B)</w:t>
      </w:r>
      <w:r>
        <w:rPr>
          <w:rFonts w:cstheme="minorHAnsi"/>
          <w:lang w:val="en-GB"/>
        </w:rPr>
        <w:t xml:space="preserve"> </w:t>
      </w:r>
      <w:r>
        <w:rPr>
          <w:rFonts w:cstheme="minorHAnsi"/>
          <w:lang w:val="en-US"/>
        </w:rPr>
        <w:t xml:space="preserve">UMAP projection of the integrated datasets of scRNAseq and human spatial transcriptomic colored by cluster experiment origin projected together </w:t>
      </w:r>
      <w:r>
        <w:rPr>
          <w:rFonts w:cstheme="minorHAnsi"/>
          <w:b/>
          <w:bCs/>
          <w:lang w:val="en-US"/>
        </w:rPr>
        <w:t>(A)</w:t>
      </w:r>
      <w:r>
        <w:rPr>
          <w:rFonts w:cstheme="minorHAnsi"/>
          <w:lang w:val="en-US"/>
        </w:rPr>
        <w:t xml:space="preserve"> or displayed separately </w:t>
      </w:r>
      <w:r>
        <w:rPr>
          <w:rFonts w:cstheme="minorHAnsi"/>
          <w:b/>
          <w:bCs/>
          <w:lang w:val="en-US"/>
        </w:rPr>
        <w:t>(B).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  <w:b/>
          <w:lang w:val="en-GB"/>
        </w:rPr>
        <w:t>(C)</w:t>
      </w:r>
      <w:r>
        <w:rPr>
          <w:rFonts w:cstheme="minorHAnsi"/>
          <w:lang w:val="en-GB"/>
        </w:rPr>
        <w:t xml:space="preserve"> Percentage of each dataset (</w:t>
      </w:r>
      <w:r>
        <w:rPr>
          <w:rFonts w:cstheme="minorHAnsi"/>
          <w:lang w:val="en-US"/>
        </w:rPr>
        <w:t xml:space="preserve">scRNAseq </w:t>
      </w:r>
      <w:r>
        <w:rPr>
          <w:rFonts w:cstheme="minorHAnsi"/>
          <w:lang w:val="en-GB"/>
        </w:rPr>
        <w:t xml:space="preserve">in blue, human spatial transcriptomic in pink, and mouse in green) contributing to the composition of each cluster. </w:t>
      </w:r>
      <w:r>
        <w:rPr>
          <w:rFonts w:cstheme="minorHAnsi"/>
          <w:b/>
          <w:bCs/>
          <w:lang w:val="en-GB"/>
        </w:rPr>
        <w:t>(D)</w:t>
      </w:r>
      <w:r>
        <w:rPr>
          <w:rFonts w:cstheme="minorHAnsi"/>
          <w:lang w:val="en-GB"/>
        </w:rPr>
        <w:t xml:space="preserve"> UMAP </w:t>
      </w:r>
      <w:r>
        <w:rPr>
          <w:rFonts w:cstheme="minorHAnsi"/>
          <w:lang w:val="en-US"/>
        </w:rPr>
        <w:t xml:space="preserve">projection of the integrated datasets of scRNAseq displaying UMI identified in C10 scRNAseq cluster (red dots) compared to the other UMI from the scRNAseq dataset (light grey dots). </w:t>
      </w:r>
      <w:r>
        <w:rPr>
          <w:rFonts w:cstheme="minorHAnsi"/>
          <w:b/>
          <w:bCs/>
          <w:lang w:val="en-GB"/>
        </w:rPr>
        <w:t>(E)</w:t>
      </w:r>
      <w:r>
        <w:rPr>
          <w:rFonts w:cstheme="minorHAnsi"/>
          <w:lang w:val="en-GB"/>
        </w:rPr>
        <w:t xml:space="preserve"> </w:t>
      </w:r>
      <w:proofErr w:type="gramStart"/>
      <w:r>
        <w:rPr>
          <w:rFonts w:cstheme="minorHAnsi"/>
          <w:lang w:val="en-GB"/>
        </w:rPr>
        <w:t>and</w:t>
      </w:r>
      <w:proofErr w:type="gramEnd"/>
      <w:r>
        <w:rPr>
          <w:rFonts w:cstheme="minorHAnsi"/>
          <w:lang w:val="en-GB"/>
        </w:rPr>
        <w:t xml:space="preserve"> </w:t>
      </w:r>
      <w:r>
        <w:rPr>
          <w:rFonts w:cstheme="minorHAnsi"/>
          <w:b/>
          <w:bCs/>
          <w:lang w:val="en-US"/>
        </w:rPr>
        <w:t>(F)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  <w:lang w:val="en-GB"/>
        </w:rPr>
        <w:t xml:space="preserve">Absence of expression of Muse markers in spatial data </w:t>
      </w:r>
      <w:r>
        <w:rPr>
          <w:rFonts w:cstheme="minorHAnsi"/>
          <w:b/>
          <w:bCs/>
          <w:lang w:val="en-GB"/>
        </w:rPr>
        <w:t>(E)</w:t>
      </w:r>
      <w:r>
        <w:rPr>
          <w:rFonts w:cstheme="minorHAnsi"/>
          <w:lang w:val="en-GB"/>
        </w:rPr>
        <w:t xml:space="preserve"> and Fluc</w:t>
      </w:r>
      <w:r>
        <w:rPr>
          <w:rFonts w:cstheme="minorHAnsi"/>
          <w:vertAlign w:val="superscript"/>
          <w:lang w:val="en-GB"/>
        </w:rPr>
        <w:t>+</w:t>
      </w:r>
      <w:r>
        <w:rPr>
          <w:rFonts w:cstheme="minorHAnsi"/>
          <w:lang w:val="en-GB"/>
        </w:rPr>
        <w:t>/mCherry</w:t>
      </w:r>
      <w:r>
        <w:rPr>
          <w:rFonts w:cstheme="minorHAnsi"/>
          <w:vertAlign w:val="superscript"/>
          <w:lang w:val="en-GB"/>
        </w:rPr>
        <w:t>+</w:t>
      </w:r>
      <w:r>
        <w:rPr>
          <w:rFonts w:cstheme="minorHAnsi"/>
          <w:lang w:val="en-GB"/>
        </w:rPr>
        <w:t xml:space="preserve"> MSC cultured in different conditions </w:t>
      </w:r>
      <w:r>
        <w:rPr>
          <w:rFonts w:cstheme="minorHAnsi"/>
          <w:b/>
          <w:bCs/>
          <w:lang w:val="en-GB"/>
        </w:rPr>
        <w:t>(F).</w:t>
      </w:r>
      <w:r>
        <w:rPr>
          <w:rFonts w:cstheme="minorHAnsi"/>
          <w:lang w:val="en-GB"/>
        </w:rPr>
        <w:t xml:space="preserve"> UMAP: Uniform manifold approximation and projection.</w:t>
      </w:r>
    </w:p>
    <w:p w:rsidR="00B37176" w:rsidRDefault="00204F3A">
      <w:pPr>
        <w:spacing w:line="360" w:lineRule="auto"/>
        <w:jc w:val="both"/>
        <w:rPr>
          <w:rFonts w:cstheme="minorHAnsi"/>
          <w:lang w:val="en-GB"/>
        </w:rPr>
      </w:pPr>
      <w:r>
        <w:rPr>
          <w:noProof/>
          <w:lang w:eastAsia="fr-FR"/>
        </w:rPr>
        <w:lastRenderedPageBreak/>
        <w:drawing>
          <wp:inline distT="0" distB="0" distL="0" distR="0">
            <wp:extent cx="5753100" cy="1609725"/>
            <wp:effectExtent l="0" t="0" r="0" b="0"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7176" w:rsidRDefault="00204F3A">
      <w:pPr>
        <w:spacing w:line="360" w:lineRule="auto"/>
        <w:jc w:val="both"/>
        <w:rPr>
          <w:rFonts w:cstheme="minorHAnsi"/>
          <w:b/>
          <w:lang w:val="en-US"/>
        </w:rPr>
      </w:pPr>
      <w:r>
        <w:rPr>
          <w:b/>
          <w:bCs/>
          <w:sz w:val="24"/>
          <w:szCs w:val="24"/>
          <w:lang w:val="en-US"/>
        </w:rPr>
        <w:t>Figure S9.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b/>
          <w:bCs/>
          <w:sz w:val="24"/>
          <w:szCs w:val="24"/>
          <w:lang w:val="en-US"/>
        </w:rPr>
        <w:t>Immunofluorescent</w:t>
      </w:r>
      <w:proofErr w:type="spellEnd"/>
      <w:r>
        <w:rPr>
          <w:b/>
          <w:bCs/>
          <w:sz w:val="24"/>
          <w:szCs w:val="24"/>
          <w:lang w:val="en-US"/>
        </w:rPr>
        <w:t xml:space="preserve"> analysis </w:t>
      </w:r>
      <w:r w:rsidRPr="004F3B51">
        <w:rPr>
          <w:b/>
          <w:bCs/>
          <w:sz w:val="24"/>
          <w:szCs w:val="24"/>
          <w:lang w:val="en-US"/>
        </w:rPr>
        <w:t>of SSEA3</w:t>
      </w:r>
      <w:r>
        <w:rPr>
          <w:b/>
          <w:bCs/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  <w:r>
        <w:rPr>
          <w:rFonts w:cstheme="minorHAnsi"/>
          <w:b/>
          <w:lang w:val="en-GB"/>
        </w:rPr>
        <w:t xml:space="preserve">(A) </w:t>
      </w:r>
      <w:r>
        <w:rPr>
          <w:rFonts w:cstheme="minorHAnsi"/>
          <w:bCs/>
          <w:lang w:val="en-GB"/>
        </w:rPr>
        <w:t>Positive SSEA3 staining (in green) in control cells (human induced pluripotent stem cells).</w:t>
      </w:r>
      <w:r>
        <w:rPr>
          <w:rFonts w:cstheme="minorHAnsi"/>
          <w:b/>
          <w:lang w:val="en-GB"/>
        </w:rPr>
        <w:t xml:space="preserve"> (B) </w:t>
      </w:r>
      <w:proofErr w:type="gramStart"/>
      <w:r>
        <w:rPr>
          <w:rFonts w:cstheme="minorHAnsi"/>
          <w:b/>
          <w:lang w:val="en-GB"/>
        </w:rPr>
        <w:t>and</w:t>
      </w:r>
      <w:proofErr w:type="gramEnd"/>
      <w:r>
        <w:rPr>
          <w:rFonts w:cstheme="minorHAnsi"/>
          <w:b/>
          <w:lang w:val="en-GB"/>
        </w:rPr>
        <w:t xml:space="preserve"> (C) </w:t>
      </w:r>
      <w:r>
        <w:rPr>
          <w:rFonts w:cstheme="minorHAnsi"/>
          <w:bCs/>
          <w:lang w:val="en-GB"/>
        </w:rPr>
        <w:t xml:space="preserve">Absence of staining in the dermis of murine skin injected ID with Fluc+/mCherry+ BM-MSC. </w:t>
      </w:r>
      <w:r>
        <w:rPr>
          <w:rFonts w:cstheme="minorHAnsi"/>
          <w:b/>
          <w:lang w:val="en-GB"/>
        </w:rPr>
        <w:t>(D)</w:t>
      </w:r>
      <w:r>
        <w:rPr>
          <w:rFonts w:cstheme="minorHAnsi"/>
          <w:lang w:val="en-GB"/>
        </w:rPr>
        <w:t xml:space="preserve"> </w:t>
      </w:r>
      <w:proofErr w:type="spellStart"/>
      <w:r>
        <w:rPr>
          <w:rFonts w:cstheme="minorHAnsi"/>
          <w:lang w:val="en-GB"/>
        </w:rPr>
        <w:t>Isotype</w:t>
      </w:r>
      <w:proofErr w:type="spellEnd"/>
      <w:r>
        <w:rPr>
          <w:rFonts w:cstheme="minorHAnsi"/>
          <w:lang w:val="en-GB"/>
        </w:rPr>
        <w:t xml:space="preserve"> control.</w:t>
      </w:r>
      <w:r>
        <w:rPr>
          <w:rFonts w:cstheme="minorHAnsi"/>
          <w:bCs/>
          <w:lang w:val="en-GB"/>
        </w:rPr>
        <w:t xml:space="preserve"> </w:t>
      </w:r>
      <w:r>
        <w:rPr>
          <w:lang w:val="en-US"/>
        </w:rPr>
        <w:t xml:space="preserve">Nuclei were counterstained with DAPI (blue). Representative pictures of 3 independent experiments are shown (magnification x40). </w:t>
      </w:r>
      <w:proofErr w:type="spellStart"/>
      <w:proofErr w:type="gramStart"/>
      <w:r>
        <w:rPr>
          <w:lang w:val="en-US"/>
        </w:rPr>
        <w:t>iPSC</w:t>
      </w:r>
      <w:proofErr w:type="spellEnd"/>
      <w:proofErr w:type="gramEnd"/>
      <w:r>
        <w:rPr>
          <w:lang w:val="en-US"/>
        </w:rPr>
        <w:t xml:space="preserve">: </w:t>
      </w:r>
      <w:r>
        <w:rPr>
          <w:rFonts w:cstheme="minorHAnsi"/>
          <w:bCs/>
          <w:lang w:val="en-GB"/>
        </w:rPr>
        <w:t>induced pluripotent stem cells.</w:t>
      </w:r>
    </w:p>
    <w:p w:rsidR="00B37176" w:rsidRDefault="00B37176">
      <w:pPr>
        <w:spacing w:line="360" w:lineRule="auto"/>
        <w:rPr>
          <w:rFonts w:cstheme="minorHAnsi"/>
          <w:b/>
          <w:lang w:val="en-US"/>
        </w:rPr>
      </w:pPr>
    </w:p>
    <w:p w:rsidR="00B37176" w:rsidRDefault="00B37176">
      <w:pPr>
        <w:suppressAutoHyphens w:val="0"/>
        <w:rPr>
          <w:rFonts w:cstheme="minorHAnsi"/>
          <w:b/>
          <w:lang w:val="en-US"/>
        </w:rPr>
      </w:pPr>
    </w:p>
    <w:sectPr w:rsidR="00B37176">
      <w:footerReference w:type="even" r:id="rId15"/>
      <w:footerReference w:type="default" r:id="rId16"/>
      <w:footerReference w:type="first" r:id="rId17"/>
      <w:pgSz w:w="11906" w:h="16838"/>
      <w:pgMar w:top="1417" w:right="1417" w:bottom="1417" w:left="141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72D" w:rsidRDefault="003D172D">
      <w:pPr>
        <w:spacing w:after="0" w:line="240" w:lineRule="auto"/>
      </w:pPr>
      <w:r>
        <w:separator/>
      </w:r>
    </w:p>
  </w:endnote>
  <w:endnote w:type="continuationSeparator" w:id="0">
    <w:p w:rsidR="003D172D" w:rsidRDefault="003D1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176" w:rsidRDefault="00B3717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5893232"/>
      <w:docPartObj>
        <w:docPartGallery w:val="Page Numbers (Bottom of Page)"/>
        <w:docPartUnique/>
      </w:docPartObj>
    </w:sdtPr>
    <w:sdtEndPr/>
    <w:sdtContent>
      <w:p w:rsidR="00B37176" w:rsidRDefault="00204F3A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56835">
          <w:rPr>
            <w:noProof/>
          </w:rPr>
          <w:t>11</w:t>
        </w:r>
        <w:r>
          <w:fldChar w:fldCharType="end"/>
        </w:r>
      </w:p>
    </w:sdtContent>
  </w:sdt>
  <w:p w:rsidR="00B37176" w:rsidRDefault="00B37176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3031753"/>
      <w:docPartObj>
        <w:docPartGallery w:val="Page Numbers (Bottom of Page)"/>
        <w:docPartUnique/>
      </w:docPartObj>
    </w:sdtPr>
    <w:sdtEndPr/>
    <w:sdtContent>
      <w:p w:rsidR="00B37176" w:rsidRDefault="00204F3A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:rsidR="00B37176" w:rsidRDefault="00B3717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72D" w:rsidRDefault="003D172D">
      <w:pPr>
        <w:spacing w:after="0" w:line="240" w:lineRule="auto"/>
      </w:pPr>
      <w:r>
        <w:separator/>
      </w:r>
    </w:p>
  </w:footnote>
  <w:footnote w:type="continuationSeparator" w:id="0">
    <w:p w:rsidR="003D172D" w:rsidRDefault="003D1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76"/>
    <w:rsid w:val="00204F3A"/>
    <w:rsid w:val="003D172D"/>
    <w:rsid w:val="004F3B51"/>
    <w:rsid w:val="00556835"/>
    <w:rsid w:val="006207DF"/>
    <w:rsid w:val="00B3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85454-6CB1-43B0-AAE8-3E4DF613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A72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EE29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C803AB"/>
    <w:pPr>
      <w:suppressAutoHyphens w:val="0"/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Car">
    <w:name w:val="Titre Car"/>
    <w:basedOn w:val="Policepardfaut"/>
    <w:link w:val="Titre"/>
    <w:uiPriority w:val="10"/>
    <w:qFormat/>
    <w:rsid w:val="00460E15"/>
    <w:rPr>
      <w:rFonts w:ascii="Arial" w:eastAsiaTheme="majorEastAsia" w:hAnsi="Arial" w:cstheme="majorBidi"/>
      <w:b/>
      <w:spacing w:val="-10"/>
      <w:kern w:val="2"/>
      <w:szCs w:val="56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0D407B"/>
    <w:rPr>
      <w:rFonts w:ascii="Segoe UI" w:hAnsi="Segoe UI" w:cs="Segoe U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qFormat/>
    <w:rsid w:val="00D17B19"/>
  </w:style>
  <w:style w:type="character" w:customStyle="1" w:styleId="PieddepageCar">
    <w:name w:val="Pied de page Car"/>
    <w:basedOn w:val="Policepardfaut"/>
    <w:link w:val="Pieddepage"/>
    <w:uiPriority w:val="99"/>
    <w:qFormat/>
    <w:rsid w:val="00D17B19"/>
  </w:style>
  <w:style w:type="character" w:customStyle="1" w:styleId="Titre2Car">
    <w:name w:val="Titre 2 Car"/>
    <w:basedOn w:val="Policepardfaut"/>
    <w:link w:val="Titre2"/>
    <w:uiPriority w:val="9"/>
    <w:qFormat/>
    <w:rsid w:val="00C803A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gkelc">
    <w:name w:val="hgkelc"/>
    <w:basedOn w:val="Policepardfaut"/>
    <w:qFormat/>
    <w:rsid w:val="00B27079"/>
  </w:style>
  <w:style w:type="character" w:customStyle="1" w:styleId="Titre1Car">
    <w:name w:val="Titre 1 Car"/>
    <w:basedOn w:val="Policepardfaut"/>
    <w:link w:val="Titre1"/>
    <w:uiPriority w:val="9"/>
    <w:qFormat/>
    <w:rsid w:val="00EE29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centuation">
    <w:name w:val="Emphasis"/>
    <w:basedOn w:val="Policepardfaut"/>
    <w:uiPriority w:val="20"/>
    <w:qFormat/>
    <w:rsid w:val="0012594F"/>
    <w:rPr>
      <w:i/>
      <w:iCs/>
    </w:rPr>
  </w:style>
  <w:style w:type="character" w:styleId="Numrodeligne">
    <w:name w:val="line number"/>
    <w:basedOn w:val="Policepardfaut"/>
    <w:uiPriority w:val="99"/>
    <w:semiHidden/>
    <w:unhideWhenUsed/>
    <w:rsid w:val="00633728"/>
  </w:style>
  <w:style w:type="character" w:customStyle="1" w:styleId="highlight">
    <w:name w:val="highlight"/>
    <w:basedOn w:val="Policepardfaut"/>
    <w:qFormat/>
    <w:rsid w:val="00544763"/>
  </w:style>
  <w:style w:type="character" w:styleId="Marquedecommentaire">
    <w:name w:val="annotation reference"/>
    <w:basedOn w:val="Policepardfaut"/>
    <w:uiPriority w:val="99"/>
    <w:semiHidden/>
    <w:unhideWhenUsed/>
    <w:qFormat/>
    <w:rsid w:val="00E6402D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E6402D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E6402D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091C54"/>
    <w:rPr>
      <w:color w:val="0000FF"/>
      <w:u w:val="single"/>
    </w:rPr>
  </w:style>
  <w:style w:type="paragraph" w:styleId="Titre">
    <w:name w:val="Title"/>
    <w:basedOn w:val="Normal"/>
    <w:next w:val="Corpsdetexte"/>
    <w:link w:val="TitreCar"/>
    <w:autoRedefine/>
    <w:uiPriority w:val="10"/>
    <w:qFormat/>
    <w:rsid w:val="00460E15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"/>
      <w:szCs w:val="56"/>
      <w:u w:val="single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Droid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Paragraphedeliste">
    <w:name w:val="List Paragraph"/>
    <w:basedOn w:val="Normal"/>
    <w:uiPriority w:val="34"/>
    <w:qFormat/>
    <w:rsid w:val="00EE3AC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0D40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D17B19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D17B19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C803AB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qFormat/>
    <w:rsid w:val="00971839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ibliographie">
    <w:name w:val="Bibliography"/>
    <w:basedOn w:val="Normal"/>
    <w:next w:val="Normal"/>
    <w:uiPriority w:val="37"/>
    <w:unhideWhenUsed/>
    <w:qFormat/>
    <w:rsid w:val="00544763"/>
    <w:pPr>
      <w:tabs>
        <w:tab w:val="left" w:pos="384"/>
      </w:tabs>
      <w:spacing w:after="240" w:line="240" w:lineRule="auto"/>
      <w:ind w:left="384" w:hanging="384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E6402D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E6402D"/>
    <w:rPr>
      <w:b/>
      <w:bCs/>
    </w:rPr>
  </w:style>
  <w:style w:type="paragraph" w:styleId="Rvision">
    <w:name w:val="Revision"/>
    <w:uiPriority w:val="99"/>
    <w:semiHidden/>
    <w:qFormat/>
    <w:rsid w:val="008A2953"/>
  </w:style>
  <w:style w:type="numbering" w:customStyle="1" w:styleId="Pasdeliste">
    <w:name w:val="Pas de liste"/>
    <w:uiPriority w:val="99"/>
    <w:semiHidden/>
    <w:unhideWhenUsed/>
    <w:qFormat/>
  </w:style>
  <w:style w:type="table" w:styleId="Tableausimple3">
    <w:name w:val="Plain Table 3"/>
    <w:basedOn w:val="TableauNormal"/>
    <w:uiPriority w:val="43"/>
    <w:rsid w:val="0097183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874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</dc:creator>
  <dc:description/>
  <cp:lastModifiedBy>Mathilde</cp:lastModifiedBy>
  <cp:revision>4</cp:revision>
  <cp:lastPrinted>2024-07-09T11:18:00Z</cp:lastPrinted>
  <dcterms:created xsi:type="dcterms:W3CDTF">2026-01-29T15:40:00Z</dcterms:created>
  <dcterms:modified xsi:type="dcterms:W3CDTF">2026-06-01T15:39:00Z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id="njpqyWG1"/&gt;&lt;style id="http://www.zotero.org/styles/vancouver" locale="fr-FR" hasBibliography="1" bibliographyStyleHasBeenSet="1"/&gt;&lt;prefs&gt;&lt;pref name="fieldType" value="Field"/&gt;&lt;/prefs&gt;&lt;/data&gt;</vt:lpwstr>
  </property>
</Properties>
</file>