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01B59" w14:textId="6A3207FA" w:rsidR="00DC79C5" w:rsidRPr="003A514B" w:rsidRDefault="00DC79C5" w:rsidP="00DC79C5">
      <w:pPr>
        <w:jc w:val="center"/>
        <w:rPr>
          <w:rFonts w:ascii="Times New Roman" w:hAnsi="Times New Roman" w:cs="Times New Roman"/>
          <w:b/>
          <w:sz w:val="28"/>
          <w:szCs w:val="28"/>
        </w:rPr>
      </w:pPr>
      <w:bookmarkStart w:id="0" w:name="_GoBack"/>
      <w:bookmarkEnd w:id="0"/>
      <w:r w:rsidRPr="003A514B">
        <w:rPr>
          <w:rFonts w:ascii="Times New Roman" w:hAnsi="Times New Roman" w:cs="Times New Roman"/>
          <w:b/>
          <w:sz w:val="28"/>
          <w:szCs w:val="28"/>
        </w:rPr>
        <w:t>Supplementary Table</w:t>
      </w:r>
      <w:r w:rsidR="003A514B">
        <w:rPr>
          <w:rFonts w:ascii="Times New Roman" w:hAnsi="Times New Roman" w:cs="Times New Roman"/>
          <w:b/>
          <w:sz w:val="28"/>
          <w:szCs w:val="28"/>
        </w:rPr>
        <w:t xml:space="preserve"> </w:t>
      </w:r>
      <w:r w:rsidR="00620581">
        <w:rPr>
          <w:rFonts w:ascii="Times New Roman" w:hAnsi="Times New Roman" w:cs="Times New Roman"/>
          <w:b/>
          <w:sz w:val="28"/>
          <w:szCs w:val="28"/>
        </w:rPr>
        <w:t>S</w:t>
      </w:r>
      <w:r w:rsidRPr="003A514B">
        <w:rPr>
          <w:rFonts w:ascii="Times New Roman" w:hAnsi="Times New Roman" w:cs="Times New Roman"/>
          <w:b/>
          <w:sz w:val="28"/>
          <w:szCs w:val="28"/>
        </w:rPr>
        <w:t>1. RT-qPCR primer sequences used in this study</w:t>
      </w:r>
    </w:p>
    <w:tbl>
      <w:tblPr>
        <w:tblStyle w:val="TableGrid"/>
        <w:tblW w:w="0" w:type="auto"/>
        <w:tblInd w:w="0" w:type="dxa"/>
        <w:tblLook w:val="04A0" w:firstRow="1" w:lastRow="0" w:firstColumn="1" w:lastColumn="0" w:noHBand="0" w:noVBand="1"/>
      </w:tblPr>
      <w:tblGrid>
        <w:gridCol w:w="1218"/>
        <w:gridCol w:w="902"/>
        <w:gridCol w:w="3186"/>
        <w:gridCol w:w="3216"/>
      </w:tblGrid>
      <w:tr w:rsidR="00DC79C5" w14:paraId="50F05C9C" w14:textId="77777777" w:rsidTr="00DC79C5">
        <w:tc>
          <w:tcPr>
            <w:tcW w:w="1265" w:type="dxa"/>
            <w:tcBorders>
              <w:top w:val="single" w:sz="4" w:space="0" w:color="auto"/>
              <w:left w:val="single" w:sz="4" w:space="0" w:color="auto"/>
              <w:bottom w:val="single" w:sz="4" w:space="0" w:color="auto"/>
              <w:right w:val="single" w:sz="4" w:space="0" w:color="auto"/>
            </w:tcBorders>
            <w:hideMark/>
          </w:tcPr>
          <w:p w14:paraId="0CC5E972" w14:textId="77777777" w:rsidR="00DC79C5" w:rsidRDefault="00DC79C5">
            <w:pPr>
              <w:spacing w:after="0" w:line="240" w:lineRule="auto"/>
              <w:rPr>
                <w:rFonts w:ascii="Times New Roman" w:hAnsi="Times New Roman" w:cs="Times New Roman"/>
              </w:rPr>
            </w:pPr>
            <w:r>
              <w:rPr>
                <w:rFonts w:ascii="Times New Roman" w:hAnsi="Times New Roman" w:cs="Times New Roman"/>
                <w:b/>
              </w:rPr>
              <w:t>Gene</w:t>
            </w:r>
          </w:p>
        </w:tc>
        <w:tc>
          <w:tcPr>
            <w:tcW w:w="968" w:type="dxa"/>
            <w:tcBorders>
              <w:top w:val="single" w:sz="4" w:space="0" w:color="auto"/>
              <w:left w:val="single" w:sz="4" w:space="0" w:color="auto"/>
              <w:bottom w:val="single" w:sz="4" w:space="0" w:color="auto"/>
              <w:right w:val="single" w:sz="4" w:space="0" w:color="auto"/>
            </w:tcBorders>
            <w:hideMark/>
          </w:tcPr>
          <w:p w14:paraId="1F99722A" w14:textId="77777777" w:rsidR="00DC79C5" w:rsidRDefault="00DC79C5">
            <w:pPr>
              <w:spacing w:after="0" w:line="240" w:lineRule="auto"/>
              <w:rPr>
                <w:rFonts w:ascii="Times New Roman" w:hAnsi="Times New Roman" w:cs="Times New Roman"/>
              </w:rPr>
            </w:pPr>
            <w:r>
              <w:rPr>
                <w:rFonts w:ascii="Times New Roman" w:hAnsi="Times New Roman" w:cs="Times New Roman"/>
                <w:b/>
              </w:rPr>
              <w:t>Species</w:t>
            </w:r>
          </w:p>
        </w:tc>
        <w:tc>
          <w:tcPr>
            <w:tcW w:w="2843" w:type="dxa"/>
            <w:tcBorders>
              <w:top w:val="single" w:sz="4" w:space="0" w:color="auto"/>
              <w:left w:val="single" w:sz="4" w:space="0" w:color="auto"/>
              <w:bottom w:val="single" w:sz="4" w:space="0" w:color="auto"/>
              <w:right w:val="single" w:sz="4" w:space="0" w:color="auto"/>
            </w:tcBorders>
            <w:hideMark/>
          </w:tcPr>
          <w:p w14:paraId="5CBD6E21" w14:textId="77777777" w:rsidR="00DC79C5" w:rsidRDefault="00DC79C5">
            <w:pPr>
              <w:spacing w:after="0" w:line="240" w:lineRule="auto"/>
              <w:rPr>
                <w:rFonts w:ascii="Times New Roman" w:hAnsi="Times New Roman" w:cs="Times New Roman"/>
              </w:rPr>
            </w:pPr>
            <w:r>
              <w:rPr>
                <w:rFonts w:ascii="Times New Roman" w:hAnsi="Times New Roman" w:cs="Times New Roman"/>
                <w:b/>
              </w:rPr>
              <w:t>Forward (5′→3′)</w:t>
            </w:r>
          </w:p>
        </w:tc>
        <w:tc>
          <w:tcPr>
            <w:tcW w:w="3679" w:type="dxa"/>
            <w:tcBorders>
              <w:top w:val="single" w:sz="4" w:space="0" w:color="auto"/>
              <w:left w:val="single" w:sz="4" w:space="0" w:color="auto"/>
              <w:bottom w:val="single" w:sz="4" w:space="0" w:color="auto"/>
              <w:right w:val="single" w:sz="4" w:space="0" w:color="auto"/>
            </w:tcBorders>
            <w:hideMark/>
          </w:tcPr>
          <w:p w14:paraId="6A36BCA8" w14:textId="77777777" w:rsidR="00DC79C5" w:rsidRDefault="00DC79C5">
            <w:pPr>
              <w:spacing w:after="0" w:line="240" w:lineRule="auto"/>
              <w:rPr>
                <w:rFonts w:ascii="Times New Roman" w:hAnsi="Times New Roman" w:cs="Times New Roman"/>
              </w:rPr>
            </w:pPr>
            <w:r>
              <w:rPr>
                <w:rFonts w:ascii="Times New Roman" w:hAnsi="Times New Roman" w:cs="Times New Roman"/>
                <w:b/>
              </w:rPr>
              <w:t>Reverse (5′→3′)</w:t>
            </w:r>
          </w:p>
        </w:tc>
      </w:tr>
      <w:tr w:rsidR="00DC79C5" w14:paraId="7F3A2B07" w14:textId="77777777" w:rsidTr="00DC79C5">
        <w:tc>
          <w:tcPr>
            <w:tcW w:w="1265" w:type="dxa"/>
            <w:tcBorders>
              <w:top w:val="single" w:sz="4" w:space="0" w:color="auto"/>
              <w:left w:val="single" w:sz="4" w:space="0" w:color="auto"/>
              <w:bottom w:val="single" w:sz="4" w:space="0" w:color="auto"/>
              <w:right w:val="single" w:sz="4" w:space="0" w:color="auto"/>
            </w:tcBorders>
            <w:hideMark/>
          </w:tcPr>
          <w:p w14:paraId="301DB5DF" w14:textId="77777777" w:rsidR="00DC79C5" w:rsidRDefault="00DC79C5">
            <w:pPr>
              <w:spacing w:after="0" w:line="240" w:lineRule="auto"/>
              <w:rPr>
                <w:rFonts w:ascii="Times New Roman" w:hAnsi="Times New Roman" w:cs="Times New Roman"/>
              </w:rPr>
            </w:pPr>
            <w:r>
              <w:rPr>
                <w:rFonts w:ascii="Times New Roman" w:hAnsi="Times New Roman" w:cs="Times New Roman"/>
              </w:rPr>
              <w:t>ACAN (Aggrecan)</w:t>
            </w:r>
          </w:p>
        </w:tc>
        <w:tc>
          <w:tcPr>
            <w:tcW w:w="968" w:type="dxa"/>
            <w:tcBorders>
              <w:top w:val="single" w:sz="4" w:space="0" w:color="auto"/>
              <w:left w:val="single" w:sz="4" w:space="0" w:color="auto"/>
              <w:bottom w:val="single" w:sz="4" w:space="0" w:color="auto"/>
              <w:right w:val="single" w:sz="4" w:space="0" w:color="auto"/>
            </w:tcBorders>
            <w:hideMark/>
          </w:tcPr>
          <w:p w14:paraId="7ED706BF" w14:textId="77777777" w:rsidR="00DC79C5" w:rsidRDefault="00DC79C5">
            <w:pPr>
              <w:spacing w:after="0" w:line="240" w:lineRule="auto"/>
              <w:rPr>
                <w:rFonts w:ascii="Times New Roman" w:hAnsi="Times New Roman" w:cs="Times New Roman"/>
              </w:rPr>
            </w:pPr>
            <w:r>
              <w:rPr>
                <w:rFonts w:ascii="Times New Roman" w:hAnsi="Times New Roman" w:cs="Times New Roman"/>
              </w:rPr>
              <w:t>Rat</w:t>
            </w:r>
          </w:p>
        </w:tc>
        <w:tc>
          <w:tcPr>
            <w:tcW w:w="2843" w:type="dxa"/>
            <w:tcBorders>
              <w:top w:val="single" w:sz="4" w:space="0" w:color="auto"/>
              <w:left w:val="single" w:sz="4" w:space="0" w:color="auto"/>
              <w:bottom w:val="single" w:sz="4" w:space="0" w:color="auto"/>
              <w:right w:val="single" w:sz="4" w:space="0" w:color="auto"/>
            </w:tcBorders>
            <w:hideMark/>
          </w:tcPr>
          <w:p w14:paraId="1A2ACC51" w14:textId="77777777" w:rsidR="00DC79C5" w:rsidRDefault="00DC79C5">
            <w:pPr>
              <w:spacing w:after="0" w:line="240" w:lineRule="auto"/>
              <w:jc w:val="center"/>
              <w:rPr>
                <w:rFonts w:ascii="Times New Roman" w:hAnsi="Times New Roman" w:cs="Times New Roman"/>
              </w:rPr>
            </w:pPr>
            <w:r>
              <w:rPr>
                <w:rFonts w:ascii="Times New Roman" w:eastAsia="Microsoft YaHei" w:hAnsi="Times New Roman" w:cs="Times New Roman"/>
                <w:kern w:val="2"/>
                <w:sz w:val="21"/>
                <w:szCs w:val="21"/>
                <w:lang w:eastAsia="zh-CN"/>
              </w:rPr>
              <w:t>TCCTGCAGAGAGACATCGGA</w:t>
            </w:r>
          </w:p>
        </w:tc>
        <w:tc>
          <w:tcPr>
            <w:tcW w:w="3679" w:type="dxa"/>
            <w:tcBorders>
              <w:top w:val="single" w:sz="4" w:space="0" w:color="auto"/>
              <w:left w:val="single" w:sz="4" w:space="0" w:color="auto"/>
              <w:bottom w:val="single" w:sz="4" w:space="0" w:color="auto"/>
              <w:right w:val="single" w:sz="4" w:space="0" w:color="auto"/>
            </w:tcBorders>
            <w:hideMark/>
          </w:tcPr>
          <w:p w14:paraId="76ED0DDF" w14:textId="77777777" w:rsidR="00DC79C5" w:rsidRDefault="00DC79C5">
            <w:pPr>
              <w:spacing w:after="0" w:line="240" w:lineRule="auto"/>
              <w:rPr>
                <w:rFonts w:ascii="Times New Roman" w:hAnsi="Times New Roman" w:cs="Times New Roman"/>
              </w:rPr>
            </w:pPr>
            <w:r>
              <w:rPr>
                <w:rFonts w:ascii="Times New Roman" w:eastAsia="Microsoft YaHei" w:hAnsi="Times New Roman" w:cs="Times New Roman"/>
                <w:kern w:val="2"/>
                <w:sz w:val="21"/>
                <w:szCs w:val="21"/>
                <w:lang w:eastAsia="zh-CN"/>
              </w:rPr>
              <w:t>GGGGCGAACAAACAAGACAC</w:t>
            </w:r>
          </w:p>
        </w:tc>
      </w:tr>
      <w:tr w:rsidR="00DC79C5" w14:paraId="285AF11D" w14:textId="77777777" w:rsidTr="00DC79C5">
        <w:tc>
          <w:tcPr>
            <w:tcW w:w="1265" w:type="dxa"/>
            <w:tcBorders>
              <w:top w:val="single" w:sz="4" w:space="0" w:color="auto"/>
              <w:left w:val="single" w:sz="4" w:space="0" w:color="auto"/>
              <w:bottom w:val="single" w:sz="4" w:space="0" w:color="auto"/>
              <w:right w:val="single" w:sz="4" w:space="0" w:color="auto"/>
            </w:tcBorders>
            <w:hideMark/>
          </w:tcPr>
          <w:p w14:paraId="7591B808" w14:textId="77777777" w:rsidR="00DC79C5" w:rsidRDefault="00DC79C5">
            <w:pPr>
              <w:spacing w:after="0" w:line="240" w:lineRule="auto"/>
              <w:rPr>
                <w:rFonts w:ascii="Times New Roman" w:hAnsi="Times New Roman" w:cs="Times New Roman"/>
              </w:rPr>
            </w:pPr>
            <w:r>
              <w:rPr>
                <w:rFonts w:ascii="Times New Roman" w:hAnsi="Times New Roman" w:cs="Times New Roman"/>
              </w:rPr>
              <w:t>COL2A1</w:t>
            </w:r>
          </w:p>
        </w:tc>
        <w:tc>
          <w:tcPr>
            <w:tcW w:w="968" w:type="dxa"/>
            <w:tcBorders>
              <w:top w:val="single" w:sz="4" w:space="0" w:color="auto"/>
              <w:left w:val="single" w:sz="4" w:space="0" w:color="auto"/>
              <w:bottom w:val="single" w:sz="4" w:space="0" w:color="auto"/>
              <w:right w:val="single" w:sz="4" w:space="0" w:color="auto"/>
            </w:tcBorders>
            <w:hideMark/>
          </w:tcPr>
          <w:p w14:paraId="724DFAEC" w14:textId="77777777" w:rsidR="00DC79C5" w:rsidRDefault="00DC79C5">
            <w:pPr>
              <w:spacing w:after="0" w:line="240" w:lineRule="auto"/>
              <w:rPr>
                <w:rFonts w:ascii="Times New Roman" w:hAnsi="Times New Roman" w:cs="Times New Roman"/>
              </w:rPr>
            </w:pPr>
            <w:r>
              <w:rPr>
                <w:rFonts w:ascii="Times New Roman" w:hAnsi="Times New Roman" w:cs="Times New Roman"/>
              </w:rPr>
              <w:t>Rat</w:t>
            </w:r>
          </w:p>
        </w:tc>
        <w:tc>
          <w:tcPr>
            <w:tcW w:w="2843" w:type="dxa"/>
            <w:tcBorders>
              <w:top w:val="single" w:sz="4" w:space="0" w:color="auto"/>
              <w:left w:val="single" w:sz="4" w:space="0" w:color="auto"/>
              <w:bottom w:val="single" w:sz="4" w:space="0" w:color="auto"/>
              <w:right w:val="single" w:sz="4" w:space="0" w:color="auto"/>
            </w:tcBorders>
            <w:hideMark/>
          </w:tcPr>
          <w:p w14:paraId="34A01EDB" w14:textId="77777777" w:rsidR="00DC79C5" w:rsidRDefault="00DC79C5">
            <w:pPr>
              <w:spacing w:after="0" w:line="240" w:lineRule="auto"/>
              <w:rPr>
                <w:rFonts w:ascii="Times New Roman" w:hAnsi="Times New Roman" w:cs="Times New Roman"/>
              </w:rPr>
            </w:pPr>
            <w:r>
              <w:rPr>
                <w:rFonts w:ascii="Times New Roman" w:eastAsia="Microsoft YaHei" w:hAnsi="Times New Roman" w:cs="Times New Roman"/>
                <w:kern w:val="2"/>
                <w:sz w:val="21"/>
                <w:szCs w:val="21"/>
                <w:lang w:eastAsia="zh-CN"/>
              </w:rPr>
              <w:t>TTGTCTGAATGGAGCCACCTG</w:t>
            </w:r>
          </w:p>
        </w:tc>
        <w:tc>
          <w:tcPr>
            <w:tcW w:w="3679" w:type="dxa"/>
            <w:tcBorders>
              <w:top w:val="single" w:sz="4" w:space="0" w:color="auto"/>
              <w:left w:val="single" w:sz="4" w:space="0" w:color="auto"/>
              <w:bottom w:val="single" w:sz="4" w:space="0" w:color="auto"/>
              <w:right w:val="single" w:sz="4" w:space="0" w:color="auto"/>
            </w:tcBorders>
            <w:hideMark/>
          </w:tcPr>
          <w:p w14:paraId="7DCC796B" w14:textId="77777777" w:rsidR="00DC79C5" w:rsidRDefault="00DC79C5">
            <w:pPr>
              <w:spacing w:after="0" w:line="240" w:lineRule="auto"/>
              <w:rPr>
                <w:rFonts w:ascii="Times New Roman" w:hAnsi="Times New Roman" w:cs="Times New Roman"/>
              </w:rPr>
            </w:pPr>
            <w:r>
              <w:rPr>
                <w:rFonts w:ascii="Times New Roman" w:eastAsia="Microsoft YaHei" w:hAnsi="Times New Roman" w:cs="Times New Roman"/>
                <w:kern w:val="2"/>
                <w:sz w:val="21"/>
                <w:szCs w:val="21"/>
                <w:lang w:eastAsia="zh-CN"/>
              </w:rPr>
              <w:t>TCCTCACATTGCTCCTGGTC</w:t>
            </w:r>
          </w:p>
        </w:tc>
      </w:tr>
      <w:tr w:rsidR="00DC79C5" w14:paraId="303F9885" w14:textId="77777777" w:rsidTr="00DC79C5">
        <w:tc>
          <w:tcPr>
            <w:tcW w:w="1265" w:type="dxa"/>
            <w:tcBorders>
              <w:top w:val="single" w:sz="4" w:space="0" w:color="auto"/>
              <w:left w:val="single" w:sz="4" w:space="0" w:color="auto"/>
              <w:bottom w:val="single" w:sz="4" w:space="0" w:color="auto"/>
              <w:right w:val="single" w:sz="4" w:space="0" w:color="auto"/>
            </w:tcBorders>
            <w:hideMark/>
          </w:tcPr>
          <w:p w14:paraId="43E0A719" w14:textId="77777777" w:rsidR="00DC79C5" w:rsidRDefault="00DC79C5">
            <w:pPr>
              <w:spacing w:after="0" w:line="240" w:lineRule="auto"/>
              <w:rPr>
                <w:rFonts w:ascii="Times New Roman" w:hAnsi="Times New Roman" w:cs="Times New Roman"/>
              </w:rPr>
            </w:pPr>
            <w:r>
              <w:rPr>
                <w:rFonts w:ascii="Times New Roman" w:hAnsi="Times New Roman" w:cs="Times New Roman"/>
              </w:rPr>
              <w:t>SOX9</w:t>
            </w:r>
          </w:p>
        </w:tc>
        <w:tc>
          <w:tcPr>
            <w:tcW w:w="968" w:type="dxa"/>
            <w:tcBorders>
              <w:top w:val="single" w:sz="4" w:space="0" w:color="auto"/>
              <w:left w:val="single" w:sz="4" w:space="0" w:color="auto"/>
              <w:bottom w:val="single" w:sz="4" w:space="0" w:color="auto"/>
              <w:right w:val="single" w:sz="4" w:space="0" w:color="auto"/>
            </w:tcBorders>
            <w:hideMark/>
          </w:tcPr>
          <w:p w14:paraId="1C774173" w14:textId="77777777" w:rsidR="00DC79C5" w:rsidRDefault="00DC79C5">
            <w:pPr>
              <w:spacing w:after="0" w:line="240" w:lineRule="auto"/>
              <w:rPr>
                <w:rFonts w:ascii="Times New Roman" w:hAnsi="Times New Roman" w:cs="Times New Roman"/>
              </w:rPr>
            </w:pPr>
            <w:r>
              <w:rPr>
                <w:rFonts w:ascii="Times New Roman" w:hAnsi="Times New Roman" w:cs="Times New Roman"/>
              </w:rPr>
              <w:t>Rat</w:t>
            </w:r>
          </w:p>
        </w:tc>
        <w:tc>
          <w:tcPr>
            <w:tcW w:w="2843" w:type="dxa"/>
            <w:tcBorders>
              <w:top w:val="single" w:sz="4" w:space="0" w:color="auto"/>
              <w:left w:val="single" w:sz="4" w:space="0" w:color="auto"/>
              <w:bottom w:val="single" w:sz="4" w:space="0" w:color="auto"/>
              <w:right w:val="single" w:sz="4" w:space="0" w:color="auto"/>
            </w:tcBorders>
            <w:hideMark/>
          </w:tcPr>
          <w:p w14:paraId="2616AAAD" w14:textId="77777777" w:rsidR="00DC79C5" w:rsidRDefault="00DC79C5">
            <w:pPr>
              <w:spacing w:after="0" w:line="240" w:lineRule="auto"/>
              <w:rPr>
                <w:rFonts w:ascii="Times New Roman" w:hAnsi="Times New Roman" w:cs="Times New Roman"/>
              </w:rPr>
            </w:pPr>
            <w:r>
              <w:rPr>
                <w:rFonts w:ascii="Times New Roman" w:eastAsia="Microsoft YaHei" w:hAnsi="Times New Roman" w:cs="Times New Roman"/>
                <w:kern w:val="2"/>
                <w:sz w:val="21"/>
                <w:szCs w:val="21"/>
                <w:lang w:eastAsia="zh-CN"/>
              </w:rPr>
              <w:t>AGGGGACTCACGTTTGGGTA</w:t>
            </w:r>
          </w:p>
        </w:tc>
        <w:tc>
          <w:tcPr>
            <w:tcW w:w="3679" w:type="dxa"/>
            <w:tcBorders>
              <w:top w:val="single" w:sz="4" w:space="0" w:color="auto"/>
              <w:left w:val="single" w:sz="4" w:space="0" w:color="auto"/>
              <w:bottom w:val="single" w:sz="4" w:space="0" w:color="auto"/>
              <w:right w:val="single" w:sz="4" w:space="0" w:color="auto"/>
            </w:tcBorders>
            <w:hideMark/>
          </w:tcPr>
          <w:p w14:paraId="4E9E76C7" w14:textId="77777777" w:rsidR="00DC79C5" w:rsidRDefault="00DC79C5">
            <w:pPr>
              <w:spacing w:after="0" w:line="240" w:lineRule="auto"/>
              <w:rPr>
                <w:rFonts w:ascii="Times New Roman" w:hAnsi="Times New Roman" w:cs="Times New Roman"/>
              </w:rPr>
            </w:pPr>
            <w:r>
              <w:rPr>
                <w:rFonts w:ascii="Times New Roman" w:eastAsia="Microsoft YaHei" w:hAnsi="Times New Roman" w:cs="Times New Roman"/>
                <w:kern w:val="2"/>
                <w:sz w:val="21"/>
                <w:szCs w:val="21"/>
                <w:lang w:eastAsia="zh-CN"/>
              </w:rPr>
              <w:t>CCCTGAAGCCTGATCCAAGT</w:t>
            </w:r>
          </w:p>
        </w:tc>
      </w:tr>
      <w:tr w:rsidR="00DC79C5" w14:paraId="036DFC86" w14:textId="77777777" w:rsidTr="00DC79C5">
        <w:trPr>
          <w:trHeight w:val="440"/>
        </w:trPr>
        <w:tc>
          <w:tcPr>
            <w:tcW w:w="1265" w:type="dxa"/>
            <w:tcBorders>
              <w:top w:val="single" w:sz="4" w:space="0" w:color="auto"/>
              <w:left w:val="single" w:sz="4" w:space="0" w:color="auto"/>
              <w:bottom w:val="single" w:sz="4" w:space="0" w:color="auto"/>
              <w:right w:val="single" w:sz="4" w:space="0" w:color="auto"/>
            </w:tcBorders>
            <w:hideMark/>
          </w:tcPr>
          <w:p w14:paraId="12CAF332" w14:textId="77777777" w:rsidR="00DC79C5" w:rsidRDefault="00DC79C5">
            <w:pPr>
              <w:spacing w:after="0" w:line="240" w:lineRule="auto"/>
              <w:rPr>
                <w:rFonts w:ascii="Times New Roman" w:hAnsi="Times New Roman" w:cs="Times New Roman"/>
              </w:rPr>
            </w:pPr>
            <w:r>
              <w:rPr>
                <w:rFonts w:ascii="Times New Roman" w:hAnsi="Times New Roman" w:cs="Times New Roman"/>
              </w:rPr>
              <w:t>COL10A1</w:t>
            </w:r>
          </w:p>
        </w:tc>
        <w:tc>
          <w:tcPr>
            <w:tcW w:w="968" w:type="dxa"/>
            <w:tcBorders>
              <w:top w:val="single" w:sz="4" w:space="0" w:color="auto"/>
              <w:left w:val="single" w:sz="4" w:space="0" w:color="auto"/>
              <w:bottom w:val="single" w:sz="4" w:space="0" w:color="auto"/>
              <w:right w:val="single" w:sz="4" w:space="0" w:color="auto"/>
            </w:tcBorders>
            <w:hideMark/>
          </w:tcPr>
          <w:p w14:paraId="0EE08694" w14:textId="77777777" w:rsidR="00DC79C5" w:rsidRDefault="00DC79C5">
            <w:pPr>
              <w:spacing w:after="0" w:line="240" w:lineRule="auto"/>
              <w:rPr>
                <w:rFonts w:ascii="Times New Roman" w:hAnsi="Times New Roman" w:cs="Times New Roman"/>
              </w:rPr>
            </w:pPr>
            <w:r>
              <w:rPr>
                <w:rFonts w:ascii="Times New Roman" w:hAnsi="Times New Roman" w:cs="Times New Roman"/>
              </w:rPr>
              <w:t>Rat</w:t>
            </w:r>
          </w:p>
        </w:tc>
        <w:tc>
          <w:tcPr>
            <w:tcW w:w="2843" w:type="dxa"/>
            <w:tcBorders>
              <w:top w:val="single" w:sz="4" w:space="0" w:color="auto"/>
              <w:left w:val="single" w:sz="4" w:space="0" w:color="auto"/>
              <w:bottom w:val="single" w:sz="4" w:space="0" w:color="auto"/>
              <w:right w:val="single" w:sz="4" w:space="0" w:color="auto"/>
            </w:tcBorders>
            <w:hideMark/>
          </w:tcPr>
          <w:p w14:paraId="5697A532" w14:textId="77777777" w:rsidR="00DC79C5" w:rsidRDefault="00DC79C5">
            <w:pPr>
              <w:spacing w:after="0" w:line="240" w:lineRule="auto"/>
              <w:rPr>
                <w:rFonts w:ascii="Times New Roman" w:hAnsi="Times New Roman" w:cs="Times New Roman"/>
              </w:rPr>
            </w:pPr>
            <w:r>
              <w:rPr>
                <w:rFonts w:ascii="Times New Roman" w:hAnsi="Times New Roman" w:cs="Times New Roman"/>
              </w:rPr>
              <w:t>TGTTGACATTGCACCCATGG</w:t>
            </w:r>
          </w:p>
        </w:tc>
        <w:tc>
          <w:tcPr>
            <w:tcW w:w="3679" w:type="dxa"/>
            <w:tcBorders>
              <w:top w:val="single" w:sz="4" w:space="0" w:color="auto"/>
              <w:left w:val="single" w:sz="4" w:space="0" w:color="auto"/>
              <w:bottom w:val="single" w:sz="4" w:space="0" w:color="auto"/>
              <w:right w:val="single" w:sz="4" w:space="0" w:color="auto"/>
            </w:tcBorders>
            <w:hideMark/>
          </w:tcPr>
          <w:p w14:paraId="12A9494E" w14:textId="77777777" w:rsidR="00DC79C5" w:rsidRDefault="00DC79C5">
            <w:pPr>
              <w:spacing w:after="0" w:line="240" w:lineRule="auto"/>
              <w:rPr>
                <w:rFonts w:ascii="Times New Roman" w:hAnsi="Times New Roman" w:cs="Times New Roman"/>
              </w:rPr>
            </w:pPr>
            <w:r>
              <w:rPr>
                <w:rFonts w:ascii="Times New Roman" w:hAnsi="Times New Roman" w:cs="Times New Roman"/>
              </w:rPr>
              <w:t>CAGCCATTCAGTGCAGATCC</w:t>
            </w:r>
          </w:p>
        </w:tc>
      </w:tr>
    </w:tbl>
    <w:p w14:paraId="29AE2AC1" w14:textId="63173DF8" w:rsidR="002043BE" w:rsidRDefault="00E72BA5"/>
    <w:p w14:paraId="40E712E0" w14:textId="5D567F03" w:rsidR="006D137C" w:rsidRPr="003A514B" w:rsidRDefault="003A514B" w:rsidP="003A514B">
      <w:pPr>
        <w:jc w:val="center"/>
        <w:rPr>
          <w:rFonts w:ascii="Times New Roman" w:hAnsi="Times New Roman" w:cs="Times New Roman"/>
          <w:b/>
          <w:sz w:val="28"/>
          <w:szCs w:val="28"/>
        </w:rPr>
      </w:pPr>
      <w:r w:rsidRPr="003A514B">
        <w:rPr>
          <w:rFonts w:ascii="Times New Roman" w:hAnsi="Times New Roman" w:cs="Times New Roman"/>
          <w:b/>
          <w:sz w:val="28"/>
          <w:szCs w:val="28"/>
        </w:rPr>
        <w:t xml:space="preserve">Supplementary </w:t>
      </w:r>
      <w:r>
        <w:rPr>
          <w:rFonts w:ascii="Times New Roman" w:hAnsi="Times New Roman" w:cs="Times New Roman"/>
          <w:b/>
          <w:sz w:val="28"/>
          <w:szCs w:val="28"/>
        </w:rPr>
        <w:t xml:space="preserve">Figure </w:t>
      </w:r>
      <w:r w:rsidR="00620581">
        <w:rPr>
          <w:rFonts w:ascii="Times New Roman" w:hAnsi="Times New Roman" w:cs="Times New Roman"/>
          <w:b/>
          <w:sz w:val="28"/>
          <w:szCs w:val="28"/>
        </w:rPr>
        <w:t>S</w:t>
      </w:r>
      <w:r w:rsidRPr="003A514B">
        <w:rPr>
          <w:rFonts w:ascii="Times New Roman" w:hAnsi="Times New Roman" w:cs="Times New Roman"/>
          <w:b/>
          <w:sz w:val="28"/>
          <w:szCs w:val="28"/>
        </w:rPr>
        <w:t>1</w:t>
      </w:r>
      <w:r w:rsidR="006D137C" w:rsidRPr="003A514B">
        <w:rPr>
          <w:rFonts w:ascii="Times New Roman" w:hAnsi="Times New Roman" w:cs="Times New Roman"/>
          <w:b/>
          <w:sz w:val="28"/>
          <w:szCs w:val="28"/>
        </w:rPr>
        <w:t>. Early in vitro degradation profiles of acellular,</w:t>
      </w:r>
      <w:r w:rsidRPr="003A514B">
        <w:rPr>
          <w:rFonts w:ascii="Times New Roman" w:hAnsi="Times New Roman" w:cs="Times New Roman"/>
          <w:b/>
          <w:sz w:val="28"/>
          <w:szCs w:val="28"/>
        </w:rPr>
        <w:t xml:space="preserve"> </w:t>
      </w:r>
      <w:r w:rsidR="006D137C" w:rsidRPr="003A514B">
        <w:rPr>
          <w:rFonts w:ascii="Times New Roman" w:hAnsi="Times New Roman" w:cs="Times New Roman"/>
          <w:b/>
          <w:sz w:val="28"/>
          <w:szCs w:val="28"/>
        </w:rPr>
        <w:t>chondrocyte-laden, and CO-laden constructs.</w:t>
      </w:r>
    </w:p>
    <w:p w14:paraId="0EC18C1D" w14:textId="7DEE13F3" w:rsidR="006D137C" w:rsidRPr="003A514B" w:rsidRDefault="003A514B" w:rsidP="006D137C">
      <w:pPr>
        <w:rPr>
          <w:sz w:val="28"/>
          <w:szCs w:val="28"/>
        </w:rPr>
      </w:pPr>
      <w:r w:rsidRPr="003A514B">
        <w:rPr>
          <w:noProof/>
          <w:sz w:val="28"/>
          <w:szCs w:val="28"/>
          <w:lang w:val="en-IN" w:eastAsia="en-IN"/>
        </w:rPr>
        <w:drawing>
          <wp:inline distT="0" distB="0" distL="0" distR="0" wp14:anchorId="31806018" wp14:editId="392A73DB">
            <wp:extent cx="5314950" cy="3597026"/>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 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25235" cy="3603987"/>
                    </a:xfrm>
                    <a:prstGeom prst="rect">
                      <a:avLst/>
                    </a:prstGeom>
                  </pic:spPr>
                </pic:pic>
              </a:graphicData>
            </a:graphic>
          </wp:inline>
        </w:drawing>
      </w:r>
    </w:p>
    <w:p w14:paraId="0DB14F41" w14:textId="20DE79D8" w:rsidR="006D137C" w:rsidRDefault="006D137C" w:rsidP="006D137C">
      <w:pPr>
        <w:rPr>
          <w:rFonts w:ascii="Times New Roman" w:hAnsi="Times New Roman" w:cs="Times New Roman"/>
          <w:sz w:val="28"/>
          <w:szCs w:val="28"/>
        </w:rPr>
      </w:pPr>
      <w:r w:rsidRPr="003A514B">
        <w:rPr>
          <w:rFonts w:ascii="Times New Roman" w:hAnsi="Times New Roman" w:cs="Times New Roman"/>
          <w:sz w:val="28"/>
          <w:szCs w:val="28"/>
        </w:rPr>
        <w:t>Fig. S1. Early in vitro degradation profiles of acellular, chondrocyte-laden, and CO-laden constructs. The degradation behavior of the printed constructs was evaluated over 14 days in vitro by measuring the remaining mass after gently removing excess surface liquid. The acellular group showed the slowest mass loss, whereas the cell-laden groups exhibited faster degradation, with the CO-laden group showing the most pronounced decrease in remaining mass during the observation period.</w:t>
      </w:r>
    </w:p>
    <w:p w14:paraId="11F52704" w14:textId="04E68C3D" w:rsidR="00F16BB7" w:rsidRDefault="00F16BB7" w:rsidP="006D137C">
      <w:pPr>
        <w:rPr>
          <w:rFonts w:ascii="Times New Roman" w:hAnsi="Times New Roman" w:cs="Times New Roman"/>
          <w:sz w:val="28"/>
          <w:szCs w:val="28"/>
        </w:rPr>
      </w:pPr>
    </w:p>
    <w:p w14:paraId="18F6982A" w14:textId="1C68F357" w:rsidR="00F16BB7" w:rsidRPr="00F16BB7" w:rsidRDefault="00F16BB7" w:rsidP="00F16BB7">
      <w:pPr>
        <w:jc w:val="center"/>
        <w:rPr>
          <w:rFonts w:ascii="Times New Roman" w:hAnsi="Times New Roman" w:cs="Times New Roman"/>
          <w:b/>
          <w:sz w:val="28"/>
          <w:szCs w:val="28"/>
        </w:rPr>
      </w:pPr>
      <w:bookmarkStart w:id="1" w:name="_Hlk224134814"/>
      <w:r w:rsidRPr="00F16BB7">
        <w:rPr>
          <w:rFonts w:ascii="Times New Roman" w:hAnsi="Times New Roman" w:cs="Times New Roman"/>
          <w:b/>
          <w:sz w:val="28"/>
          <w:szCs w:val="28"/>
        </w:rPr>
        <w:t xml:space="preserve">Supplementary Figure </w:t>
      </w:r>
      <w:r w:rsidR="00620581">
        <w:rPr>
          <w:rFonts w:ascii="Times New Roman" w:hAnsi="Times New Roman" w:cs="Times New Roman"/>
          <w:b/>
          <w:sz w:val="28"/>
          <w:szCs w:val="28"/>
        </w:rPr>
        <w:t>S</w:t>
      </w:r>
      <w:r w:rsidRPr="00F16BB7">
        <w:rPr>
          <w:rFonts w:ascii="Times New Roman" w:hAnsi="Times New Roman" w:cs="Times New Roman"/>
          <w:b/>
          <w:sz w:val="28"/>
          <w:szCs w:val="28"/>
        </w:rPr>
        <w:t>2</w:t>
      </w:r>
      <w:bookmarkEnd w:id="1"/>
      <w:r w:rsidRPr="00F16BB7">
        <w:rPr>
          <w:rFonts w:ascii="Times New Roman" w:hAnsi="Times New Roman" w:cs="Times New Roman"/>
          <w:b/>
          <w:sz w:val="28"/>
          <w:szCs w:val="28"/>
        </w:rPr>
        <w:t>. Total DNA quantification of printed chondrocyte-laden and CO-laden constructs after complete digestion.</w:t>
      </w:r>
    </w:p>
    <w:p w14:paraId="5EFF7A04" w14:textId="35D25F3A" w:rsidR="00F16BB7" w:rsidRPr="00F16BB7" w:rsidRDefault="00F16BB7" w:rsidP="00F16BB7">
      <w:pPr>
        <w:jc w:val="center"/>
        <w:rPr>
          <w:rFonts w:ascii="Times New Roman" w:hAnsi="Times New Roman" w:cs="Times New Roman"/>
          <w:sz w:val="28"/>
          <w:szCs w:val="28"/>
        </w:rPr>
      </w:pPr>
      <w:r>
        <w:rPr>
          <w:rFonts w:ascii="Times New Roman" w:hAnsi="Times New Roman" w:cs="Times New Roman"/>
          <w:noProof/>
          <w:sz w:val="28"/>
          <w:szCs w:val="28"/>
          <w:lang w:val="en-IN" w:eastAsia="en-IN"/>
        </w:rPr>
        <w:drawing>
          <wp:inline distT="0" distB="0" distL="0" distR="0" wp14:anchorId="629BFFD2" wp14:editId="211379E1">
            <wp:extent cx="2298700" cy="3235670"/>
            <wp:effectExtent l="0" t="0" r="635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未命名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2412" cy="3240896"/>
                    </a:xfrm>
                    <a:prstGeom prst="rect">
                      <a:avLst/>
                    </a:prstGeom>
                  </pic:spPr>
                </pic:pic>
              </a:graphicData>
            </a:graphic>
          </wp:inline>
        </w:drawing>
      </w:r>
    </w:p>
    <w:p w14:paraId="41EA7C63" w14:textId="3B91F9B0" w:rsidR="00F16BB7" w:rsidRPr="003A514B" w:rsidRDefault="00F16BB7" w:rsidP="00F16BB7">
      <w:pPr>
        <w:rPr>
          <w:rFonts w:ascii="Times New Roman" w:hAnsi="Times New Roman" w:cs="Times New Roman"/>
          <w:sz w:val="28"/>
          <w:szCs w:val="28"/>
        </w:rPr>
      </w:pPr>
      <w:r w:rsidRPr="00F16BB7">
        <w:rPr>
          <w:rFonts w:ascii="Times New Roman" w:hAnsi="Times New Roman" w:cs="Times New Roman"/>
          <w:sz w:val="28"/>
          <w:szCs w:val="28"/>
        </w:rPr>
        <w:t>Fig. S2. Total DNA quantification of printed chondrocyte-laden and CO-laden constructs after complete digestion. To compare the total cellular content of the printed constructs, chondrocyte-laden and CO-laden constructs were fully digested with collagenase, and the released cells/organoids were collected for DNA quantification. No significant difference in total DNA content was observed between the two groups, suggesting that the superior performance of the CO-laden constructs was unlikely to be explained simply by differences in effective cell dose. Data are presented as mean ± SD; ns, not significant.</w:t>
      </w:r>
    </w:p>
    <w:sectPr w:rsidR="00F16BB7" w:rsidRPr="003A514B" w:rsidSect="00E72B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89246" w14:textId="77777777" w:rsidR="00075D08" w:rsidRDefault="00075D08" w:rsidP="00DC79C5">
      <w:pPr>
        <w:spacing w:after="0" w:line="240" w:lineRule="auto"/>
      </w:pPr>
      <w:r>
        <w:separator/>
      </w:r>
    </w:p>
  </w:endnote>
  <w:endnote w:type="continuationSeparator" w:id="0">
    <w:p w14:paraId="14F7BEFB" w14:textId="77777777" w:rsidR="00075D08" w:rsidRDefault="00075D08" w:rsidP="00DC7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0E7608" w14:textId="77777777" w:rsidR="00075D08" w:rsidRDefault="00075D08" w:rsidP="00DC79C5">
      <w:pPr>
        <w:spacing w:after="0" w:line="240" w:lineRule="auto"/>
      </w:pPr>
      <w:r>
        <w:separator/>
      </w:r>
    </w:p>
  </w:footnote>
  <w:footnote w:type="continuationSeparator" w:id="0">
    <w:p w14:paraId="51E60327" w14:textId="77777777" w:rsidR="00075D08" w:rsidRDefault="00075D08" w:rsidP="00DC79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D06"/>
    <w:rsid w:val="00075D08"/>
    <w:rsid w:val="00097E43"/>
    <w:rsid w:val="000D3931"/>
    <w:rsid w:val="003A514B"/>
    <w:rsid w:val="0060514C"/>
    <w:rsid w:val="00620581"/>
    <w:rsid w:val="006D137C"/>
    <w:rsid w:val="00837518"/>
    <w:rsid w:val="009474C9"/>
    <w:rsid w:val="00AA4D06"/>
    <w:rsid w:val="00BE0120"/>
    <w:rsid w:val="00C353BC"/>
    <w:rsid w:val="00C822E0"/>
    <w:rsid w:val="00D924D1"/>
    <w:rsid w:val="00DC79C5"/>
    <w:rsid w:val="00E72BA5"/>
    <w:rsid w:val="00F16BB7"/>
    <w:rsid w:val="00FF21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F8D895"/>
  <w15:chartTrackingRefBased/>
  <w15:docId w15:val="{596D336D-6DD5-43B5-80ED-DE2DAB34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9C5"/>
    <w:pPr>
      <w:spacing w:after="200" w:line="276" w:lineRule="auto"/>
    </w:pPr>
    <w:rPr>
      <w:kern w:val="0"/>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9C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DC79C5"/>
    <w:rPr>
      <w:sz w:val="18"/>
      <w:szCs w:val="18"/>
    </w:rPr>
  </w:style>
  <w:style w:type="paragraph" w:styleId="Footer">
    <w:name w:val="footer"/>
    <w:basedOn w:val="Normal"/>
    <w:link w:val="FooterChar"/>
    <w:uiPriority w:val="99"/>
    <w:unhideWhenUsed/>
    <w:rsid w:val="00DC79C5"/>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DC79C5"/>
    <w:rPr>
      <w:sz w:val="18"/>
      <w:szCs w:val="18"/>
    </w:rPr>
  </w:style>
  <w:style w:type="table" w:styleId="TableGrid">
    <w:name w:val="Table Grid"/>
    <w:basedOn w:val="TableNormal"/>
    <w:uiPriority w:val="59"/>
    <w:rsid w:val="00DC79C5"/>
    <w:rPr>
      <w:rFonts w:eastAsia="Times New Roman"/>
      <w:kern w:val="0"/>
      <w:sz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35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1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cyx</dc:creator>
  <cp:keywords/>
  <dc:description/>
  <cp:lastModifiedBy>Rajalakshmi Thangaraj</cp:lastModifiedBy>
  <cp:revision>3</cp:revision>
  <dcterms:created xsi:type="dcterms:W3CDTF">2026-06-30T09:10:00Z</dcterms:created>
  <dcterms:modified xsi:type="dcterms:W3CDTF">2026-06-30T09:10:00Z</dcterms:modified>
</cp:coreProperties>
</file>