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3B86F" w14:textId="13D620F8" w:rsidR="00E425C7" w:rsidRPr="00B573C1" w:rsidRDefault="00000000">
      <w:pPr>
        <w:spacing w:after="120"/>
      </w:pPr>
      <w:r w:rsidRPr="00B573C1">
        <w:rPr>
          <w:rFonts w:eastAsia="Calibri"/>
          <w:b/>
          <w:bCs/>
          <w:sz w:val="24"/>
          <w:szCs w:val="24"/>
        </w:rPr>
        <w:t>Table S1.</w:t>
      </w:r>
    </w:p>
    <w:p w14:paraId="16476FAA" w14:textId="76727131" w:rsidR="00E425C7" w:rsidRPr="003C1472" w:rsidRDefault="00000000">
      <w:pPr>
        <w:spacing w:after="240"/>
        <w:rPr>
          <w:b/>
          <w:bCs/>
          <w:sz w:val="21"/>
          <w:szCs w:val="21"/>
        </w:rPr>
      </w:pPr>
      <w:r w:rsidRPr="003C1472">
        <w:rPr>
          <w:rFonts w:eastAsia="Calibri"/>
          <w:b/>
          <w:bCs/>
          <w:sz w:val="21"/>
          <w:szCs w:val="21"/>
        </w:rPr>
        <w:t xml:space="preserve">Comparative overview of iPSC/HSPC-derived T-lineage and hematopoietic </w:t>
      </w:r>
      <w:r w:rsidR="002E7FB9" w:rsidRPr="003C1472">
        <w:rPr>
          <w:rFonts w:hint="eastAsia"/>
          <w:b/>
          <w:bCs/>
          <w:sz w:val="21"/>
          <w:szCs w:val="21"/>
        </w:rPr>
        <w:t>niche</w:t>
      </w:r>
      <w:r w:rsidRPr="003C1472">
        <w:rPr>
          <w:rFonts w:eastAsia="Calibri"/>
          <w:b/>
          <w:bCs/>
          <w:sz w:val="21"/>
          <w:szCs w:val="21"/>
        </w:rPr>
        <w:t xml:space="preserve"> platforms.</w:t>
      </w:r>
    </w:p>
    <w:tbl>
      <w:tblPr>
        <w:tblStyle w:val="20"/>
        <w:tblW w:w="10800" w:type="dxa"/>
        <w:tblLook w:val="04A0" w:firstRow="1" w:lastRow="0" w:firstColumn="1" w:lastColumn="0" w:noHBand="0" w:noVBand="1"/>
      </w:tblPr>
      <w:tblGrid>
        <w:gridCol w:w="1843"/>
        <w:gridCol w:w="3278"/>
        <w:gridCol w:w="2827"/>
        <w:gridCol w:w="2852"/>
      </w:tblGrid>
      <w:tr w:rsidR="00E425C7" w:rsidRPr="003C1472" w14:paraId="0859A28E" w14:textId="77777777" w:rsidTr="007F4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D939177" w14:textId="3C23FF29" w:rsidR="00E425C7" w:rsidRPr="003C1472" w:rsidRDefault="002E7FB9" w:rsidP="002E7FB9">
            <w:pPr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Category</w:t>
            </w:r>
          </w:p>
        </w:tc>
        <w:tc>
          <w:tcPr>
            <w:tcW w:w="3278" w:type="dxa"/>
          </w:tcPr>
          <w:p w14:paraId="7D46C0C7" w14:textId="77777777" w:rsidR="00E425C7" w:rsidRPr="003C1472" w:rsidRDefault="00000000" w:rsidP="002E7F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 w:val="0"/>
                <w:bCs w:val="0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OP9-DL1/DL4</w:t>
            </w:r>
          </w:p>
          <w:p w14:paraId="3DDB0740" w14:textId="6E864BF2" w:rsidR="00B573C1" w:rsidRPr="003C1472" w:rsidRDefault="00B573C1" w:rsidP="002E7F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 w:val="0"/>
                <w:bCs w:val="0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Schmitt, T.M. &amp; Zúñiga-Pflücker, 2002 [8], 2006 [25]</w:t>
            </w:r>
          </w:p>
          <w:p w14:paraId="314071BA" w14:textId="25F3E5A0" w:rsidR="00B573C1" w:rsidRPr="003C1472" w:rsidRDefault="00B573C1" w:rsidP="002E7F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La Motte-Mohs et al., 2005 [39]</w:t>
            </w:r>
          </w:p>
        </w:tc>
        <w:tc>
          <w:tcPr>
            <w:tcW w:w="2827" w:type="dxa"/>
          </w:tcPr>
          <w:p w14:paraId="06FE8D7B" w14:textId="4C008AF4" w:rsidR="00E425C7" w:rsidRPr="003C1472" w:rsidRDefault="00B573C1" w:rsidP="002E7F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 w:val="0"/>
                <w:bCs w:val="0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Artificial Thymic Organoids (ATO</w:t>
            </w:r>
            <w:r w:rsidR="002E7FB9" w:rsidRPr="003C1472">
              <w:rPr>
                <w:rFonts w:hint="eastAsia"/>
                <w:sz w:val="21"/>
                <w:szCs w:val="21"/>
              </w:rPr>
              <w:t>s</w:t>
            </w:r>
            <w:r w:rsidRPr="003C1472">
              <w:rPr>
                <w:rFonts w:eastAsia="Calibri"/>
                <w:sz w:val="21"/>
                <w:szCs w:val="21"/>
              </w:rPr>
              <w:t>)</w:t>
            </w:r>
          </w:p>
          <w:p w14:paraId="1057AAD7" w14:textId="5242684B" w:rsidR="00B573C1" w:rsidRPr="003C1472" w:rsidRDefault="00B573C1" w:rsidP="002E7F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Seet et al., 2017 [40]</w:t>
            </w:r>
          </w:p>
        </w:tc>
        <w:tc>
          <w:tcPr>
            <w:tcW w:w="2852" w:type="dxa"/>
          </w:tcPr>
          <w:p w14:paraId="5D6196B8" w14:textId="77777777" w:rsidR="00E425C7" w:rsidRPr="003C1472" w:rsidRDefault="00000000" w:rsidP="002E7F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iBMO/iBOSS</w:t>
            </w:r>
          </w:p>
          <w:p w14:paraId="0E41AB69" w14:textId="54D1C174" w:rsidR="002E7FB9" w:rsidRPr="003C1472" w:rsidRDefault="002E7FB9" w:rsidP="002E7F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hint="eastAsia"/>
                <w:sz w:val="21"/>
                <w:szCs w:val="21"/>
              </w:rPr>
              <w:t>This study</w:t>
            </w:r>
          </w:p>
        </w:tc>
      </w:tr>
      <w:tr w:rsidR="00E425C7" w:rsidRPr="003C1472" w14:paraId="549BB135" w14:textId="77777777" w:rsidTr="007F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1BDD908" w14:textId="77777777" w:rsidR="00E425C7" w:rsidRPr="003C1472" w:rsidRDefault="00000000">
            <w:pPr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Niche source</w:t>
            </w:r>
          </w:p>
        </w:tc>
        <w:tc>
          <w:tcPr>
            <w:tcW w:w="3278" w:type="dxa"/>
          </w:tcPr>
          <w:p w14:paraId="1B3BF1A2" w14:textId="22D84797" w:rsidR="00E425C7" w:rsidRPr="003C147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M</w:t>
            </w:r>
            <w:r w:rsidR="002E7FB9" w:rsidRPr="003C1472">
              <w:rPr>
                <w:rFonts w:hint="eastAsia"/>
                <w:sz w:val="21"/>
                <w:szCs w:val="21"/>
              </w:rPr>
              <w:t>urine OP9</w:t>
            </w:r>
            <w:r w:rsidRPr="003C1472">
              <w:rPr>
                <w:rFonts w:eastAsia="Calibri"/>
                <w:sz w:val="21"/>
                <w:szCs w:val="21"/>
              </w:rPr>
              <w:t xml:space="preserve"> stromal feeder</w:t>
            </w:r>
            <w:r w:rsidR="002E7FB9" w:rsidRPr="003C1472">
              <w:rPr>
                <w:rFonts w:hint="eastAsia"/>
                <w:sz w:val="21"/>
                <w:szCs w:val="21"/>
              </w:rPr>
              <w:t xml:space="preserve"> cells</w:t>
            </w:r>
            <w:r w:rsidR="00B573C1" w:rsidRPr="003C1472">
              <w:rPr>
                <w:rFonts w:eastAsia="Calibri"/>
                <w:sz w:val="21"/>
                <w:szCs w:val="21"/>
              </w:rPr>
              <w:t xml:space="preserve"> </w:t>
            </w:r>
            <w:r w:rsidR="002E7FB9" w:rsidRPr="003C1472">
              <w:rPr>
                <w:rFonts w:eastAsia="Calibri"/>
                <w:sz w:val="21"/>
                <w:szCs w:val="21"/>
              </w:rPr>
              <w:t>engineered to express</w:t>
            </w:r>
            <w:r w:rsidR="00B573C1" w:rsidRPr="003C1472">
              <w:rPr>
                <w:rFonts w:eastAsia="Calibri"/>
                <w:sz w:val="21"/>
                <w:szCs w:val="21"/>
              </w:rPr>
              <w:t xml:space="preserve"> DL1 or DL4</w:t>
            </w:r>
          </w:p>
        </w:tc>
        <w:tc>
          <w:tcPr>
            <w:tcW w:w="2827" w:type="dxa"/>
          </w:tcPr>
          <w:p w14:paraId="65B192B7" w14:textId="4544FF0C" w:rsidR="00D727ED" w:rsidRPr="003C147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 xml:space="preserve">3D thymic-like </w:t>
            </w:r>
            <w:r w:rsidR="002E7FB9" w:rsidRPr="003C1472">
              <w:rPr>
                <w:rFonts w:eastAsia="Calibri"/>
                <w:sz w:val="21"/>
                <w:szCs w:val="21"/>
              </w:rPr>
              <w:t>aggregate system using murine</w:t>
            </w:r>
            <w:r w:rsidR="002E7FB9" w:rsidRPr="003C1472">
              <w:rPr>
                <w:rFonts w:hint="eastAsia"/>
                <w:sz w:val="21"/>
                <w:szCs w:val="21"/>
              </w:rPr>
              <w:t xml:space="preserve"> </w:t>
            </w:r>
            <w:r w:rsidR="00D727ED" w:rsidRPr="003C1472">
              <w:rPr>
                <w:sz w:val="21"/>
                <w:szCs w:val="21"/>
              </w:rPr>
              <w:t>MS5 stromal cell</w:t>
            </w:r>
            <w:r w:rsidR="002E7FB9" w:rsidRPr="003C1472">
              <w:rPr>
                <w:rFonts w:hint="eastAsia"/>
                <w:sz w:val="21"/>
                <w:szCs w:val="21"/>
              </w:rPr>
              <w:t>s</w:t>
            </w:r>
            <w:r w:rsidR="00D727ED" w:rsidRPr="003C1472">
              <w:rPr>
                <w:sz w:val="21"/>
                <w:szCs w:val="21"/>
              </w:rPr>
              <w:t xml:space="preserve"> </w:t>
            </w:r>
            <w:r w:rsidR="002E7FB9" w:rsidRPr="003C1472">
              <w:rPr>
                <w:rFonts w:hint="eastAsia"/>
                <w:sz w:val="21"/>
                <w:szCs w:val="21"/>
              </w:rPr>
              <w:t xml:space="preserve">engineered to express human </w:t>
            </w:r>
            <w:r w:rsidR="00B573C1" w:rsidRPr="003C1472">
              <w:rPr>
                <w:sz w:val="21"/>
                <w:szCs w:val="21"/>
              </w:rPr>
              <w:t>DL</w:t>
            </w:r>
            <w:r w:rsidR="00EB32F6" w:rsidRPr="003C1472">
              <w:rPr>
                <w:sz w:val="21"/>
                <w:szCs w:val="21"/>
              </w:rPr>
              <w:t>L</w:t>
            </w:r>
            <w:r w:rsidR="00B573C1" w:rsidRPr="003C1472">
              <w:rPr>
                <w:sz w:val="21"/>
                <w:szCs w:val="21"/>
              </w:rPr>
              <w:t>1</w:t>
            </w:r>
          </w:p>
        </w:tc>
        <w:tc>
          <w:tcPr>
            <w:tcW w:w="2852" w:type="dxa"/>
          </w:tcPr>
          <w:p w14:paraId="68565F87" w14:textId="77777777" w:rsidR="00E425C7" w:rsidRPr="003C147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Human iPSC-derived organoid/stromal niche</w:t>
            </w:r>
          </w:p>
        </w:tc>
      </w:tr>
      <w:tr w:rsidR="00E425C7" w:rsidRPr="003C1472" w14:paraId="17DB295F" w14:textId="77777777" w:rsidTr="007F4F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3EA1F0F" w14:textId="06C81BF8" w:rsidR="00E425C7" w:rsidRPr="003C1472" w:rsidRDefault="002E7FB9">
            <w:pPr>
              <w:rPr>
                <w:sz w:val="21"/>
                <w:szCs w:val="21"/>
                <w:highlight w:val="green"/>
              </w:rPr>
            </w:pPr>
            <w:r w:rsidRPr="003C1472">
              <w:rPr>
                <w:sz w:val="21"/>
                <w:szCs w:val="21"/>
              </w:rPr>
              <w:t>Input hematopoietic progenitors</w:t>
            </w:r>
          </w:p>
        </w:tc>
        <w:tc>
          <w:tcPr>
            <w:tcW w:w="3278" w:type="dxa"/>
          </w:tcPr>
          <w:p w14:paraId="65D8624E" w14:textId="45E5A766" w:rsidR="00E425C7" w:rsidRPr="003C1472" w:rsidRDefault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Mouse fetal liver HSCs [8]</w:t>
            </w:r>
            <w:r w:rsidR="002E7FB9" w:rsidRPr="003C1472">
              <w:rPr>
                <w:rFonts w:hint="eastAsia"/>
                <w:sz w:val="21"/>
                <w:szCs w:val="21"/>
              </w:rPr>
              <w:t>;</w:t>
            </w:r>
          </w:p>
          <w:p w14:paraId="77B6765C" w14:textId="2A5F6480" w:rsidR="00932EB7" w:rsidRPr="003C1472" w:rsidRDefault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Human cord blood HS</w:t>
            </w:r>
            <w:r w:rsidR="002E7FB9" w:rsidRPr="003C1472">
              <w:rPr>
                <w:rFonts w:hint="eastAsia"/>
                <w:sz w:val="21"/>
                <w:szCs w:val="21"/>
              </w:rPr>
              <w:t>P</w:t>
            </w:r>
            <w:r w:rsidRPr="003C1472">
              <w:rPr>
                <w:sz w:val="21"/>
                <w:szCs w:val="21"/>
              </w:rPr>
              <w:t>Cs</w:t>
            </w:r>
            <w:r w:rsidR="007F4F89" w:rsidRPr="003C1472">
              <w:rPr>
                <w:sz w:val="21"/>
                <w:szCs w:val="21"/>
              </w:rPr>
              <w:t xml:space="preserve"> </w:t>
            </w:r>
            <w:r w:rsidRPr="003C1472">
              <w:rPr>
                <w:sz w:val="21"/>
                <w:szCs w:val="21"/>
              </w:rPr>
              <w:t>[25]</w:t>
            </w:r>
            <w:r w:rsidR="002E7FB9" w:rsidRPr="003C1472">
              <w:rPr>
                <w:rFonts w:hint="eastAsia"/>
                <w:sz w:val="21"/>
                <w:szCs w:val="21"/>
              </w:rPr>
              <w:t>; also adapted</w:t>
            </w:r>
            <w:r w:rsidR="00932EB7" w:rsidRPr="003C1472">
              <w:rPr>
                <w:sz w:val="21"/>
                <w:szCs w:val="21"/>
              </w:rPr>
              <w:t xml:space="preserve"> </w:t>
            </w:r>
            <w:r w:rsidR="007F4F89" w:rsidRPr="003C1472">
              <w:rPr>
                <w:sz w:val="21"/>
                <w:szCs w:val="21"/>
              </w:rPr>
              <w:t xml:space="preserve">for </w:t>
            </w:r>
            <w:r w:rsidR="00932EB7" w:rsidRPr="003C1472">
              <w:rPr>
                <w:sz w:val="21"/>
                <w:szCs w:val="21"/>
              </w:rPr>
              <w:t xml:space="preserve">iPSC-derived </w:t>
            </w:r>
            <w:r w:rsidR="002E7FB9" w:rsidRPr="003C1472">
              <w:rPr>
                <w:rFonts w:hint="eastAsia"/>
                <w:sz w:val="21"/>
                <w:szCs w:val="21"/>
              </w:rPr>
              <w:t xml:space="preserve">hematopoietic </w:t>
            </w:r>
            <w:r w:rsidR="00AD59DF" w:rsidRPr="003C1472">
              <w:rPr>
                <w:rFonts w:hint="eastAsia"/>
                <w:sz w:val="21"/>
                <w:szCs w:val="21"/>
              </w:rPr>
              <w:t>progenitors</w:t>
            </w:r>
          </w:p>
        </w:tc>
        <w:tc>
          <w:tcPr>
            <w:tcW w:w="2827" w:type="dxa"/>
          </w:tcPr>
          <w:p w14:paraId="2DE7A7A0" w14:textId="4358B8AB" w:rsidR="00932EB7" w:rsidRPr="003C1472" w:rsidRDefault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Multiple human HSPC sources</w:t>
            </w:r>
            <w:r w:rsidR="00AD59DF" w:rsidRPr="003C1472">
              <w:rPr>
                <w:sz w:val="21"/>
                <w:szCs w:val="21"/>
              </w:rPr>
              <w:t>, including CB, BM, and mobilized PB; also adapted for iPSC-derived hematopoietic progenitors</w:t>
            </w:r>
          </w:p>
        </w:tc>
        <w:tc>
          <w:tcPr>
            <w:tcW w:w="2852" w:type="dxa"/>
          </w:tcPr>
          <w:p w14:paraId="2B1676E0" w14:textId="3696E86D" w:rsidR="00E425C7" w:rsidRPr="003C1472" w:rsidRDefault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Human iPSC-derived HSPCs</w:t>
            </w:r>
          </w:p>
        </w:tc>
      </w:tr>
      <w:tr w:rsidR="00B573C1" w:rsidRPr="003C1472" w14:paraId="05C00DB0" w14:textId="77777777" w:rsidTr="007F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DCEEB9E" w14:textId="42C6FCD1" w:rsidR="00B573C1" w:rsidRPr="003C1472" w:rsidRDefault="00B573C1" w:rsidP="00B573C1">
            <w:pPr>
              <w:rPr>
                <w:sz w:val="21"/>
                <w:szCs w:val="21"/>
                <w:highlight w:val="yellow"/>
              </w:rPr>
            </w:pPr>
            <w:r w:rsidRPr="003C1472">
              <w:rPr>
                <w:rFonts w:eastAsia="Calibri"/>
                <w:sz w:val="21"/>
                <w:szCs w:val="21"/>
              </w:rPr>
              <w:t>Culture format</w:t>
            </w:r>
          </w:p>
        </w:tc>
        <w:tc>
          <w:tcPr>
            <w:tcW w:w="3278" w:type="dxa"/>
          </w:tcPr>
          <w:p w14:paraId="1631D887" w14:textId="1776181F" w:rsidR="00B573C1" w:rsidRPr="003C1472" w:rsidRDefault="00AD59DF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2D stromal feeder co-culture</w:t>
            </w:r>
          </w:p>
        </w:tc>
        <w:tc>
          <w:tcPr>
            <w:tcW w:w="2827" w:type="dxa"/>
          </w:tcPr>
          <w:p w14:paraId="114C7B80" w14:textId="180CF611" w:rsidR="00B573C1" w:rsidRPr="003C1472" w:rsidRDefault="00B573C1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3D aggregate/organoid-like</w:t>
            </w:r>
            <w:r w:rsidR="00AD59DF" w:rsidRPr="003C1472">
              <w:rPr>
                <w:rFonts w:hint="eastAsia"/>
                <w:sz w:val="21"/>
                <w:szCs w:val="21"/>
              </w:rPr>
              <w:t xml:space="preserve"> culture</w:t>
            </w:r>
          </w:p>
        </w:tc>
        <w:tc>
          <w:tcPr>
            <w:tcW w:w="2852" w:type="dxa"/>
          </w:tcPr>
          <w:p w14:paraId="3E2AA9C7" w14:textId="47E36B94" w:rsidR="00B573C1" w:rsidRPr="003C1472" w:rsidRDefault="00AD59DF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iBMO organoid platform and iBMO-derived human stromal feeder platform (iBOSS)</w:t>
            </w:r>
          </w:p>
        </w:tc>
      </w:tr>
      <w:tr w:rsidR="00B573C1" w:rsidRPr="003C1472" w14:paraId="017CC3CA" w14:textId="77777777" w:rsidTr="007F4F89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3D9DCF9" w14:textId="234A1075" w:rsidR="00B573C1" w:rsidRPr="003C1472" w:rsidRDefault="00B573C1" w:rsidP="00B573C1">
            <w:pPr>
              <w:rPr>
                <w:sz w:val="21"/>
                <w:szCs w:val="21"/>
                <w:highlight w:val="green"/>
              </w:rPr>
            </w:pPr>
            <w:r w:rsidRPr="003C1472">
              <w:rPr>
                <w:sz w:val="21"/>
                <w:szCs w:val="21"/>
              </w:rPr>
              <w:t>Culture period</w:t>
            </w:r>
          </w:p>
        </w:tc>
        <w:tc>
          <w:tcPr>
            <w:tcW w:w="3278" w:type="dxa"/>
          </w:tcPr>
          <w:p w14:paraId="47FF1399" w14:textId="4AFA6AA5" w:rsidR="00B573C1" w:rsidRPr="003C1472" w:rsidRDefault="00AD59DF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Approximately 12 to &gt;50 days; CD4+CD8+ DP cells reported around</w:t>
            </w:r>
            <w:r w:rsidR="00B573C1" w:rsidRPr="003C1472">
              <w:rPr>
                <w:sz w:val="21"/>
                <w:szCs w:val="21"/>
              </w:rPr>
              <w:t xml:space="preserve"> day 24 [39]</w:t>
            </w:r>
          </w:p>
        </w:tc>
        <w:tc>
          <w:tcPr>
            <w:tcW w:w="2827" w:type="dxa"/>
          </w:tcPr>
          <w:p w14:paraId="1F9FB7F0" w14:textId="49BB0EBC" w:rsidR="00B573C1" w:rsidRPr="003C1472" w:rsidRDefault="00AD59DF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Typically 6-12 weeks</w:t>
            </w:r>
          </w:p>
        </w:tc>
        <w:tc>
          <w:tcPr>
            <w:tcW w:w="2852" w:type="dxa"/>
          </w:tcPr>
          <w:p w14:paraId="4D60467B" w14:textId="39CEB74C" w:rsidR="00B573C1" w:rsidRPr="003C1472" w:rsidRDefault="00AD59DF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sz w:val="21"/>
                <w:szCs w:val="21"/>
              </w:rPr>
              <w:t>13 days; CD4+CD8+ DP-like T-lineage cells detected at day 13</w:t>
            </w:r>
          </w:p>
        </w:tc>
      </w:tr>
      <w:tr w:rsidR="00B573C1" w:rsidRPr="003C1472" w14:paraId="16DC17AE" w14:textId="77777777" w:rsidTr="007F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A6FCD76" w14:textId="28B20595" w:rsidR="00B573C1" w:rsidRPr="003C1472" w:rsidRDefault="00B573C1" w:rsidP="00B573C1">
            <w:pPr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T-lineage support</w:t>
            </w:r>
          </w:p>
        </w:tc>
        <w:tc>
          <w:tcPr>
            <w:tcW w:w="3278" w:type="dxa"/>
          </w:tcPr>
          <w:p w14:paraId="1E2A00BC" w14:textId="508CDEE6" w:rsidR="00B573C1" w:rsidRPr="003C1472" w:rsidRDefault="00B573C1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Established</w:t>
            </w:r>
          </w:p>
        </w:tc>
        <w:tc>
          <w:tcPr>
            <w:tcW w:w="2827" w:type="dxa"/>
          </w:tcPr>
          <w:p w14:paraId="4C6AFB9C" w14:textId="474FF91E" w:rsidR="00B573C1" w:rsidRPr="003C1472" w:rsidRDefault="00B573C1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Established</w:t>
            </w:r>
          </w:p>
        </w:tc>
        <w:tc>
          <w:tcPr>
            <w:tcW w:w="2852" w:type="dxa"/>
          </w:tcPr>
          <w:p w14:paraId="3F43608F" w14:textId="6214CC63" w:rsidR="00B573C1" w:rsidRPr="003C1472" w:rsidRDefault="00B573C1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Demonstrated</w:t>
            </w:r>
          </w:p>
        </w:tc>
      </w:tr>
      <w:tr w:rsidR="00B573C1" w:rsidRPr="003C1472" w14:paraId="3BCEF221" w14:textId="77777777" w:rsidTr="007F4F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4853DDD" w14:textId="52F1DFA9" w:rsidR="00B573C1" w:rsidRPr="003C1472" w:rsidRDefault="00B573C1" w:rsidP="00B573C1">
            <w:pPr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DC support</w:t>
            </w:r>
          </w:p>
        </w:tc>
        <w:tc>
          <w:tcPr>
            <w:tcW w:w="3278" w:type="dxa"/>
          </w:tcPr>
          <w:p w14:paraId="56A2FDFB" w14:textId="5388C397" w:rsidR="00B573C1" w:rsidRPr="003C1472" w:rsidRDefault="00B573C1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Limited</w:t>
            </w:r>
          </w:p>
        </w:tc>
        <w:tc>
          <w:tcPr>
            <w:tcW w:w="2827" w:type="dxa"/>
          </w:tcPr>
          <w:p w14:paraId="45F676F3" w14:textId="12ED61C6" w:rsidR="00B573C1" w:rsidRPr="003C1472" w:rsidRDefault="00B573C1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 xml:space="preserve">Not </w:t>
            </w:r>
            <w:r w:rsidR="00AD59DF" w:rsidRPr="003C1472">
              <w:rPr>
                <w:rFonts w:hint="eastAsia"/>
                <w:sz w:val="21"/>
                <w:szCs w:val="21"/>
              </w:rPr>
              <w:t xml:space="preserve">a </w:t>
            </w:r>
            <w:r w:rsidRPr="003C1472">
              <w:rPr>
                <w:rFonts w:eastAsia="Calibri"/>
                <w:sz w:val="21"/>
                <w:szCs w:val="21"/>
              </w:rPr>
              <w:t>primary focus</w:t>
            </w:r>
          </w:p>
        </w:tc>
        <w:tc>
          <w:tcPr>
            <w:tcW w:w="2852" w:type="dxa"/>
          </w:tcPr>
          <w:p w14:paraId="1B3E3048" w14:textId="30EB3D87" w:rsidR="00B573C1" w:rsidRPr="003C1472" w:rsidRDefault="00B573C1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 xml:space="preserve">Demonstrated </w:t>
            </w:r>
            <w:r w:rsidR="00AD59DF" w:rsidRPr="003C1472">
              <w:rPr>
                <w:rFonts w:eastAsia="Calibri"/>
                <w:sz w:val="21"/>
                <w:szCs w:val="21"/>
              </w:rPr>
              <w:t>under DC-inducing conditions</w:t>
            </w:r>
          </w:p>
        </w:tc>
      </w:tr>
      <w:tr w:rsidR="00B573C1" w:rsidRPr="003C1472" w14:paraId="50849A5E" w14:textId="77777777" w:rsidTr="007F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D2BA9C4" w14:textId="2DFA84AA" w:rsidR="00B573C1" w:rsidRPr="003C1472" w:rsidRDefault="00B573C1" w:rsidP="00B573C1">
            <w:pPr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Hematopoietic niche component</w:t>
            </w:r>
          </w:p>
        </w:tc>
        <w:tc>
          <w:tcPr>
            <w:tcW w:w="3278" w:type="dxa"/>
          </w:tcPr>
          <w:p w14:paraId="5F1C8C82" w14:textId="7EC02CEB" w:rsidR="00B573C1" w:rsidRPr="003C1472" w:rsidRDefault="00B573C1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Limited</w:t>
            </w:r>
          </w:p>
        </w:tc>
        <w:tc>
          <w:tcPr>
            <w:tcW w:w="2827" w:type="dxa"/>
          </w:tcPr>
          <w:p w14:paraId="65473BEE" w14:textId="1D52B187" w:rsidR="00B573C1" w:rsidRPr="003C1472" w:rsidRDefault="00AD59DF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Primarily thymic lineage-focused</w:t>
            </w:r>
          </w:p>
        </w:tc>
        <w:tc>
          <w:tcPr>
            <w:tcW w:w="2852" w:type="dxa"/>
          </w:tcPr>
          <w:p w14:paraId="78D2F818" w14:textId="0DD5488B" w:rsidR="00B573C1" w:rsidRPr="003C1472" w:rsidRDefault="00AD59DF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Integrated stromal, vascular, and hematopoietic features in iBMOs; organoid-derived stromal support through iBOSS</w:t>
            </w:r>
          </w:p>
        </w:tc>
      </w:tr>
      <w:tr w:rsidR="00B573C1" w:rsidRPr="003C1472" w14:paraId="7390F355" w14:textId="77777777" w:rsidTr="007F4F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A22E67D" w14:textId="5C702895" w:rsidR="00B573C1" w:rsidRPr="003C1472" w:rsidRDefault="00AD59DF" w:rsidP="00B573C1">
            <w:pPr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Human-cell-based/xeno-free potential</w:t>
            </w:r>
          </w:p>
        </w:tc>
        <w:tc>
          <w:tcPr>
            <w:tcW w:w="3278" w:type="dxa"/>
          </w:tcPr>
          <w:p w14:paraId="77F0F0D2" w14:textId="4AFE8670" w:rsidR="00B573C1" w:rsidRPr="003C1472" w:rsidRDefault="00B573C1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 xml:space="preserve">Limited by </w:t>
            </w:r>
            <w:r w:rsidR="00AD59DF" w:rsidRPr="003C1472">
              <w:rPr>
                <w:rFonts w:hint="eastAsia"/>
                <w:sz w:val="21"/>
                <w:szCs w:val="21"/>
              </w:rPr>
              <w:t>murine</w:t>
            </w:r>
            <w:r w:rsidRPr="003C1472">
              <w:rPr>
                <w:rFonts w:eastAsia="Calibri"/>
                <w:sz w:val="21"/>
                <w:szCs w:val="21"/>
              </w:rPr>
              <w:t xml:space="preserve"> feeder</w:t>
            </w:r>
            <w:r w:rsidR="00AD59DF" w:rsidRPr="003C1472">
              <w:rPr>
                <w:rFonts w:hint="eastAsia"/>
                <w:sz w:val="21"/>
                <w:szCs w:val="21"/>
              </w:rPr>
              <w:t xml:space="preserve"> cells</w:t>
            </w:r>
          </w:p>
        </w:tc>
        <w:tc>
          <w:tcPr>
            <w:tcW w:w="2827" w:type="dxa"/>
          </w:tcPr>
          <w:p w14:paraId="715396F5" w14:textId="070C5088" w:rsidR="00B573C1" w:rsidRPr="003C1472" w:rsidRDefault="00B573C1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 xml:space="preserve">Limited by </w:t>
            </w:r>
            <w:r w:rsidR="00AD59DF" w:rsidRPr="003C1472">
              <w:rPr>
                <w:rFonts w:hint="eastAsia"/>
                <w:sz w:val="21"/>
                <w:szCs w:val="21"/>
              </w:rPr>
              <w:t>murine MS5</w:t>
            </w:r>
            <w:r w:rsidRPr="003C1472">
              <w:rPr>
                <w:rFonts w:eastAsia="Calibri"/>
                <w:sz w:val="21"/>
                <w:szCs w:val="21"/>
              </w:rPr>
              <w:t xml:space="preserve"> stromal cell</w:t>
            </w:r>
            <w:r w:rsidR="00AD59DF" w:rsidRPr="003C1472">
              <w:rPr>
                <w:rFonts w:hint="eastAsia"/>
                <w:sz w:val="21"/>
                <w:szCs w:val="21"/>
              </w:rPr>
              <w:t>s</w:t>
            </w:r>
          </w:p>
        </w:tc>
        <w:tc>
          <w:tcPr>
            <w:tcW w:w="2852" w:type="dxa"/>
          </w:tcPr>
          <w:p w14:paraId="2ED319C9" w14:textId="7615CD90" w:rsidR="00B573C1" w:rsidRPr="003C1472" w:rsidRDefault="00AD59DF" w:rsidP="00B573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 xml:space="preserve">Human iPSC-derived stromal platform; xeno-free </w:t>
            </w:r>
            <w:r w:rsidR="00294C7D">
              <w:rPr>
                <w:rFonts w:hint="eastAsia"/>
                <w:sz w:val="21"/>
                <w:szCs w:val="21"/>
              </w:rPr>
              <w:t>culture established</w:t>
            </w:r>
          </w:p>
        </w:tc>
      </w:tr>
      <w:tr w:rsidR="00B573C1" w:rsidRPr="003C1472" w14:paraId="6A83916D" w14:textId="77777777" w:rsidTr="007F4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71B46BF" w14:textId="0181CB56" w:rsidR="00B573C1" w:rsidRPr="003C1472" w:rsidRDefault="00B573C1" w:rsidP="00B573C1">
            <w:pPr>
              <w:rPr>
                <w:rFonts w:eastAsia="Calibri"/>
                <w:b w:val="0"/>
                <w:bCs w:val="0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Functional validation</w:t>
            </w:r>
          </w:p>
        </w:tc>
        <w:tc>
          <w:tcPr>
            <w:tcW w:w="3278" w:type="dxa"/>
          </w:tcPr>
          <w:p w14:paraId="4C75FF81" w14:textId="655B3D18" w:rsidR="00B573C1" w:rsidRPr="003C1472" w:rsidRDefault="00B573C1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 xml:space="preserve">Well established in </w:t>
            </w:r>
            <w:r w:rsidR="00AD59DF" w:rsidRPr="003C1472">
              <w:rPr>
                <w:rFonts w:hint="eastAsia"/>
                <w:sz w:val="21"/>
                <w:szCs w:val="21"/>
              </w:rPr>
              <w:t xml:space="preserve">the </w:t>
            </w:r>
            <w:r w:rsidRPr="003C1472">
              <w:rPr>
                <w:rFonts w:eastAsia="Calibri"/>
                <w:sz w:val="21"/>
                <w:szCs w:val="21"/>
              </w:rPr>
              <w:t>literature</w:t>
            </w:r>
          </w:p>
        </w:tc>
        <w:tc>
          <w:tcPr>
            <w:tcW w:w="2827" w:type="dxa"/>
          </w:tcPr>
          <w:p w14:paraId="65D7C3D7" w14:textId="7C5DED31" w:rsidR="00B573C1" w:rsidRPr="003C1472" w:rsidRDefault="00AD59DF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>Strong evidence for mature T-cell generation and function in the literature</w:t>
            </w:r>
          </w:p>
        </w:tc>
        <w:tc>
          <w:tcPr>
            <w:tcW w:w="2852" w:type="dxa"/>
          </w:tcPr>
          <w:p w14:paraId="2180EFFD" w14:textId="0A7F41F8" w:rsidR="00B573C1" w:rsidRPr="003C1472" w:rsidRDefault="00B573C1" w:rsidP="00B57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1"/>
                <w:szCs w:val="21"/>
              </w:rPr>
            </w:pPr>
            <w:r w:rsidRPr="003C1472">
              <w:rPr>
                <w:rFonts w:eastAsia="Calibri"/>
                <w:sz w:val="21"/>
                <w:szCs w:val="21"/>
              </w:rPr>
              <w:t xml:space="preserve">Partial; </w:t>
            </w:r>
            <w:r w:rsidR="00AD59DF" w:rsidRPr="003C1472">
              <w:rPr>
                <w:rFonts w:eastAsia="Calibri"/>
                <w:sz w:val="21"/>
                <w:szCs w:val="21"/>
              </w:rPr>
              <w:t>further functional and transcriptomic validation is required</w:t>
            </w:r>
          </w:p>
        </w:tc>
      </w:tr>
    </w:tbl>
    <w:p w14:paraId="1AD3F061" w14:textId="77777777" w:rsidR="009A2D75" w:rsidRPr="003C1472" w:rsidRDefault="009A2D75"/>
    <w:p w14:paraId="2D42533F" w14:textId="77777777" w:rsidR="00B573C1" w:rsidRPr="00B573C1" w:rsidRDefault="00B573C1"/>
    <w:sectPr w:rsidR="00B573C1" w:rsidRPr="00B573C1" w:rsidSect="004D1A78">
      <w:pgSz w:w="11900" w:h="16840"/>
      <w:pgMar w:top="900" w:right="720" w:bottom="90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C7507" w14:textId="77777777" w:rsidR="009058FD" w:rsidRDefault="009058FD" w:rsidP="002E7FB9">
      <w:r>
        <w:separator/>
      </w:r>
    </w:p>
  </w:endnote>
  <w:endnote w:type="continuationSeparator" w:id="0">
    <w:p w14:paraId="1873DEB7" w14:textId="77777777" w:rsidR="009058FD" w:rsidRDefault="009058FD" w:rsidP="002E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946A" w14:textId="77777777" w:rsidR="009058FD" w:rsidRDefault="009058FD" w:rsidP="002E7FB9">
      <w:r>
        <w:separator/>
      </w:r>
    </w:p>
  </w:footnote>
  <w:footnote w:type="continuationSeparator" w:id="0">
    <w:p w14:paraId="10004570" w14:textId="77777777" w:rsidR="009058FD" w:rsidRDefault="009058FD" w:rsidP="002E7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B5A65"/>
    <w:multiLevelType w:val="hybridMultilevel"/>
    <w:tmpl w:val="2CC4E2EE"/>
    <w:lvl w:ilvl="0" w:tplc="77546FBA">
      <w:start w:val="1"/>
      <w:numFmt w:val="bullet"/>
      <w:lvlText w:val="●"/>
      <w:lvlJc w:val="left"/>
      <w:pPr>
        <w:ind w:left="720" w:hanging="360"/>
      </w:pPr>
    </w:lvl>
    <w:lvl w:ilvl="1" w:tplc="8F14591A">
      <w:start w:val="1"/>
      <w:numFmt w:val="bullet"/>
      <w:lvlText w:val="○"/>
      <w:lvlJc w:val="left"/>
      <w:pPr>
        <w:ind w:left="1440" w:hanging="360"/>
      </w:pPr>
    </w:lvl>
    <w:lvl w:ilvl="2" w:tplc="A24CBF42">
      <w:start w:val="1"/>
      <w:numFmt w:val="bullet"/>
      <w:lvlText w:val="■"/>
      <w:lvlJc w:val="left"/>
      <w:pPr>
        <w:ind w:left="2160" w:hanging="360"/>
      </w:pPr>
    </w:lvl>
    <w:lvl w:ilvl="3" w:tplc="FBAA4988">
      <w:start w:val="1"/>
      <w:numFmt w:val="bullet"/>
      <w:lvlText w:val="●"/>
      <w:lvlJc w:val="left"/>
      <w:pPr>
        <w:ind w:left="2880" w:hanging="360"/>
      </w:pPr>
    </w:lvl>
    <w:lvl w:ilvl="4" w:tplc="45A2C37E">
      <w:start w:val="1"/>
      <w:numFmt w:val="bullet"/>
      <w:lvlText w:val="○"/>
      <w:lvlJc w:val="left"/>
      <w:pPr>
        <w:ind w:left="3600" w:hanging="360"/>
      </w:pPr>
    </w:lvl>
    <w:lvl w:ilvl="5" w:tplc="3D0E9D42">
      <w:start w:val="1"/>
      <w:numFmt w:val="bullet"/>
      <w:lvlText w:val="■"/>
      <w:lvlJc w:val="left"/>
      <w:pPr>
        <w:ind w:left="4320" w:hanging="360"/>
      </w:pPr>
    </w:lvl>
    <w:lvl w:ilvl="6" w:tplc="5C220F58">
      <w:start w:val="1"/>
      <w:numFmt w:val="bullet"/>
      <w:lvlText w:val="●"/>
      <w:lvlJc w:val="left"/>
      <w:pPr>
        <w:ind w:left="5040" w:hanging="360"/>
      </w:pPr>
    </w:lvl>
    <w:lvl w:ilvl="7" w:tplc="002609F0">
      <w:start w:val="1"/>
      <w:numFmt w:val="bullet"/>
      <w:lvlText w:val="●"/>
      <w:lvlJc w:val="left"/>
      <w:pPr>
        <w:ind w:left="5760" w:hanging="360"/>
      </w:pPr>
    </w:lvl>
    <w:lvl w:ilvl="8" w:tplc="B8C2A44A">
      <w:start w:val="1"/>
      <w:numFmt w:val="bullet"/>
      <w:lvlText w:val="●"/>
      <w:lvlJc w:val="left"/>
      <w:pPr>
        <w:ind w:left="6480" w:hanging="360"/>
      </w:pPr>
    </w:lvl>
  </w:abstractNum>
  <w:num w:numId="1" w16cid:durableId="9402595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5C7"/>
    <w:rsid w:val="001E0803"/>
    <w:rsid w:val="00294C7D"/>
    <w:rsid w:val="002E7FB9"/>
    <w:rsid w:val="003C1472"/>
    <w:rsid w:val="0042132A"/>
    <w:rsid w:val="00425B41"/>
    <w:rsid w:val="004C547F"/>
    <w:rsid w:val="004D1A78"/>
    <w:rsid w:val="005B13FF"/>
    <w:rsid w:val="00745E77"/>
    <w:rsid w:val="007F4F89"/>
    <w:rsid w:val="008551FB"/>
    <w:rsid w:val="009058FD"/>
    <w:rsid w:val="00932EB7"/>
    <w:rsid w:val="009A2D75"/>
    <w:rsid w:val="009B25DC"/>
    <w:rsid w:val="00AD59DF"/>
    <w:rsid w:val="00B105C1"/>
    <w:rsid w:val="00B573C1"/>
    <w:rsid w:val="00BB2205"/>
    <w:rsid w:val="00BD5A99"/>
    <w:rsid w:val="00D727ED"/>
    <w:rsid w:val="00E425C7"/>
    <w:rsid w:val="00EB32F6"/>
    <w:rsid w:val="00E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F2D4CD"/>
  <w15:docId w15:val="{4E9A7291-2878-429E-9DD9-A9BF8582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table" w:styleId="20">
    <w:name w:val="Plain Table 2"/>
    <w:basedOn w:val="a1"/>
    <w:uiPriority w:val="42"/>
    <w:rsid w:val="00B573C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c">
    <w:name w:val="header"/>
    <w:basedOn w:val="a"/>
    <w:link w:val="ad"/>
    <w:uiPriority w:val="99"/>
    <w:unhideWhenUsed/>
    <w:rsid w:val="002E7F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E7FB9"/>
  </w:style>
  <w:style w:type="paragraph" w:styleId="ae">
    <w:name w:val="footer"/>
    <w:basedOn w:val="a"/>
    <w:link w:val="af"/>
    <w:uiPriority w:val="99"/>
    <w:unhideWhenUsed/>
    <w:rsid w:val="002E7FB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E7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英憲 阿久津</cp:lastModifiedBy>
  <cp:revision>4</cp:revision>
  <cp:lastPrinted>2026-07-16T02:43:00Z</cp:lastPrinted>
  <dcterms:created xsi:type="dcterms:W3CDTF">2026-07-17T06:49:00Z</dcterms:created>
  <dcterms:modified xsi:type="dcterms:W3CDTF">2026-07-18T02:05:00Z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b163b172-0db8-484b-a62b-ff509d601312</vt:lpwstr>
  </property>
</Properties>
</file>