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10175" w14:textId="5656A0E3" w:rsidR="00FD3339" w:rsidRDefault="00845F5C" w:rsidP="00FD3339">
      <w:pPr>
        <w:rPr>
          <w:rFonts w:ascii="Times New Roman" w:hAnsi="Times New Roman" w:cs="Times New Roman"/>
          <w:b/>
          <w:bCs/>
          <w:sz w:val="24"/>
          <w:szCs w:val="24"/>
        </w:rPr>
      </w:pPr>
      <w:r w:rsidRPr="00845F5C">
        <w:rPr>
          <w:rFonts w:ascii="Times New Roman" w:hAnsi="Times New Roman" w:cs="Times New Roman"/>
          <w:b/>
          <w:bCs/>
          <w:sz w:val="24"/>
          <w:szCs w:val="24"/>
        </w:rPr>
        <w:t>Supplementary 1: Table with cytokine annotations</w:t>
      </w:r>
    </w:p>
    <w:tbl>
      <w:tblPr>
        <w:tblStyle w:val="Tabel-Gitter"/>
        <w:tblW w:w="9209" w:type="dxa"/>
        <w:tblLook w:val="04A0" w:firstRow="1" w:lastRow="0" w:firstColumn="1" w:lastColumn="0" w:noHBand="0" w:noVBand="1"/>
      </w:tblPr>
      <w:tblGrid>
        <w:gridCol w:w="2547"/>
        <w:gridCol w:w="6662"/>
      </w:tblGrid>
      <w:tr w:rsidR="00845F5C" w:rsidRPr="009F7737" w14:paraId="12AA2F45" w14:textId="77777777" w:rsidTr="00E960F5">
        <w:tc>
          <w:tcPr>
            <w:tcW w:w="2547" w:type="dxa"/>
          </w:tcPr>
          <w:p w14:paraId="52380D31" w14:textId="77777777" w:rsidR="00845F5C" w:rsidRPr="009F7737" w:rsidRDefault="00845F5C" w:rsidP="00E960F5">
            <w:pPr>
              <w:rPr>
                <w:rFonts w:ascii="Times New Roman" w:hAnsi="Times New Roman" w:cs="Times New Roman"/>
                <w:b/>
                <w:bCs/>
                <w:sz w:val="20"/>
                <w:szCs w:val="20"/>
              </w:rPr>
            </w:pPr>
            <w:r w:rsidRPr="009F7737">
              <w:rPr>
                <w:rFonts w:ascii="Times New Roman" w:hAnsi="Times New Roman" w:cs="Times New Roman"/>
                <w:b/>
                <w:bCs/>
                <w:sz w:val="20"/>
                <w:szCs w:val="20"/>
              </w:rPr>
              <w:t>Cytokine (Analyte)</w:t>
            </w:r>
          </w:p>
        </w:tc>
        <w:tc>
          <w:tcPr>
            <w:tcW w:w="6662" w:type="dxa"/>
          </w:tcPr>
          <w:p w14:paraId="4B5EE5FE" w14:textId="77777777" w:rsidR="00845F5C" w:rsidRPr="009F7737" w:rsidRDefault="00845F5C" w:rsidP="00E960F5">
            <w:pPr>
              <w:rPr>
                <w:rFonts w:ascii="Times New Roman" w:hAnsi="Times New Roman" w:cs="Times New Roman"/>
                <w:b/>
                <w:bCs/>
                <w:sz w:val="20"/>
                <w:szCs w:val="20"/>
              </w:rPr>
            </w:pPr>
            <w:r w:rsidRPr="009F7737">
              <w:rPr>
                <w:rFonts w:ascii="Times New Roman" w:hAnsi="Times New Roman" w:cs="Times New Roman"/>
                <w:b/>
                <w:bCs/>
                <w:sz w:val="20"/>
                <w:szCs w:val="20"/>
              </w:rPr>
              <w:t>Annotation</w:t>
            </w:r>
          </w:p>
        </w:tc>
      </w:tr>
      <w:tr w:rsidR="00845F5C" w:rsidRPr="009F7737" w14:paraId="44C5B1B6" w14:textId="77777777" w:rsidTr="00E960F5">
        <w:tc>
          <w:tcPr>
            <w:tcW w:w="2547" w:type="dxa"/>
          </w:tcPr>
          <w:p w14:paraId="25E4366C"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CD40 Ligand</w:t>
            </w:r>
          </w:p>
        </w:tc>
        <w:tc>
          <w:tcPr>
            <w:tcW w:w="6662" w:type="dxa"/>
          </w:tcPr>
          <w:p w14:paraId="3F08843B"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Belongs to the TNF superfamily. Promotes B cell and dendritic cell maturation and activation. </w:t>
            </w:r>
          </w:p>
        </w:tc>
      </w:tr>
      <w:tr w:rsidR="00845F5C" w:rsidRPr="002B2104" w14:paraId="3B5627B4" w14:textId="77777777" w:rsidTr="00E960F5">
        <w:tc>
          <w:tcPr>
            <w:tcW w:w="2547" w:type="dxa"/>
          </w:tcPr>
          <w:p w14:paraId="6F3F6AA2"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Epidermal growth factor (EGF)</w:t>
            </w:r>
          </w:p>
        </w:tc>
        <w:tc>
          <w:tcPr>
            <w:tcW w:w="6662" w:type="dxa"/>
          </w:tcPr>
          <w:p w14:paraId="6EEAA8AF" w14:textId="77777777" w:rsidR="00845F5C" w:rsidRPr="002B2104"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Stimulates cell growth and differentiation.</w:t>
            </w:r>
            <w:r>
              <w:rPr>
                <w:rFonts w:ascii="Times New Roman" w:hAnsi="Times New Roman" w:cs="Times New Roman"/>
                <w:sz w:val="20"/>
                <w:szCs w:val="20"/>
              </w:rPr>
              <w:t xml:space="preserve"> Plays an important role in cartilage development and maintenance of the superficial articular cartilage layer where EGF promotes chondrocyte proliferation and prevents apoptosis. EGF-receptor deficiency can lead to spontaneous OA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{"citationItems":[{"id":"ITEM-1","itemData":{"DOI":"10.1002/jbm4.10177","ISSN":"24734039","abstract":"Recent studies using genetically modified mice, pharmacological approaches, and human samples have highlighted an important role for the epidermal growth factor receptor (EGFR), selected ligands, and downstream components in endochondral bone formation and joint homeostasis. Although most data demonstrate an important function of this pathway in endochondral ossification and articular cartilage growth, conflicting results on its role in osteoarthritis have been reported. In some contexts, inactivation of EGFR signaling has been shown to protect joints from surgically induced osteoarthritis, whereas in others, similar manipulations worsened joint pathology. The current review summarizes recent studies of cartilage EGFR signaling in long bone development and diseases, provides potential explanations for the reported discrepancies, and suggests directions for future work to clarify the potential of this pathway as target for osteoarthritis treatment. © 2019 The Authors. JBMR Plus published by Wiley Periodicals, Inc. on behalf of American Society for Bone and Mineral Research.","author":[{"dropping-particle":"","family":"Qin","given":"Ling","non-dropping-particle":"","parse-names":false,"suffix":""},{"dropping-particle":"","family":"Beier","given":"Frank","non-dropping-particle":"","parse-names":false,"suffix":""}],"container-title":"JBMR Plus","id":"ITEM-1","issue":"2","issued":{"date-parts":[["2019"]]},"page":"1-9","title":"EGFR Signaling: Friend or Foe for Cartilage?","type":"article-journal","volume":"3"},"uris":["http://www.mendeley.com/documents/?uuid=fff01396-1baa-4e39-b5f5-26609ad3394b"]}],"mendeley":{"formattedCitation":"[1]","plainTextFormattedCitation":"[1]","previouslyFormattedCitation":"[1]"},"properties":{"noteIndex":0},"schema":"https://github.com/citation-style-language/schema/raw/master/csl-citation.json"}</w:instrText>
            </w:r>
            <w:r>
              <w:rPr>
                <w:rFonts w:ascii="Times New Roman" w:hAnsi="Times New Roman" w:cs="Times New Roman"/>
                <w:sz w:val="20"/>
                <w:szCs w:val="20"/>
              </w:rPr>
              <w:fldChar w:fldCharType="separate"/>
            </w:r>
            <w:r w:rsidRPr="002B2104">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r>
      <w:tr w:rsidR="00845F5C" w:rsidRPr="009F7737" w14:paraId="5FCE5FF7" w14:textId="77777777" w:rsidTr="00E960F5">
        <w:tc>
          <w:tcPr>
            <w:tcW w:w="2547" w:type="dxa"/>
          </w:tcPr>
          <w:p w14:paraId="733DEE0B" w14:textId="77777777" w:rsidR="00845F5C" w:rsidRPr="009F7737" w:rsidRDefault="00845F5C" w:rsidP="00E960F5">
            <w:pPr>
              <w:rPr>
                <w:rFonts w:ascii="Times New Roman" w:hAnsi="Times New Roman" w:cs="Times New Roman"/>
                <w:sz w:val="20"/>
                <w:szCs w:val="20"/>
              </w:rPr>
            </w:pPr>
            <w:proofErr w:type="spellStart"/>
            <w:r w:rsidRPr="009F7737">
              <w:rPr>
                <w:rFonts w:ascii="Times New Roman" w:hAnsi="Times New Roman" w:cs="Times New Roman"/>
                <w:sz w:val="20"/>
                <w:szCs w:val="20"/>
              </w:rPr>
              <w:t>Eotaxin</w:t>
            </w:r>
            <w:proofErr w:type="spellEnd"/>
          </w:p>
        </w:tc>
        <w:tc>
          <w:tcPr>
            <w:tcW w:w="6662" w:type="dxa"/>
          </w:tcPr>
          <w:p w14:paraId="29E20B0B"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Positively associated with osteoclast activity</w:t>
            </w:r>
            <w:r>
              <w:rPr>
                <w:rFonts w:ascii="Times New Roman" w:hAnsi="Times New Roman" w:cs="Times New Roman"/>
                <w:sz w:val="20"/>
                <w:szCs w:val="20"/>
              </w:rPr>
              <w:t xml:space="preserve"> and migration, </w:t>
            </w:r>
            <w:r w:rsidRPr="009F7737">
              <w:rPr>
                <w:rFonts w:ascii="Times New Roman" w:hAnsi="Times New Roman" w:cs="Times New Roman"/>
                <w:sz w:val="20"/>
                <w:szCs w:val="20"/>
              </w:rPr>
              <w:t>bone inflammation</w:t>
            </w:r>
            <w:r>
              <w:rPr>
                <w:rFonts w:ascii="Times New Roman" w:hAnsi="Times New Roman" w:cs="Times New Roman"/>
                <w:sz w:val="20"/>
                <w:szCs w:val="20"/>
              </w:rPr>
              <w:t xml:space="preserve">, and matrix metalloproteinase (MMP-3 and MMP-13) expression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rPr>
              <w:fldChar w:fldCharType="separate"/>
            </w:r>
            <w:r w:rsidRPr="007D2A34">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9F7737">
              <w:rPr>
                <w:rFonts w:ascii="Times New Roman" w:hAnsi="Times New Roman" w:cs="Times New Roman"/>
                <w:sz w:val="20"/>
                <w:szCs w:val="20"/>
              </w:rPr>
              <w:t>Chemoattractant for eosinophils, but not for mononuclear cells or neutrophils.</w:t>
            </w:r>
          </w:p>
        </w:tc>
      </w:tr>
      <w:tr w:rsidR="00845F5C" w:rsidRPr="00B80C2B" w14:paraId="4BDDD23D" w14:textId="77777777" w:rsidTr="00E960F5">
        <w:tc>
          <w:tcPr>
            <w:tcW w:w="2547" w:type="dxa"/>
          </w:tcPr>
          <w:p w14:paraId="0B445EB3"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Fibroblast growth factor (FGF) basic</w:t>
            </w:r>
          </w:p>
        </w:tc>
        <w:tc>
          <w:tcPr>
            <w:tcW w:w="6662" w:type="dxa"/>
          </w:tcPr>
          <w:p w14:paraId="58F1B5F1" w14:textId="77777777" w:rsidR="00845F5C" w:rsidRPr="00B80C2B"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Mitogenic and angiogenic activity. </w:t>
            </w:r>
            <w:r w:rsidRPr="00B80C2B">
              <w:rPr>
                <w:rFonts w:ascii="Times New Roman" w:hAnsi="Times New Roman" w:cs="Times New Roman"/>
                <w:sz w:val="20"/>
                <w:szCs w:val="20"/>
                <w:lang w:val="en-US"/>
              </w:rPr>
              <w:t>Essential for limb development, cartilage deve</w:t>
            </w:r>
            <w:r>
              <w:rPr>
                <w:rFonts w:ascii="Times New Roman" w:hAnsi="Times New Roman" w:cs="Times New Roman"/>
                <w:sz w:val="20"/>
                <w:szCs w:val="20"/>
                <w:lang w:val="en-US"/>
              </w:rPr>
              <w:t>lopment/maintenance/repair,</w:t>
            </w:r>
            <w:r w:rsidRPr="00B80C2B">
              <w:rPr>
                <w:rFonts w:ascii="Times New Roman" w:hAnsi="Times New Roman" w:cs="Times New Roman"/>
                <w:sz w:val="20"/>
                <w:szCs w:val="20"/>
                <w:lang w:val="en-US"/>
              </w:rPr>
              <w:t xml:space="preserve"> and wound healing. A potent mitogen for chondrocytes</w:t>
            </w:r>
            <w:r>
              <w:rPr>
                <w:rFonts w:ascii="Times New Roman" w:hAnsi="Times New Roman" w:cs="Times New Roman"/>
                <w:sz w:val="20"/>
                <w:szCs w:val="20"/>
                <w:lang w:val="en-US"/>
              </w:rPr>
              <w:t xml:space="preserve"> and is involved in chondrogenic differentiation</w:t>
            </w:r>
            <w:r w:rsidRPr="00B80C2B">
              <w:rPr>
                <w:rFonts w:ascii="Times New Roman" w:hAnsi="Times New Roman" w:cs="Times New Roman"/>
                <w:sz w:val="20"/>
                <w:szCs w:val="20"/>
                <w:lang w:val="en-US"/>
              </w:rPr>
              <w:t xml:space="preserve">. </w:t>
            </w:r>
            <w:r>
              <w:rPr>
                <w:rFonts w:ascii="Times New Roman" w:hAnsi="Times New Roman" w:cs="Times New Roman"/>
                <w:sz w:val="20"/>
                <w:szCs w:val="20"/>
                <w:lang w:val="en-US"/>
              </w:rPr>
              <w:t>May</w:t>
            </w:r>
            <w:r w:rsidRPr="00B80C2B">
              <w:rPr>
                <w:rFonts w:ascii="Times New Roman" w:hAnsi="Times New Roman" w:cs="Times New Roman"/>
                <w:sz w:val="20"/>
                <w:szCs w:val="20"/>
                <w:lang w:val="en-US"/>
              </w:rPr>
              <w:t xml:space="preserve"> stimulate </w:t>
            </w:r>
            <w:r>
              <w:rPr>
                <w:rFonts w:ascii="Times New Roman" w:hAnsi="Times New Roman" w:cs="Times New Roman"/>
                <w:sz w:val="20"/>
                <w:szCs w:val="20"/>
                <w:lang w:val="en-US"/>
              </w:rPr>
              <w:t xml:space="preserve">articular </w:t>
            </w:r>
            <w:r w:rsidRPr="00B80C2B">
              <w:rPr>
                <w:rFonts w:ascii="Times New Roman" w:hAnsi="Times New Roman" w:cs="Times New Roman"/>
                <w:sz w:val="20"/>
                <w:szCs w:val="20"/>
                <w:lang w:val="en-US"/>
              </w:rPr>
              <w:t>cartilage repair i</w:t>
            </w:r>
            <w:r>
              <w:rPr>
                <w:rFonts w:ascii="Times New Roman" w:hAnsi="Times New Roman" w:cs="Times New Roman"/>
                <w:sz w:val="20"/>
                <w:szCs w:val="20"/>
                <w:lang w:val="en-US"/>
              </w:rPr>
              <w:t xml:space="preserve">n vivo. May have both catabolic and anabolic cartilage effects </w:t>
            </w: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{"citationItems":[{"id":"ITEM-1","itemData":{"DOI":"10.1038/s41584-020-0469-2","abstract":"Regulated fibroblast growth factor (FGF) signalling is a prerequisite for the correct development and homeostasis of articular cartilage, as evidenced by the fact that aberrant FGF signalling contributes to the maldevelopment of joints and to the onset and progression of osteoarthritis. Of the four FGF receptors (FGFRs 1-4), FGFR1 and FGFR3 are strongly implicated in osteoarthritis, and FGFR1 antagonists, as well as agonists of FGFR3, have shown therapeutic efficacy in mouse models of spontaneous and surgically induced osteoarthritis. FGF18, a high affinity ligand for FGFR3, is the only FGF-based drug currently in clinical trials for osteoarthritis. This Review covers the latest advances in our understanding of the molecular mechanisms that regulate FGF signalling during normal joint development and in the pathogenesis of osteoarthritis. Strategies for FGF signalling-based treatment of osteoarthritis and for cartilage repair in animal models and clinical trials are also introduced. An improved understanding of FGF signalling from a structural biology perspective, and of its roles in skeletal development and diseases, could unlock new avenues for discovery of modulators of FGF signalling that can slow or stop the progression of osteoarthritis.","author":[{"dropping-particle":"","family":"Xie","given":"Y.","non-dropping-particle":"","parse-names":false,"suffix":""},{"dropping-particle":"","family":"Zinkle","given":"A.","non-dropping-particle":"","parse-names":false,"suffix":""},{"dropping-particle":"","family":"Chen","given":"L.","non-dropping-particle":"","parse-names":false,"suffix":""},{"dropping-particle":"","family":"Mohammadi","given":"M.","non-dropping-particle":"","parse-names":false,"suffix":""}],"container-title":"Nat Rev Rheumatol.","id":"ITEM-1","issue":"10","issued":{"date-parts":[["2020"]]},"page":"547-564","title":"Fibroblast growth factor signalling in osteoarthritis and cartilage repair","type":"article-journal","volume":"16"},"uris":["http://www.mendeley.com/documents/?uuid=6b414b67-f069-4f89-a436-15776d0318c8"]}],"mendeley":{"formattedCitation":"[3]","plainTextFormattedCitation":"[3]","previouslyFormattedCitation":"[3]"},"properties":{"noteIndex":0},"schema":"https://github.com/citation-style-language/schema/raw/master/csl-citation.json"}</w:instrText>
            </w:r>
            <w:r>
              <w:rPr>
                <w:rFonts w:ascii="Times New Roman" w:hAnsi="Times New Roman" w:cs="Times New Roman"/>
                <w:sz w:val="20"/>
                <w:szCs w:val="20"/>
                <w:lang w:val="en-US"/>
              </w:rPr>
              <w:fldChar w:fldCharType="separate"/>
            </w:r>
            <w:r w:rsidRPr="00DB6705">
              <w:rPr>
                <w:rFonts w:ascii="Times New Roman" w:hAnsi="Times New Roman" w:cs="Times New Roman"/>
                <w:noProof/>
                <w:sz w:val="20"/>
                <w:szCs w:val="20"/>
                <w:lang w:val="en-US"/>
              </w:rPr>
              <w:t>[3]</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p>
        </w:tc>
      </w:tr>
      <w:tr w:rsidR="00845F5C" w:rsidRPr="009F7737" w14:paraId="25D40B82" w14:textId="77777777" w:rsidTr="00E960F5">
        <w:tc>
          <w:tcPr>
            <w:tcW w:w="2547" w:type="dxa"/>
          </w:tcPr>
          <w:p w14:paraId="17D75963"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FMS-like tyrosine kinase (Flt)-3 Ligand</w:t>
            </w:r>
          </w:p>
        </w:tc>
        <w:tc>
          <w:tcPr>
            <w:tcW w:w="6662" w:type="dxa"/>
          </w:tcPr>
          <w:p w14:paraId="3B8CDBAB"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Stimulates the growth and differentiation of hematopoietic stem cells and progenitor cells. Controls development of dendritic cells and natural killer cells. Often synergistic with IL-3, GM-CSF and IL-6. </w:t>
            </w:r>
          </w:p>
        </w:tc>
      </w:tr>
      <w:tr w:rsidR="00845F5C" w:rsidRPr="00A34ACF" w14:paraId="15363F4D" w14:textId="77777777" w:rsidTr="00E960F5">
        <w:tc>
          <w:tcPr>
            <w:tcW w:w="2547" w:type="dxa"/>
          </w:tcPr>
          <w:p w14:paraId="52CA52A4"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Granulocyte colony-stimulating factor (G-CSF)</w:t>
            </w:r>
          </w:p>
        </w:tc>
        <w:tc>
          <w:tcPr>
            <w:tcW w:w="6662" w:type="dxa"/>
          </w:tcPr>
          <w:p w14:paraId="36D1444E" w14:textId="77777777" w:rsidR="00845F5C" w:rsidRPr="00A34ACF"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Stimulates growth of white blood cells, particularly neutrophil granulocytes, and stem cells in the bone marrow</w:t>
            </w:r>
            <w:r>
              <w:rPr>
                <w:rFonts w:ascii="Times New Roman" w:hAnsi="Times New Roman" w:cs="Times New Roman"/>
                <w:sz w:val="20"/>
                <w:szCs w:val="20"/>
              </w:rPr>
              <w:t xml:space="preserve">. Enhance </w:t>
            </w:r>
            <w:r w:rsidRPr="009F7737">
              <w:rPr>
                <w:rFonts w:ascii="Times New Roman" w:hAnsi="Times New Roman" w:cs="Times New Roman"/>
                <w:sz w:val="20"/>
                <w:szCs w:val="20"/>
              </w:rPr>
              <w:t>mobilization</w:t>
            </w:r>
            <w:r>
              <w:rPr>
                <w:rFonts w:ascii="Times New Roman" w:hAnsi="Times New Roman" w:cs="Times New Roman"/>
                <w:sz w:val="20"/>
                <w:szCs w:val="20"/>
              </w:rPr>
              <w:t xml:space="preserve"> of MSCs from the bone marrow</w:t>
            </w:r>
            <w:r w:rsidRPr="009F7737">
              <w:rPr>
                <w:rFonts w:ascii="Times New Roman" w:hAnsi="Times New Roman" w:cs="Times New Roman"/>
                <w:sz w:val="20"/>
                <w:szCs w:val="20"/>
              </w:rPr>
              <w:t xml:space="preserve"> to the blood</w:t>
            </w:r>
            <w:r>
              <w:rPr>
                <w:rFonts w:ascii="Times New Roman" w:hAnsi="Times New Roman" w:cs="Times New Roman"/>
                <w:sz w:val="20"/>
                <w:szCs w:val="20"/>
              </w:rPr>
              <w:t>stream</w:t>
            </w:r>
            <w:r w:rsidRPr="009F7737">
              <w:rPr>
                <w:rFonts w:ascii="Times New Roman" w:hAnsi="Times New Roman" w:cs="Times New Roman"/>
                <w:sz w:val="20"/>
                <w:szCs w:val="20"/>
              </w:rPr>
              <w:t xml:space="preserve">. </w:t>
            </w:r>
            <w:r w:rsidRPr="00A34ACF">
              <w:rPr>
                <w:rFonts w:ascii="Times New Roman" w:hAnsi="Times New Roman" w:cs="Times New Roman"/>
                <w:sz w:val="20"/>
                <w:szCs w:val="20"/>
                <w:lang w:val="en-US"/>
              </w:rPr>
              <w:t xml:space="preserve">Recruits chondrogenic progenitor cells and enhance MSC proliferation and </w:t>
            </w:r>
            <w:r>
              <w:rPr>
                <w:rFonts w:ascii="Times New Roman" w:hAnsi="Times New Roman" w:cs="Times New Roman"/>
                <w:sz w:val="20"/>
                <w:szCs w:val="20"/>
                <w:lang w:val="en-US"/>
              </w:rPr>
              <w:t xml:space="preserve">chondrogenic </w:t>
            </w:r>
            <w:r w:rsidRPr="00A34ACF">
              <w:rPr>
                <w:rFonts w:ascii="Times New Roman" w:hAnsi="Times New Roman" w:cs="Times New Roman"/>
                <w:sz w:val="20"/>
                <w:szCs w:val="20"/>
                <w:lang w:val="en-US"/>
              </w:rPr>
              <w:t>di</w:t>
            </w:r>
            <w:r>
              <w:rPr>
                <w:rFonts w:ascii="Times New Roman" w:hAnsi="Times New Roman" w:cs="Times New Roman"/>
                <w:sz w:val="20"/>
                <w:szCs w:val="20"/>
                <w:lang w:val="en-US"/>
              </w:rPr>
              <w:t xml:space="preserve">fferentiation, which may promote hyaline articular cartilage repair </w:t>
            </w: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{"citationItems":[{"id":"ITEM-1","itemData":{"DOI":"10.1302/2046-3758.63.BJR-2016-0083","ISSN":"20463758","abstract":"Objectives: The aim of this study was to investigate the effect of granulocyte-colony stimulating factor (G-CSF) on mesenchymal stem cell (Msc) proliferation in vitro and to determine whether pre-microfracture systemic administration of G-CSF (a bone marrow stimulant) could improve the quality of repaired tissue of a full-thickness cartilage defect in a rabbit model. Methods: Mscs from rabbits were cultured in a control medium and medium with G-CSF (low-dose: 4 μg, high-dose: 40 μg). At one, three, and five days after culturing, cells were counted. Differential potential of cultured cells were examined by stimulating them with a osteogenic, adipogenic and chondrogenic medium. A total of 30 rabbits were divided into three groups. The low-dose group (n = 10) received 10 μg/kg of G-CSF daily, the high-dose group (n = 10) received 50 μg/kg daily by subcutaneous injection for three days prior to creating cartilage defects. The control group (n = 10) was administered saline for three days. At 48 hours after the first injection, a 5.2 mm diameter cylindrical osteochondral defect was created in the femoral trochlea. At four and 12 weeks post-operatively, repaired tissue was evaluated macroscopically and microscopically. Results: The cell count in the low-dose G-CSF medium was significantly higher than that in the control medium. The differentiation potential of Mscs was preserved after culturing them with G-CSF. Macroscopically, defects were filled and surfaces were smoother in the G-CSF groups than in the control group at four weeks. At 12 weeks, the quality of repaired cartilage improved further, and defects were almost completely filled in all groups. Microscopically, at four weeks, defects were partially filled with hyaline-like cartilage in the G-CSF groups. At 12 weeks, defects were repaired with hyaline-like cartilage in all groups. Conclusions: G-CSF promoted proliferation of Mscs in vitro. The systemic administration of G-CSF promoted the repair of damaged cartilage possibly through increasing the number of Mscs in a rabbit model.","author":[{"dropping-particle":"","family":"Sasaki","given":"T.","non-dropping-particle":"","parse-names":false,"suffix":""},{"dropping-particle":"","family":"Akagi","given":"R.","non-dropping-particle":"","parse-names":false,"suffix":""},{"dropping-particle":"","family":"Akatsu","given":"Y.","non-dropping-particle":"","parse-names":false,"suffix":""},{"dropping-particle":"","family":"Fukawa","given":"T.","non-dropping-particle":"","parse-names":false,"suffix":""},{"dropping-particle":"","family":"Hoshi","given":"H.","non-dropping-particle":"","parse-names":false,"suffix":""},{"dropping-particle":"","family":"Yamamoto","given":"Y.","non-dropping-particle":"","parse-names":false,"suffix":""},{"dropping-particle":"","family":"Enomoto","given":"T.","non-dropping-particle":"","parse-names":false,"suffix":""},{"dropping-particle":"","family":"Sato","given":"Y.","non-dropping-particle":"","parse-names":false,"suffix":""},{"dropping-particle":"","family":"Nakagawa","given":"R.","non-dropping-particle":"","parse-names":false,"suffix":""},{"dropping-particle":"","family":"Takahashi","given":"K.","non-dropping-particle":"","parse-names":false,"suffix":""},{"dropping-particle":"","family":"Yamaguchi","given":"S.","non-dropping-particle":"","parse-names":false,"suffix":""},{"dropping-particle":"","family":"Sasho","given":"T.","non-dropping-particle":"","parse-names":false,"suffix":""}],"container-title":"Bone and Joint Research","id":"ITEM-1","issue":"3","issued":{"date-parts":[["2017"]]},"page":"123-131","title":"The effect of systemic administration of G-CSF on a full-thickness cartilage defect in a rabbit model MSC proliferation as presumed mechanism: G-CSF for cartilage repair","type":"article-journal","volume":"6"},"uris":["http://www.mendeley.com/documents/?uuid=6be4a75d-2ad4-4cdb-a41b-9ff20df56640"]}],"mendeley":{"formattedCitation":"[4]","plainTextFormattedCitation":"[4]","previouslyFormattedCitation":"[4]"},"properties":{"noteIndex":0},"schema":"https://github.com/citation-style-language/schema/raw/master/csl-citation.json"}</w:instrText>
            </w:r>
            <w:r>
              <w:rPr>
                <w:rFonts w:ascii="Times New Roman" w:hAnsi="Times New Roman" w:cs="Times New Roman"/>
                <w:sz w:val="20"/>
                <w:szCs w:val="20"/>
                <w:lang w:val="en-US"/>
              </w:rPr>
              <w:fldChar w:fldCharType="separate"/>
            </w:r>
            <w:r w:rsidRPr="00A34ACF">
              <w:rPr>
                <w:rFonts w:ascii="Times New Roman" w:hAnsi="Times New Roman" w:cs="Times New Roman"/>
                <w:noProof/>
                <w:sz w:val="20"/>
                <w:szCs w:val="20"/>
                <w:lang w:val="en-US"/>
              </w:rPr>
              <w:t>[4]</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p>
        </w:tc>
      </w:tr>
      <w:tr w:rsidR="00845F5C" w:rsidRPr="00CF1F65" w14:paraId="2D5F4D86" w14:textId="77777777" w:rsidTr="00E960F5">
        <w:tc>
          <w:tcPr>
            <w:tcW w:w="2547" w:type="dxa"/>
          </w:tcPr>
          <w:p w14:paraId="5D273414"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Granulocyte-macrophage colony-stimulating factor (GM-CSF)</w:t>
            </w:r>
          </w:p>
        </w:tc>
        <w:tc>
          <w:tcPr>
            <w:tcW w:w="6662" w:type="dxa"/>
          </w:tcPr>
          <w:p w14:paraId="4405CB91" w14:textId="77777777" w:rsidR="00845F5C" w:rsidRPr="00CF1F65"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Stimulates proliferation of multi-lineage progenitors and growth of granulocytes and macrophages. </w:t>
            </w:r>
            <w:r w:rsidRPr="00CF1F65">
              <w:rPr>
                <w:rFonts w:ascii="Times New Roman" w:hAnsi="Times New Roman" w:cs="Times New Roman"/>
                <w:sz w:val="20"/>
                <w:szCs w:val="20"/>
                <w:lang w:val="en-US"/>
              </w:rPr>
              <w:t>Mobilize peripheral blood stem cells. Can enhance chondrogenic differentiation o</w:t>
            </w:r>
            <w:r>
              <w:rPr>
                <w:rFonts w:ascii="Times New Roman" w:hAnsi="Times New Roman" w:cs="Times New Roman"/>
                <w:sz w:val="20"/>
                <w:szCs w:val="20"/>
                <w:lang w:val="en-US"/>
              </w:rPr>
              <w:t xml:space="preserve">f MSCs and cartilage repair, but has also been shown to promote cartilage degradation in inflammatory rheumatoid arthritis  through activation of neutrophil granulocytes </w:t>
            </w: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{"citationItems":[{"id":"ITEM-1","itemData":{"DOI":"10.1016/j.joca.2017.03.002","ISSN":"15229653","PMID":"28284999","abstract":"Objective To investigate whether granulocyte macrophage-colony stimulating factor (GM-CSF) can be used to increase the number of mesenchymal stem cells (MSCs) in blood clots formed by microfracture arthroplasty (MFX) and whether it can improve the therapeutic outcome for cartilage repair. Methods Thirty-six New Zealand white rabbits were divided into four groups: (1) control, (2) GM-CSF, (3) MFX, and (4) GM-CSF + MFX. GM-CSF was administrated intravenously (IV) at 10 μg/kg body weight 20 min before the MFX surgery. The repaired tissues were retrieved and examined by histological observation, quantitative assessment, and biochemical assays at 4, 8, and 12 weeks after treatment. The number of MSCs was measured in the blood clots by the colony forming unit-fibroblast (CFU-F) assay. The kinetic profile and distribution of GM-CSF in vivo was also evaluated by near-Infrared (NIR) fluorescence imaging and enzyme-linked immune sorbent assay. Results In the histological observations and chemical assays examined at 4, 8, and 12 weeks, the MFX after GM-CSF administration showed better cartilage repair than the one without GM-CSF. The CFU-F assay showed a significantly larger amount of MSCs present in the blood clots of the GM-CSF + MFX group than in the blood clots of the other groups. The blood concentration of GM-CSF peaked at 10 min and decreased back to almost the initial level after a couple of hours. GM-CSF was distributed in many organs including the bone marrow but was not observed clearly in the joint cavity. Conclusion Intravenous administration of GM-CSF together with MFX could be a promising therapeutic protocol to enhance the repair of cartilage defects.","author":[{"dropping-particle":"","family":"Truong","given":"M. D.","non-dropping-particle":"","parse-names":false,"suffix":""},{"dropping-particle":"","family":"Choi","given":"B. H.","non-dropping-particle":"","parse-names":false,"suffix":""},{"dropping-particle":"","family":"Kim","given":"Y. J.","non-dropping-particle":"","parse-names":false,"suffix":""},{"dropping-particle":"","family":"Kim","given":"M. S.","non-dropping-particle":"","parse-names":false,"suffix":""},{"dropping-particle":"","family":"Min","given":"B. H.","non-dropping-particle":"","parse-names":false,"suffix":""}],"container-title":"Osteoarthritis and Cartilage","id":"ITEM-1","issue":"8","issued":{"date-parts":[["2017"]]},"page":"1345-1352","publisher":"Elsevier Ltd","title":"Granulocyte macrophage – colony stimulating factor (GM-CSF) significantly enhances articular cartilage repair potential by microfracture","type":"article-journal","volume":"25"},"uris":["http://www.mendeley.com/documents/?uuid=8e6d189e-e31d-41b8-9cf8-eb493581843b"]},{"id":"ITEM-2","itemData":{"DOI":"https://doi.org/10.1016/S1471-4906(02)02260-3","abstract":"Granulocyte macrophage-colony stimulating factor (GM-CSF) is now best viewed as a major regulator governing the functions of granulocyte and macrophage lineage populations at all stages of maturation. There is recent evidence for a key role for GM-CSF in inflammatory and autoimmune diseases, therefore making it worthy of consideration for targetting. Such evidence includes disease exacerbation following its administration and amelioration of disease in animal models by GM-CSF gene targetting or by anti-GM-CSF antibody blockade. The interdependence of GM-CSF formation and that of the important proinflammatory cytokines, interleukin-1 and tumour necrosis factor-α (TNF-α), is discussed, as is the greater disease suppression found in arthritis models following GM-CSF depletion compared with that observed in the absence of TNF-α.","author":[{"dropping-particle":"","family":"Hamilton","given":"JA.","non-dropping-particle":"","parse-names":false,"suffix":""}],"container-title":"Trends in Immunology","id":"ITEM-2","issue":"8","issued":{"date-parts":[["2002"]]},"page":"403-408","title":"GM-CSF in inflammation and autoimmunity","type":"article-journal","volume":"23"},"uris":["http://www.mendeley.com/documents/?uuid=80d81aec-c758-499d-b1b8-e8680348c207"]}],"mendeley":{"formattedCitation":"[5,6]","plainTextFormattedCitation":"[5,6]","previouslyFormattedCitation":"[5,6]"},"properties":{"noteIndex":0},"schema":"https://github.com/citation-style-language/schema/raw/master/csl-citation.json"}</w:instrText>
            </w:r>
            <w:r>
              <w:rPr>
                <w:rFonts w:ascii="Times New Roman" w:hAnsi="Times New Roman" w:cs="Times New Roman"/>
                <w:sz w:val="20"/>
                <w:szCs w:val="20"/>
                <w:lang w:val="en-US"/>
              </w:rPr>
              <w:fldChar w:fldCharType="separate"/>
            </w:r>
            <w:r w:rsidRPr="006C271A">
              <w:rPr>
                <w:rFonts w:ascii="Times New Roman" w:hAnsi="Times New Roman" w:cs="Times New Roman"/>
                <w:noProof/>
                <w:sz w:val="20"/>
                <w:szCs w:val="20"/>
                <w:lang w:val="en-US"/>
              </w:rPr>
              <w:t>[5,6]</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p>
        </w:tc>
      </w:tr>
      <w:tr w:rsidR="00845F5C" w:rsidRPr="009F7737" w14:paraId="303BECF5" w14:textId="77777777" w:rsidTr="00E960F5">
        <w:tc>
          <w:tcPr>
            <w:tcW w:w="2547" w:type="dxa"/>
          </w:tcPr>
          <w:p w14:paraId="3C2DCAF9" w14:textId="77777777" w:rsidR="00845F5C" w:rsidRPr="009F7737" w:rsidRDefault="00845F5C" w:rsidP="00E960F5">
            <w:pPr>
              <w:rPr>
                <w:rFonts w:ascii="Times New Roman" w:hAnsi="Times New Roman" w:cs="Times New Roman"/>
                <w:sz w:val="20"/>
                <w:szCs w:val="20"/>
              </w:rPr>
            </w:pPr>
            <w:proofErr w:type="spellStart"/>
            <w:r w:rsidRPr="009F7737">
              <w:rPr>
                <w:rFonts w:ascii="Times New Roman" w:hAnsi="Times New Roman" w:cs="Times New Roman"/>
                <w:sz w:val="20"/>
                <w:szCs w:val="20"/>
              </w:rPr>
              <w:t>Grandzyme</w:t>
            </w:r>
            <w:proofErr w:type="spellEnd"/>
            <w:r w:rsidRPr="009F7737">
              <w:rPr>
                <w:rFonts w:ascii="Times New Roman" w:hAnsi="Times New Roman" w:cs="Times New Roman"/>
                <w:sz w:val="20"/>
                <w:szCs w:val="20"/>
              </w:rPr>
              <w:t xml:space="preserve"> B</w:t>
            </w:r>
          </w:p>
        </w:tc>
        <w:tc>
          <w:tcPr>
            <w:tcW w:w="6662" w:type="dxa"/>
          </w:tcPr>
          <w:p w14:paraId="43D07C43"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Induce inflammation. Involved in extracellular matrix remodelling. Can degrade aggrecan and stimulate matrix metalloproteinase expression from chondrocytes. </w:t>
            </w:r>
          </w:p>
        </w:tc>
      </w:tr>
      <w:tr w:rsidR="00845F5C" w:rsidRPr="009F7737" w14:paraId="2B1563C8" w14:textId="77777777" w:rsidTr="00E960F5">
        <w:tc>
          <w:tcPr>
            <w:tcW w:w="2547" w:type="dxa"/>
          </w:tcPr>
          <w:p w14:paraId="05FE4BF3"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Growth-related oncogene (GRO) α</w:t>
            </w:r>
          </w:p>
        </w:tc>
        <w:tc>
          <w:tcPr>
            <w:tcW w:w="6662" w:type="dxa"/>
          </w:tcPr>
          <w:p w14:paraId="07B44DB2"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Chemoattractant for leucocytes, particularly neutrophils. Can stimulate cell proliferation.  </w:t>
            </w:r>
          </w:p>
        </w:tc>
      </w:tr>
      <w:tr w:rsidR="00845F5C" w:rsidRPr="009F7737" w14:paraId="583C962B" w14:textId="77777777" w:rsidTr="00E960F5">
        <w:tc>
          <w:tcPr>
            <w:tcW w:w="2547" w:type="dxa"/>
          </w:tcPr>
          <w:p w14:paraId="6EA1B962"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Growth-related oncogene (GRO) β</w:t>
            </w:r>
          </w:p>
        </w:tc>
        <w:tc>
          <w:tcPr>
            <w:tcW w:w="6662" w:type="dxa"/>
          </w:tcPr>
          <w:p w14:paraId="4D51DA9D"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Chemoattractant for granulocytes, particularly neutrophils. Inhibits endothelial cell proliferation and angiogenesis. </w:t>
            </w:r>
          </w:p>
        </w:tc>
      </w:tr>
      <w:tr w:rsidR="00845F5C" w:rsidRPr="009F7737" w14:paraId="01D8E2E7" w14:textId="77777777" w:rsidTr="00E960F5">
        <w:tc>
          <w:tcPr>
            <w:tcW w:w="2547" w:type="dxa"/>
          </w:tcPr>
          <w:p w14:paraId="2759E75C"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lastRenderedPageBreak/>
              <w:t>Interferon (IFN)-α2</w:t>
            </w:r>
          </w:p>
        </w:tc>
        <w:tc>
          <w:tcPr>
            <w:tcW w:w="6662" w:type="dxa"/>
          </w:tcPr>
          <w:p w14:paraId="3F0D71F0"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Activate the immune system. Inhibit osteoclast-genesis. Antiviral effect. Inhibit proliferation of cancer cells. </w:t>
            </w:r>
          </w:p>
        </w:tc>
      </w:tr>
      <w:tr w:rsidR="00845F5C" w:rsidRPr="009F7737" w14:paraId="77047DFE" w14:textId="77777777" w:rsidTr="00E960F5">
        <w:tc>
          <w:tcPr>
            <w:tcW w:w="2547" w:type="dxa"/>
          </w:tcPr>
          <w:p w14:paraId="78855BCE"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Interferon (IFN)-β</w:t>
            </w:r>
          </w:p>
        </w:tc>
        <w:tc>
          <w:tcPr>
            <w:tcW w:w="6662" w:type="dxa"/>
          </w:tcPr>
          <w:p w14:paraId="2F1FEE44"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Reduce inflammation and slows cartilage destruction. Lower synovial inflammation, cartilage and bone destruction. Balances the expression of pro- and anti-inflammatory cells</w:t>
            </w:r>
            <w:r>
              <w:rPr>
                <w:rFonts w:ascii="Times New Roman" w:hAnsi="Times New Roman" w:cs="Times New Roman"/>
                <w:sz w:val="20"/>
                <w:szCs w:val="20"/>
              </w:rPr>
              <w:t xml:space="preserve"> by down-regulating proinflammatory cytokines like IL-1β and TNF-α and enhancing anti-inflammatory cytokines like IL-10 and IL-1Ra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{"citationItems":[{"id":"ITEM-1","itemData":{"DOI":"10.1186/ar1165","ISSN":"14786362","PMID":"15142270","abstract":"We investigated the therapeutic potential and mechanism of action of IFN-β protein for the treatment of rheumatoid arthritis (RA). Collagen-induced arthritis was induced in DBA/1 mice. At the first clinical sign of disease, mice were given daily injections of recombinant mouse IFN-β or saline for 7 days. Disease progression was monitored by visual clinical scoring and measurement of paw swelling. Inflammation and joint destruction were assessed histologically 8 days after the onset of arthritis. Proteoglycan depletion was determined by safranin O staining. Expression of cytokines, receptor activator of NF-κB ligand, and c-Fos was evaluated immunohistochemically. The IL-1-induced expression of IL-6, IL-8, and granulocyte/macrophage-colony-stimulating factor (GM-CSF) was studied by ELISA in supernatant of RA and osteoarthritis fibroblast-like synoviocytes incubated with IFN-β. We also examined the effect of IFN-β on NF-κB activity. IFN-β, at 0.25 μg/injection and higher, significantly reduced disease severity in two experiments, each using 8–10 mice per treatment group. IFN-β-treated animals displayed significantly less cartilage and bone destruction than controls, paralleled by a decreased number of positive cells of two gene products required for osteoclastogenesis, receptor activator of NF-κB ligand and c-Fos. Tumor necrosis factor α and IL-6 expression were significantly reduced, while IL-10 production was increased after IFN-β treatment. IFN-β reduced expression of IL-6, IL-8, and GM-CSF in RA and osteoarthritis fibroblast-like synoviocytes, correlating with reduced NF-κB activity. The data support the view that IFN-β is a potential therapy for RA that might help to diminish both joint inflammation and destruction by cytokine modulation.","author":[{"dropping-particle":"","family":"Holten","given":"Judith","non-dropping-particle":"van","parse-names":false,"suffix":""},{"dropping-particle":"","family":"Reedquist","given":"Kris","non-dropping-particle":"","parse-names":false,"suffix":""},{"dropping-particle":"","family":"Sattonet-Roche","given":"Pascale","non-dropping-particle":"","parse-names":false,"suffix":""},{"dropping-particle":"","family":"Smeets","given":"Tom Jm","non-dropping-particle":"","parse-names":false,"suffix":""},{"dropping-particle":"","family":"Plater-Zyberk","given":"Christine","non-dropping-particle":"","parse-names":false,"suffix":""},{"dropping-particle":"","family":"Vervoordeldonk","given":"Margriet J.","non-dropping-particle":"","parse-names":false,"suffix":""},{"dropping-particle":"","family":"Tak","given":"Paul P.","non-dropping-particle":"","parse-names":false,"suffix":""}],"container-title":"Arthritis Research and Therapy","id":"ITEM-1","issue":"3","issued":{"date-parts":[["2004"]]},"page":"239-249","title":"Treatment with recombinant interferon-β reduces inflammation and slows cartilage destruction in the collagen-induced arthritis model of rheumatoid arthritis","type":"article-journal","volume":"6"},"uris":["http://www.mendeley.com/documents/?uuid=141d16cb-9d07-4ad1-89fb-c5d3c7ff2ea1"]}],"mendeley":{"formattedCitation":"[7]","plainTextFormattedCitation":"[7]","previouslyFormattedCitation":"[7]"},"properties":{"noteIndex":0},"schema":"https://github.com/citation-style-language/schema/raw/master/csl-citation.json"}</w:instrText>
            </w:r>
            <w:r>
              <w:rPr>
                <w:rFonts w:ascii="Times New Roman" w:hAnsi="Times New Roman" w:cs="Times New Roman"/>
                <w:sz w:val="20"/>
                <w:szCs w:val="20"/>
              </w:rPr>
              <w:fldChar w:fldCharType="separate"/>
            </w:r>
            <w:r w:rsidRPr="00201308">
              <w:rPr>
                <w:rFonts w:ascii="Times New Roman" w:hAnsi="Times New Roman" w:cs="Times New Roman"/>
                <w:noProof/>
                <w:sz w:val="20"/>
                <w:szCs w:val="20"/>
              </w:rPr>
              <w:t>[7]</w:t>
            </w:r>
            <w:r>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p>
        </w:tc>
      </w:tr>
      <w:tr w:rsidR="00845F5C" w:rsidRPr="009F7737" w14:paraId="341EAF6D" w14:textId="77777777" w:rsidTr="00E960F5">
        <w:tc>
          <w:tcPr>
            <w:tcW w:w="2547" w:type="dxa"/>
          </w:tcPr>
          <w:p w14:paraId="02626A92"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Interferon (</w:t>
            </w:r>
            <w:r w:rsidRPr="009F7737">
              <w:rPr>
                <w:rFonts w:ascii="Times New Roman" w:hAnsi="Times New Roman" w:cs="Times New Roman"/>
                <w:color w:val="auto"/>
                <w:sz w:val="20"/>
                <w:szCs w:val="20"/>
                <w:lang w:val="en-US"/>
              </w:rPr>
              <w:t>IFN</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-γ</w:t>
            </w:r>
          </w:p>
        </w:tc>
        <w:tc>
          <w:tcPr>
            <w:tcW w:w="6662" w:type="dxa"/>
          </w:tcPr>
          <w:p w14:paraId="149F08BB"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Propagates inflammatory and degenerative events in </w:t>
            </w:r>
            <w:proofErr w:type="spellStart"/>
            <w:r w:rsidRPr="009F7737">
              <w:rPr>
                <w:rFonts w:ascii="Times New Roman" w:hAnsi="Times New Roman" w:cs="Times New Roman"/>
                <w:sz w:val="20"/>
                <w:szCs w:val="20"/>
              </w:rPr>
              <w:t>articular</w:t>
            </w:r>
            <w:proofErr w:type="spellEnd"/>
            <w:r w:rsidRPr="009F7737">
              <w:rPr>
                <w:rFonts w:ascii="Times New Roman" w:hAnsi="Times New Roman" w:cs="Times New Roman"/>
                <w:sz w:val="20"/>
                <w:szCs w:val="20"/>
              </w:rPr>
              <w:t xml:space="preserve"> chondrocytes and osteoblasts - contribute to joint degeneration </w:t>
            </w:r>
            <w:r>
              <w:rPr>
                <w:rFonts w:ascii="Times New Roman" w:hAnsi="Times New Roman" w:cs="Times New Roman"/>
                <w:sz w:val="20"/>
                <w:szCs w:val="20"/>
              </w:rPr>
              <w:t>particularly in inflammatory conditions</w:t>
            </w:r>
            <w:r w:rsidRPr="009F7737">
              <w:rPr>
                <w:rFonts w:ascii="Times New Roman" w:hAnsi="Times New Roman" w:cs="Times New Roman"/>
                <w:sz w:val="20"/>
                <w:szCs w:val="20"/>
              </w:rPr>
              <w:t>. IFN-</w:t>
            </w:r>
            <w:r>
              <w:rPr>
                <w:rFonts w:ascii="Times New Roman" w:hAnsi="Times New Roman" w:cs="Times New Roman"/>
                <w:sz w:val="20"/>
                <w:szCs w:val="20"/>
              </w:rPr>
              <w:t>γ</w:t>
            </w:r>
            <w:r w:rsidRPr="009F7737">
              <w:rPr>
                <w:rFonts w:ascii="Times New Roman" w:hAnsi="Times New Roman" w:cs="Times New Roman"/>
                <w:sz w:val="20"/>
                <w:szCs w:val="20"/>
              </w:rPr>
              <w:t xml:space="preserve"> treatment of chondrocytes and osteoblasts increase </w:t>
            </w:r>
            <w:r>
              <w:rPr>
                <w:rFonts w:ascii="Times New Roman" w:hAnsi="Times New Roman" w:cs="Times New Roman"/>
                <w:sz w:val="20"/>
                <w:szCs w:val="20"/>
              </w:rPr>
              <w:t>expression</w:t>
            </w:r>
            <w:r w:rsidRPr="009F7737">
              <w:rPr>
                <w:rFonts w:ascii="Times New Roman" w:hAnsi="Times New Roman" w:cs="Times New Roman"/>
                <w:sz w:val="20"/>
                <w:szCs w:val="20"/>
              </w:rPr>
              <w:t xml:space="preserve"> of TNF-</w:t>
            </w:r>
            <w:r>
              <w:rPr>
                <w:rFonts w:ascii="Times New Roman" w:hAnsi="Times New Roman" w:cs="Times New Roman"/>
                <w:sz w:val="20"/>
                <w:szCs w:val="20"/>
              </w:rPr>
              <w:t>α</w:t>
            </w:r>
            <w:r w:rsidRPr="009F7737">
              <w:rPr>
                <w:rFonts w:ascii="Times New Roman" w:hAnsi="Times New Roman" w:cs="Times New Roman"/>
                <w:sz w:val="20"/>
                <w:szCs w:val="20"/>
              </w:rPr>
              <w:t>, IL-6, STAT1</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{"citationItems":[{"id":"ITEM-1","itemData":{"DOI":"10.1016/j.bbrep.2022.101323","ISSN":"24055808","abstract":"Osteoarthritis (OA) affects multiple tissues of the synovial joint and is characterised by articular cartilage degeneration and bone remodelling. Interferon-γ (IFN-γ) is implicated in osteoarthritis pathology exerting its biological effects via various mechanisms including activation of protein kinase R (PKR), which has been implicated in inflammation and arthritis. This study investigated whether treatment of articular cartilage chondrocytes and osteoblasts with IFN-γ could induce a degradative phenotype that was mediated through the PKR signalling pathway. IFN-γ treatment of chondrocytes increased transcription of key inflammatory mediators (TNF-α, IL-6), matrix degrading enzymes (MMP-13), the transcription factor STAT1, and PKR. Activation of PKR was involved in the regulation of TNF-α, IL-6, and STAT1. In osteoblasts, IFN-γ increased human and mouse STAT1, and human IL-6 through a mechanism involving PKR. ALP, COL1A1 (human and mouse), RUNX2 (mouse), and PHOSPHO1 (mouse) were decreased by IFN-γ. The number of PKR positive cells were increased in post-traumatic OA (PTOA). This study has revealed that IFN-γ propagates inflammatory and degenerative events in articular chondrocytes and osteoblasts via PKR activation. Since IFN-γ and PKR signalling are both activated in early PTOA, these mechanisms are likely to contribute to joint degeneration after injury and might offer attractive targets for therapeutic intervention.","author":[{"dropping-particle":"","family":"Gilbert","given":"S. J.","non-dropping-particle":"","parse-names":false,"suffix":""},{"dropping-particle":"","family":"Blain","given":"E. J.","non-dropping-particle":"","parse-names":false,"suffix":""},{"dropping-particle":"","family":"Mason","given":"D. J.","non-dropping-particle":"","parse-names":false,"suffix":""}],"container-title":"Biochemistry and Biophysics Reports","id":"ITEM-1","issue":"July","issued":{"date-parts":[["2022"]]},"page":"101323","publisher":"Elsevier B.V.","title":"Interferon-gamma modulates articular chondrocyte and osteoblast metabolism through protein kinase R-independent and dependent mechanisms","type":"article-journal","volume":"32"},"uris":["http://www.mendeley.com/documents/?uuid=05bb0709-f4cc-4a2f-a5d3-e43e77ff284b"]}],"mendeley":{"formattedCitation":"[8]","plainTextFormattedCitation":"[8]","previouslyFormattedCitation":"[8]"},"properties":{"noteIndex":0},"schema":"https://github.com/citation-style-language/schema/raw/master/csl-citation.json"}</w:instrText>
            </w:r>
            <w:r>
              <w:rPr>
                <w:rFonts w:ascii="Times New Roman" w:hAnsi="Times New Roman" w:cs="Times New Roman"/>
                <w:sz w:val="20"/>
                <w:szCs w:val="20"/>
              </w:rPr>
              <w:fldChar w:fldCharType="separate"/>
            </w:r>
            <w:r w:rsidRPr="002838A3">
              <w:rPr>
                <w:rFonts w:ascii="Times New Roman" w:hAnsi="Times New Roman" w:cs="Times New Roman"/>
                <w:noProof/>
                <w:sz w:val="20"/>
                <w:szCs w:val="20"/>
              </w:rPr>
              <w:t>[8]</w:t>
            </w:r>
            <w:r>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r>
              <w:rPr>
                <w:rFonts w:ascii="Times New Roman" w:hAnsi="Times New Roman" w:cs="Times New Roman"/>
                <w:sz w:val="20"/>
                <w:szCs w:val="20"/>
              </w:rPr>
              <w:t xml:space="preserve">On the other hand, </w:t>
            </w:r>
            <w:r w:rsidRPr="009F7737">
              <w:rPr>
                <w:rFonts w:ascii="Times New Roman" w:hAnsi="Times New Roman" w:cs="Times New Roman"/>
                <w:sz w:val="20"/>
                <w:szCs w:val="20"/>
              </w:rPr>
              <w:t>IFN-</w:t>
            </w:r>
            <w:r>
              <w:rPr>
                <w:rFonts w:ascii="Times New Roman" w:hAnsi="Times New Roman" w:cs="Times New Roman"/>
                <w:sz w:val="20"/>
                <w:szCs w:val="20"/>
              </w:rPr>
              <w:t>γ</w:t>
            </w:r>
            <w:r w:rsidRPr="009F7737">
              <w:rPr>
                <w:rFonts w:ascii="Times New Roman" w:hAnsi="Times New Roman" w:cs="Times New Roman"/>
                <w:sz w:val="20"/>
                <w:szCs w:val="20"/>
              </w:rPr>
              <w:t xml:space="preserve"> inhibits IL</w:t>
            </w:r>
            <w:r>
              <w:rPr>
                <w:rFonts w:ascii="Times New Roman" w:hAnsi="Times New Roman" w:cs="Times New Roman"/>
                <w:sz w:val="20"/>
                <w:szCs w:val="20"/>
              </w:rPr>
              <w:t>-</w:t>
            </w:r>
            <w:r w:rsidRPr="009F7737">
              <w:rPr>
                <w:rFonts w:ascii="Times New Roman" w:hAnsi="Times New Roman" w:cs="Times New Roman"/>
                <w:sz w:val="20"/>
                <w:szCs w:val="20"/>
              </w:rPr>
              <w:t>1</w:t>
            </w:r>
            <w:r>
              <w:rPr>
                <w:rFonts w:ascii="Times New Roman" w:hAnsi="Times New Roman" w:cs="Times New Roman"/>
                <w:sz w:val="20"/>
                <w:szCs w:val="20"/>
              </w:rPr>
              <w:t>β</w:t>
            </w:r>
            <w:r w:rsidRPr="009F7737">
              <w:rPr>
                <w:rFonts w:ascii="Times New Roman" w:hAnsi="Times New Roman" w:cs="Times New Roman"/>
                <w:sz w:val="20"/>
                <w:szCs w:val="20"/>
              </w:rPr>
              <w:t>-induced matrix metalloproteinase production by synovial fibroblasts and protects articular cartilage in EARLY arthritis</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{"citationItems":[{"id":"ITEM-1","itemData":{"DOI":"10.1186/ar2960","ISSN":"14786354","PMID":"20307272","abstract":"Introduction: The first few months after symptom onset represents a pathologically distinct phase in rheumatoid arthritis (RA). We used relevant experimental models to define the pathological role of interferon-γ (IFN-γ) during early inflammatory arthritis.Methods: We studied IFN-γ's capacity to modulate interleukin-1β (IL-1β) induced degenerative responses using RA fibroblast-like synoviocytes (FLS), a bovine articular cartilage explant (BACE)/RA-FLS co-culture model and an experimental inflammatory arthritis model (murine antigen-induced arthritis (AIA)).Results: IFN-γ modulated IL-1β driven matrix metalloproteinases (MMP) synthesis resulting in the down-regulation of MMP-1 and MMP-3 production in vitro. IFN-γ did not affect IL-1β induced tissue inhibitor of metalloproteinase-1 (TIMP-1) production by RA FLS but skewed the MMP/TIMP-1 balance sufficiently to attenuate glycosaminoglycan-depletion in our BACE model. IFN-γ reduced IL-1β expression in the arthritic joint and prevented cartilage degeneration on Day 3 of AIA.Conclusions: Early therapeutic intervention with IFN-γ may be critical to orchestrate tissue-protective responses during inflammatory arthritis. © 2010 Page et al.; licensee BioMed Central Ltd.","author":[{"dropping-particle":"","family":"Page","given":"Charlotte E.","non-dropping-particle":"","parse-names":false,"suffix":""},{"dropping-particle":"","family":"Smale","given":"Shaun","non-dropping-particle":"","parse-names":false,"suffix":""},{"dropping-particle":"","family":"Carty","given":"Sara M.","non-dropping-particle":"","parse-names":false,"suffix":""},{"dropping-particle":"","family":"Amos","given":"Nicholas","non-dropping-particle":"","parse-names":false,"suffix":""},{"dropping-particle":"","family":"Lauder","given":"Sarah N.","non-dropping-particle":"","parse-names":false,"suffix":""},{"dropping-particle":"","family":"Goodfellow","given":"Rhian M.","non-dropping-particle":"","parse-names":false,"suffix":""},{"dropping-particle":"","family":"Richards","given":"Peter J.","non-dropping-particle":"","parse-names":false,"suffix":""},{"dropping-particle":"","family":"Jones","given":"Simon A.","non-dropping-particle":"","parse-names":false,"suffix":""},{"dropping-particle":"","family":"Topley","given":"Nicholas","non-dropping-particle":"","parse-names":false,"suffix":""},{"dropping-particle":"","family":"Williams","given":"Anwen S.","non-dropping-particle":"","parse-names":false,"suffix":""}],"container-title":"Arthritis Research and Therapy","id":"ITEM-1","issue":"2","issued":{"date-parts":[["2010"]]},"title":"Interferon-γ inhibits interleukin-1β-induced matrix metalloproteinase production by synovial fibroblasts and protects articular cartilage in early arthritis","type":"article-journal","volume":"12"},"uris":["http://www.mendeley.com/documents/?uuid=022a2a29-57ea-49d2-879c-bfb603b6e52f"]}],"mendeley":{"formattedCitation":"[9]","plainTextFormattedCitation":"[9]","previouslyFormattedCitation":"[9]"},"properties":{"noteIndex":0},"schema":"https://github.com/citation-style-language/schema/raw/master/csl-citation.json"}</w:instrText>
            </w:r>
            <w:r>
              <w:rPr>
                <w:rFonts w:ascii="Times New Roman" w:hAnsi="Times New Roman" w:cs="Times New Roman"/>
                <w:sz w:val="20"/>
                <w:szCs w:val="20"/>
              </w:rPr>
              <w:fldChar w:fldCharType="separate"/>
            </w:r>
            <w:r w:rsidRPr="002838A3">
              <w:rPr>
                <w:rFonts w:ascii="Times New Roman" w:hAnsi="Times New Roman" w:cs="Times New Roman"/>
                <w:noProof/>
                <w:sz w:val="20"/>
                <w:szCs w:val="20"/>
              </w:rPr>
              <w:t>[9]</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9F7737">
              <w:rPr>
                <w:rFonts w:ascii="Times New Roman" w:hAnsi="Times New Roman" w:cs="Times New Roman"/>
                <w:sz w:val="20"/>
                <w:szCs w:val="20"/>
              </w:rPr>
              <w:t>IFN-</w:t>
            </w:r>
            <w:r>
              <w:rPr>
                <w:rFonts w:ascii="Times New Roman" w:hAnsi="Times New Roman" w:cs="Times New Roman"/>
                <w:sz w:val="20"/>
                <w:szCs w:val="20"/>
              </w:rPr>
              <w:t>γ</w:t>
            </w:r>
            <w:r w:rsidRPr="009F7737">
              <w:rPr>
                <w:rFonts w:ascii="Times New Roman" w:hAnsi="Times New Roman" w:cs="Times New Roman"/>
                <w:sz w:val="20"/>
                <w:szCs w:val="20"/>
              </w:rPr>
              <w:t xml:space="preserve"> </w:t>
            </w:r>
            <w:proofErr w:type="spellStart"/>
            <w:r w:rsidRPr="009F7737">
              <w:rPr>
                <w:rFonts w:ascii="Times New Roman" w:hAnsi="Times New Roman" w:cs="Times New Roman"/>
                <w:sz w:val="20"/>
                <w:szCs w:val="20"/>
              </w:rPr>
              <w:t>signaling</w:t>
            </w:r>
            <w:proofErr w:type="spellEnd"/>
            <w:r w:rsidRPr="009F7737">
              <w:rPr>
                <w:rFonts w:ascii="Times New Roman" w:hAnsi="Times New Roman" w:cs="Times New Roman"/>
                <w:sz w:val="20"/>
                <w:szCs w:val="20"/>
              </w:rPr>
              <w:t xml:space="preserve"> has also been shown to promote cartilage regeneration</w:t>
            </w:r>
            <w:r>
              <w:rPr>
                <w:rFonts w:ascii="Times New Roman" w:hAnsi="Times New Roman" w:cs="Times New Roman"/>
                <w:sz w:val="20"/>
                <w:szCs w:val="20"/>
              </w:rPr>
              <w:t xml:space="preserve"> and mobilization of macrophages, as an early response, to the injury site</w:t>
            </w:r>
            <w:r w:rsidRPr="009F7737">
              <w:rPr>
                <w:rFonts w:ascii="Times New Roman" w:hAnsi="Times New Roman" w:cs="Times New Roman"/>
                <w:sz w:val="20"/>
                <w:szCs w:val="20"/>
              </w:rPr>
              <w:t xml:space="preserve"> after </w:t>
            </w:r>
            <w:r>
              <w:rPr>
                <w:rFonts w:ascii="Times New Roman" w:hAnsi="Times New Roman" w:cs="Times New Roman"/>
                <w:sz w:val="20"/>
                <w:szCs w:val="20"/>
              </w:rPr>
              <w:t xml:space="preserve">a full-thickness cartilage injury in young mice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{"citationItems":[{"id":"ITEM-1","itemData":{"DOI":"10.1038/s41598-024-58779-0","ISBN":"0123456789","ISSN":"20452322","PMID":"38580748","abstract":"Osteoarthritis is a common chronic disease and major cause of disability and chronic pain in ageing populations. In this pathology, the entire joint is involved, and the regeneration of articular cartilage still remains one of the main challenges. Here, we investigated the molecular mechanisms underlying cartilage regeneration in young mice using a full-thickness cartilage injury (FTCI) model. FTCI-induced cartilage defects were created in the femoral trochlea of young and adult C57BL/6 mice. To identify key molecules and pathways involved in the early response to cartilage injury, we performed RNA sequencing (RNA-seq) analysis of cartilage RNA at 3 days after injury. Young mice showed superior cartilage regeneration compared to adult mice after cartilage injury. RNA-seq analysis revealed significant upregulation of genes associated with the immune response, particularly in the IFN-γ signaling pathway and qRT-PCR analysis showed macrophage polarization in the early phase of cartilage regeneration (3 days) in young mice after injury, which might promote the removal of damaged or necrotic cells and initiate cartilage regeneration in response to injury. IFN-γR1- and IFN-γ-deficient mice exhibited impaired cartilage regeneration following cartilage injury. DMM-induced and spontaneous OA phenotypes were exacerbated in IFN-γR1−/− mice than in wild-type mice. Our data support the hypothesis that IFN-γ signaling is necessary for cartilage regeneration, as well as for the amelioration of post-traumatic and age-induced OA.","author":[{"dropping-particle":"","family":"Kim","given":"Ju Ryoung","non-dropping-particle":"","parse-names":false,"suffix":""},{"dropping-particle":"","family":"Hong","given":"Bong Ki","non-dropping-particle":"","parse-names":false,"suffix":""},{"dropping-particle":"","family":"Pham","given":"Thi Hong Nhung","non-dropping-particle":"","parse-names":false,"suffix":""},{"dropping-particle":"","family":"Kim","given":"Wan Uk","non-dropping-particle":"","parse-names":false,"suffix":""},{"dropping-particle":"","family":"Kim","given":"Hyun Ah","non-dropping-particle":"","parse-names":false,"suffix":""}],"container-title":"Scientific Reports","id":"ITEM-1","issue":"1","issued":{"date-parts":[["2024"]]},"page":"1-16","publisher":"Nature Publishing Group UK","title":"Interferon-gamma signaling promotes cartilage regeneration after injury","type":"article-journal","volume":"14"},"uris":["http://www.mendeley.com/documents/?uuid=73c6858c-3656-4f5f-a444-7b320613d5d5"]}],"mendeley":{"formattedCitation":"[10]","plainTextFormattedCitation":"[10]","previouslyFormattedCitation":"[10]"},"properties":{"noteIndex":0},"schema":"https://github.com/citation-style-language/schema/raw/master/csl-citation.json"}</w:instrText>
            </w:r>
            <w:r>
              <w:rPr>
                <w:rFonts w:ascii="Times New Roman" w:hAnsi="Times New Roman" w:cs="Times New Roman"/>
                <w:sz w:val="20"/>
                <w:szCs w:val="20"/>
              </w:rPr>
              <w:fldChar w:fldCharType="separate"/>
            </w:r>
            <w:r w:rsidRPr="00207B77">
              <w:rPr>
                <w:rFonts w:ascii="Times New Roman" w:hAnsi="Times New Roman" w:cs="Times New Roman"/>
                <w:noProof/>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t>.</w:t>
            </w:r>
            <w:r w:rsidRPr="009F7737">
              <w:rPr>
                <w:rFonts w:ascii="Times New Roman" w:hAnsi="Times New Roman" w:cs="Times New Roman"/>
                <w:sz w:val="20"/>
                <w:szCs w:val="20"/>
              </w:rPr>
              <w:t xml:space="preserve">   </w:t>
            </w:r>
          </w:p>
        </w:tc>
      </w:tr>
      <w:tr w:rsidR="00845F5C" w:rsidRPr="009F7737" w14:paraId="659AFD00" w14:textId="77777777" w:rsidTr="00E960F5">
        <w:tc>
          <w:tcPr>
            <w:tcW w:w="2547" w:type="dxa"/>
          </w:tcPr>
          <w:p w14:paraId="183CA9A3"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Interleukin (</w:t>
            </w:r>
            <w:r w:rsidRPr="009F7737">
              <w:rPr>
                <w:rFonts w:ascii="Times New Roman" w:hAnsi="Times New Roman" w:cs="Times New Roman"/>
                <w:color w:val="auto"/>
                <w:sz w:val="20"/>
                <w:szCs w:val="20"/>
                <w:lang w:val="en-US"/>
              </w:rPr>
              <w:t>IL</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-1α</w:t>
            </w:r>
          </w:p>
        </w:tc>
        <w:tc>
          <w:tcPr>
            <w:tcW w:w="6662" w:type="dxa"/>
          </w:tcPr>
          <w:p w14:paraId="6A449F2A" w14:textId="5314ED7B"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Promotes release of multiple inflammatory mediators and acute phase proteins. Supports hematopoietic stem cell expansion, promotes neutrophil mobilization from the bone marrow, and promotes osteoclast formation. Enhance </w:t>
            </w:r>
            <w:r w:rsidR="00160A4E">
              <w:rPr>
                <w:rFonts w:ascii="Times New Roman" w:hAnsi="Times New Roman" w:cs="Times New Roman"/>
                <w:sz w:val="20"/>
                <w:szCs w:val="20"/>
              </w:rPr>
              <w:t>synovitis and induce nerve growth factor (NGF), which increase pain</w:t>
            </w:r>
            <w:r w:rsidRPr="009F7737">
              <w:rPr>
                <w:rFonts w:ascii="Times New Roman" w:hAnsi="Times New Roman" w:cs="Times New Roman"/>
                <w:sz w:val="20"/>
                <w:szCs w:val="20"/>
              </w:rPr>
              <w:t xml:space="preserve">. Stimulate matrix metalloproteinases involved in cartilage destruction and </w:t>
            </w:r>
            <w:r w:rsidR="00160A4E">
              <w:rPr>
                <w:rFonts w:ascii="Times New Roman" w:hAnsi="Times New Roman" w:cs="Times New Roman"/>
                <w:sz w:val="20"/>
                <w:szCs w:val="20"/>
              </w:rPr>
              <w:t xml:space="preserve">OA, and inhibits cartilage matrix (aggrecan and collagen type II) synthesis </w:t>
            </w:r>
            <w:r w:rsidR="00160A4E">
              <w:rPr>
                <w:rFonts w:ascii="Times New Roman" w:hAnsi="Times New Roman" w:cs="Times New Roman"/>
                <w:sz w:val="20"/>
                <w:szCs w:val="20"/>
              </w:rPr>
              <w:fldChar w:fldCharType="begin" w:fldLock="1"/>
            </w:r>
            <w:r w:rsidR="00160A4E">
              <w:rPr>
                <w:rFonts w:ascii="Times New Roman" w:hAnsi="Times New Roman" w:cs="Times New Roman"/>
                <w:sz w:val="20"/>
                <w:szCs w:val="20"/>
              </w:rPr>
              <w:instrText>ADDIN CSL_CITATION {"citationItems":[{"id":"ITEM-1","itemData":{"DOI":"10.1016/S0083-6729(06)74016-X","abstract":"Interleukin (IL)-1 is a cytokine that plays a major role in inflammatory responses in the context of infections and immune-mediated diseases. IL-1 refers to two different cytokines, termed IL-1alpha and IL-1beta, produced from two genes. IL-1alpha and IL-1beta are produced by different cell types following stimulation by bacterial products, cytokines, and immune complexes. Monocytes/macrophages are the primary source of IL-1beta. Both cytokines do not possess leader peptide sequences and do not follow a classical secretory pathway. IL-1alpha is mainly cell associated, whereas IL-1beta can be released from activated cells after cleavage of its amino-terminal region by caspase-1. IL-1 is present in the synovial tissue and fluids of patients with rheumatoid arthritis. Several in vitro studies have shown that IL-1 stimulates the production of mediators such as prostaglandin E(2), nitric oxide, cytokines, chemokines, and adhesion molecules that are involved in articular inflammation. Furthermore, IL-1 stimulates the synthesis and activity of matrix metalloproteinases and other enzymes involved in cartilage destruction in rheumatoid arthritis and osteoarthritis. The effects of IL-1 are inhibited in vitro and in vivo by natural inhibitors such as IL-1 receptor antagonist and soluble receptors. IL-1 receptor antagonist belongs to the IL-1 family of cytokines and binds to IL-1 receptors but does not induce any intracellular response. IL-1 receptor antagonist inhibits the effect of IL-1 by blocking its interaction with cell surface receptors. The use of IL-1 inhibitors in experimental models of inflammatory arthritis and osteoarthritis has provided a strong support for the role of IL-1 in the pathogeny of these diseases. Most importantly, these findings have been confirmed in clinical trials in patients with rheumatic diseases. Additional strategies aimed to block the effect of IL-1 are tested in clinical trials.","author":[{"dropping-particle":"","family":"Jacques","given":"C.","non-dropping-particle":"","parse-names":false,"suffix":""},{"dropping-particle":"","family":"Gosset","given":"M","non-dropping-particle":"","parse-names":false,"suffix":""},{"dropping-particle":"","family":"Berenbaum","given":"F.","non-dropping-particle":"","parse-names":false,"suffix":""},{"dropping-particle":"","family":"Gabay","given":"C.","non-dropping-particle":"","parse-names":false,"suffix":""}],"container-title":"Vitam Horm.","id":"ITEM-1","issued":{"date-parts":[["2006"]]},"page":"371-403","title":"The role of IL-1 and IL-1Ra in joint inflammation and cartilage degradation","type":"article-journal","volume":"74"},"uris":["http://www.mendeley.com/documents/?uuid=07afc9cd-fd10-4a44-87f9-213491ba586c"]}],"mendeley":{"formattedCitation":"[11]","plainTextFormattedCitation":"[11]","previouslyFormattedCitation":"[11]"},"properties":{"noteIndex":0},"schema":"https://github.com/citation-style-language/schema/raw/master/csl-citation.json"}</w:instrText>
            </w:r>
            <w:r w:rsidR="00160A4E">
              <w:rPr>
                <w:rFonts w:ascii="Times New Roman" w:hAnsi="Times New Roman" w:cs="Times New Roman"/>
                <w:sz w:val="20"/>
                <w:szCs w:val="20"/>
              </w:rPr>
              <w:fldChar w:fldCharType="separate"/>
            </w:r>
            <w:r w:rsidR="00160A4E" w:rsidRPr="00160A4E">
              <w:rPr>
                <w:rFonts w:ascii="Times New Roman" w:hAnsi="Times New Roman" w:cs="Times New Roman"/>
                <w:noProof/>
                <w:sz w:val="20"/>
                <w:szCs w:val="20"/>
              </w:rPr>
              <w:t>[11]</w:t>
            </w:r>
            <w:r w:rsidR="00160A4E">
              <w:rPr>
                <w:rFonts w:ascii="Times New Roman" w:hAnsi="Times New Roman" w:cs="Times New Roman"/>
                <w:sz w:val="20"/>
                <w:szCs w:val="20"/>
              </w:rPr>
              <w:fldChar w:fldCharType="end"/>
            </w:r>
            <w:r w:rsidR="00160A4E">
              <w:rPr>
                <w:rFonts w:ascii="Times New Roman" w:hAnsi="Times New Roman" w:cs="Times New Roman"/>
                <w:sz w:val="20"/>
                <w:szCs w:val="20"/>
              </w:rPr>
              <w:t xml:space="preserve">. </w:t>
            </w:r>
          </w:p>
        </w:tc>
      </w:tr>
      <w:tr w:rsidR="00845F5C" w:rsidRPr="009F7737" w14:paraId="684DB4A8" w14:textId="77777777" w:rsidTr="00E960F5">
        <w:tc>
          <w:tcPr>
            <w:tcW w:w="2547" w:type="dxa"/>
          </w:tcPr>
          <w:p w14:paraId="05E8D4AD"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Interleukin (</w:t>
            </w:r>
            <w:r w:rsidRPr="009F7737">
              <w:rPr>
                <w:rFonts w:ascii="Times New Roman" w:hAnsi="Times New Roman" w:cs="Times New Roman"/>
                <w:color w:val="auto"/>
                <w:sz w:val="20"/>
                <w:szCs w:val="20"/>
                <w:lang w:val="en-US"/>
              </w:rPr>
              <w:t>IL</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-1β</w:t>
            </w:r>
          </w:p>
        </w:tc>
        <w:tc>
          <w:tcPr>
            <w:tcW w:w="6662" w:type="dxa"/>
          </w:tcPr>
          <w:p w14:paraId="5033A4FF" w14:textId="45252DB8" w:rsidR="00845F5C" w:rsidRPr="009F7737" w:rsidRDefault="00496EA5" w:rsidP="00E960F5">
            <w:pPr>
              <w:rPr>
                <w:rFonts w:ascii="Times New Roman" w:hAnsi="Times New Roman" w:cs="Times New Roman"/>
                <w:sz w:val="20"/>
                <w:szCs w:val="20"/>
              </w:rPr>
            </w:pPr>
            <w:r>
              <w:rPr>
                <w:rFonts w:ascii="Times New Roman" w:hAnsi="Times New Roman" w:cs="Times New Roman"/>
                <w:sz w:val="20"/>
                <w:szCs w:val="20"/>
              </w:rPr>
              <w:t xml:space="preserve">Major pro-inflammatory and catabolic factor in OA. </w:t>
            </w:r>
            <w:r w:rsidR="00845F5C" w:rsidRPr="009F7737">
              <w:rPr>
                <w:rFonts w:ascii="Times New Roman" w:hAnsi="Times New Roman" w:cs="Times New Roman"/>
                <w:sz w:val="20"/>
                <w:szCs w:val="20"/>
              </w:rPr>
              <w:t>Primarily secreted by monocytes and macrophages. Enhance joint inflammation, subchondral bone destruction and cartilage degradation. Found abundantly elevated in OA</w:t>
            </w:r>
            <w:r w:rsidR="00FE71C8">
              <w:rPr>
                <w:rFonts w:ascii="Times New Roman" w:hAnsi="Times New Roman" w:cs="Times New Roman"/>
                <w:sz w:val="20"/>
                <w:szCs w:val="20"/>
              </w:rPr>
              <w:t xml:space="preserve"> where it stimulates chondrocytes to produce matrix metalloproteinases to promote cartilage degradation</w:t>
            </w:r>
            <w:r w:rsidR="00845F5C" w:rsidRPr="009F7737">
              <w:rPr>
                <w:rFonts w:ascii="Times New Roman" w:hAnsi="Times New Roman" w:cs="Times New Roman"/>
                <w:sz w:val="20"/>
                <w:szCs w:val="20"/>
              </w:rPr>
              <w:t>. IL-1</w:t>
            </w:r>
            <w:r w:rsidR="00845F5C" w:rsidRPr="009F7737">
              <w:rPr>
                <w:rFonts w:ascii="Times New Roman" w:hAnsi="Times New Roman" w:cs="Times New Roman"/>
                <w:color w:val="auto"/>
                <w:sz w:val="20"/>
                <w:szCs w:val="20"/>
                <w:lang w:val="en-US"/>
              </w:rPr>
              <w:t>β</w:t>
            </w:r>
            <w:r w:rsidR="00845F5C" w:rsidRPr="009F7737">
              <w:rPr>
                <w:rFonts w:ascii="Times New Roman" w:hAnsi="Times New Roman" w:cs="Times New Roman"/>
                <w:sz w:val="20"/>
                <w:szCs w:val="20"/>
              </w:rPr>
              <w:t xml:space="preserve"> induces chondrocyte nitric oxide production</w:t>
            </w:r>
            <w:r w:rsidR="00FE71C8">
              <w:rPr>
                <w:rFonts w:ascii="Times New Roman" w:hAnsi="Times New Roman" w:cs="Times New Roman"/>
                <w:sz w:val="20"/>
                <w:szCs w:val="20"/>
              </w:rPr>
              <w:t>, which</w:t>
            </w:r>
            <w:r w:rsidR="00845F5C" w:rsidRPr="009F7737">
              <w:rPr>
                <w:rFonts w:ascii="Times New Roman" w:hAnsi="Times New Roman" w:cs="Times New Roman"/>
                <w:sz w:val="20"/>
                <w:szCs w:val="20"/>
              </w:rPr>
              <w:t xml:space="preserve"> leads to reduced collagen synthesis and</w:t>
            </w:r>
            <w:r w:rsidR="00FE71C8">
              <w:rPr>
                <w:rFonts w:ascii="Times New Roman" w:hAnsi="Times New Roman" w:cs="Times New Roman"/>
                <w:sz w:val="20"/>
                <w:szCs w:val="20"/>
              </w:rPr>
              <w:t xml:space="preserve"> enhanced</w:t>
            </w:r>
            <w:r w:rsidR="00845F5C" w:rsidRPr="009F7737">
              <w:rPr>
                <w:rFonts w:ascii="Times New Roman" w:hAnsi="Times New Roman" w:cs="Times New Roman"/>
                <w:sz w:val="20"/>
                <w:szCs w:val="20"/>
              </w:rPr>
              <w:t xml:space="preserve"> chondrocyte apoptosis.</w:t>
            </w:r>
            <w:r w:rsidR="00FE71C8">
              <w:rPr>
                <w:rFonts w:ascii="Times New Roman" w:hAnsi="Times New Roman" w:cs="Times New Roman"/>
                <w:sz w:val="20"/>
                <w:szCs w:val="20"/>
              </w:rPr>
              <w:t xml:space="preserve"> Also e</w:t>
            </w:r>
            <w:r w:rsidR="00FE71C8" w:rsidRPr="009F7737">
              <w:rPr>
                <w:rFonts w:ascii="Times New Roman" w:hAnsi="Times New Roman" w:cs="Times New Roman"/>
                <w:sz w:val="20"/>
                <w:szCs w:val="20"/>
              </w:rPr>
              <w:t>nhance osteoclast activity</w:t>
            </w:r>
            <w:r w:rsidR="008D5C7A">
              <w:rPr>
                <w:rFonts w:ascii="Times New Roman" w:hAnsi="Times New Roman" w:cs="Times New Roman"/>
                <w:sz w:val="20"/>
                <w:szCs w:val="20"/>
              </w:rPr>
              <w:t xml:space="preserve"> </w:t>
            </w:r>
            <w:r w:rsidR="008D5C7A">
              <w:rPr>
                <w:rFonts w:ascii="Times New Roman" w:hAnsi="Times New Roman" w:cs="Times New Roman"/>
                <w:sz w:val="20"/>
                <w:szCs w:val="20"/>
              </w:rPr>
              <w:fldChar w:fldCharType="begin" w:fldLock="1"/>
            </w:r>
            <w:r w:rsidR="00FE73B9">
              <w:rPr>
                <w:rFonts w:ascii="Times New Roman" w:hAnsi="Times New Roman" w:cs="Times New Roman"/>
                <w:sz w:val="20"/>
                <w:szCs w:val="20"/>
              </w:rPr>
              <w:instrText>ADDIN CSL_CITATION {"citationItems":[{"id":"ITEM-1","itemData":{"DOI":"10.1016/S0083-6729(06)74016-X","abstract":"Interleukin (IL)-1 is a cytokine that plays a major role in inflammatory responses in the context of infections and immune-mediated diseases. IL-1 refers to two different cytokines, termed IL-1alpha and IL-1beta, produced from two genes. IL-1alpha and IL-1beta are produced by different cell types following stimulation by bacterial products, cytokines, and immune complexes. Monocytes/macrophages are the primary source of IL-1beta. Both cytokines do not possess leader peptide sequences and do not follow a classical secretory pathway. IL-1alpha is mainly cell associated, whereas IL-1beta can be released from activated cells after cleavage of its amino-terminal region by caspase-1. IL-1 is present in the synovial tissue and fluids of patients with rheumatoid arthritis. Several in vitro studies have shown that IL-1 stimulates the production of mediators such as prostaglandin E(2), nitric oxide, cytokines, chemokines, and adhesion molecules that are involved in articular inflammation. Furthermore, IL-1 stimulates the synthesis and activity of matrix metalloproteinases and other enzymes involved in cartilage destruction in rheumatoid arthritis and osteoarthritis. The effects of IL-1 are inhibited in vitro and in vivo by natural inhibitors such as IL-1 receptor antagonist and soluble receptors. IL-1 receptor antagonist belongs to the IL-1 family of cytokines and binds to IL-1 receptors but does not induce any intracellular response. IL-1 receptor antagonist inhibits the effect of IL-1 by blocking its interaction with cell surface receptors. The use of IL-1 inhibitors in experimental models of inflammatory arthritis and osteoarthritis has provided a strong support for the role of IL-1 in the pathogeny of these diseases. Most importantly, these findings have been confirmed in clinical trials in patients with rheumatic diseases. Additional strategies aimed to block the effect of IL-1 are tested in clinical trials.","author":[{"dropping-particle":"","family":"Jacques","given":"C.","non-dropping-particle":"","parse-names":false,"suffix":""},{"dropping-particle":"","family":"Gosset","given":"M","non-dropping-particle":"","parse-names":false,"suffix":""},{"dropping-particle":"","family":"Berenbaum","given":"F.","non-dropping-particle":"","parse-names":false,"suffix":""},{"dropping-particle":"","family":"Gabay","given":"C.","non-dropping-particle":"","parse-names":false,"suffix":""}],"container-title":"Vitam Horm.","id":"ITEM-1","issued":{"date-parts":[["2006"]]},"page":"371-403","title":"The role of IL-1 and IL-1Ra in joint inflammation and cartilage degradation","type":"article-journal","volume":"74"},"uris":["http://www.mendeley.com/documents/?uuid=07afc9cd-fd10-4a44-87f9-213491ba586c"]}],"mendeley":{"formattedCitation":"[11]","plainTextFormattedCitation":"[11]","previouslyFormattedCitation":"[11]"},"properties":{"noteIndex":0},"schema":"https://github.com/citation-style-language/schema/raw/master/csl-citation.json"}</w:instrText>
            </w:r>
            <w:r w:rsidR="008D5C7A">
              <w:rPr>
                <w:rFonts w:ascii="Times New Roman" w:hAnsi="Times New Roman" w:cs="Times New Roman"/>
                <w:sz w:val="20"/>
                <w:szCs w:val="20"/>
              </w:rPr>
              <w:fldChar w:fldCharType="separate"/>
            </w:r>
            <w:r w:rsidR="008D5C7A" w:rsidRPr="008D5C7A">
              <w:rPr>
                <w:rFonts w:ascii="Times New Roman" w:hAnsi="Times New Roman" w:cs="Times New Roman"/>
                <w:noProof/>
                <w:sz w:val="20"/>
                <w:szCs w:val="20"/>
              </w:rPr>
              <w:t>[11]</w:t>
            </w:r>
            <w:r w:rsidR="008D5C7A">
              <w:rPr>
                <w:rFonts w:ascii="Times New Roman" w:hAnsi="Times New Roman" w:cs="Times New Roman"/>
                <w:sz w:val="20"/>
                <w:szCs w:val="20"/>
              </w:rPr>
              <w:fldChar w:fldCharType="end"/>
            </w:r>
            <w:r w:rsidR="00FE71C8" w:rsidRPr="009F7737">
              <w:rPr>
                <w:rFonts w:ascii="Times New Roman" w:hAnsi="Times New Roman" w:cs="Times New Roman"/>
                <w:sz w:val="20"/>
                <w:szCs w:val="20"/>
              </w:rPr>
              <w:t xml:space="preserve">.  </w:t>
            </w:r>
          </w:p>
        </w:tc>
      </w:tr>
      <w:tr w:rsidR="00845F5C" w:rsidRPr="009F7737" w14:paraId="19226DC8" w14:textId="77777777" w:rsidTr="00E960F5">
        <w:tc>
          <w:tcPr>
            <w:tcW w:w="2547" w:type="dxa"/>
          </w:tcPr>
          <w:p w14:paraId="08189210" w14:textId="2A60EDF4"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Interleukin (</w:t>
            </w:r>
            <w:r w:rsidRPr="009F7737">
              <w:rPr>
                <w:rFonts w:ascii="Times New Roman" w:hAnsi="Times New Roman" w:cs="Times New Roman"/>
                <w:color w:val="auto"/>
                <w:sz w:val="20"/>
                <w:szCs w:val="20"/>
                <w:lang w:val="en-US"/>
              </w:rPr>
              <w:t>IL</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-1</w:t>
            </w:r>
            <w:r w:rsidR="00160A4E">
              <w:rPr>
                <w:rFonts w:ascii="Times New Roman" w:hAnsi="Times New Roman" w:cs="Times New Roman"/>
                <w:color w:val="auto"/>
                <w:sz w:val="20"/>
                <w:szCs w:val="20"/>
                <w:lang w:val="en-US"/>
              </w:rPr>
              <w:t xml:space="preserve"> receptor antagonist (</w:t>
            </w:r>
            <w:proofErr w:type="spellStart"/>
            <w:r w:rsidRPr="009F7737">
              <w:rPr>
                <w:rFonts w:ascii="Times New Roman" w:hAnsi="Times New Roman" w:cs="Times New Roman"/>
                <w:color w:val="auto"/>
                <w:sz w:val="20"/>
                <w:szCs w:val="20"/>
                <w:lang w:val="en-US"/>
              </w:rPr>
              <w:t>ra</w:t>
            </w:r>
            <w:proofErr w:type="spellEnd"/>
            <w:r w:rsidR="00160A4E">
              <w:rPr>
                <w:rFonts w:ascii="Times New Roman" w:hAnsi="Times New Roman" w:cs="Times New Roman"/>
                <w:color w:val="auto"/>
                <w:sz w:val="20"/>
                <w:szCs w:val="20"/>
                <w:lang w:val="en-US"/>
              </w:rPr>
              <w:t>)</w:t>
            </w:r>
          </w:p>
        </w:tc>
        <w:tc>
          <w:tcPr>
            <w:tcW w:w="6662" w:type="dxa"/>
          </w:tcPr>
          <w:p w14:paraId="31A81B0C" w14:textId="5C1E8491" w:rsidR="00845F5C" w:rsidRPr="009F7737" w:rsidRDefault="008D5C7A" w:rsidP="00E960F5">
            <w:pPr>
              <w:rPr>
                <w:rFonts w:ascii="Times New Roman" w:hAnsi="Times New Roman" w:cs="Times New Roman"/>
                <w:sz w:val="20"/>
                <w:szCs w:val="20"/>
              </w:rPr>
            </w:pPr>
            <w:r>
              <w:rPr>
                <w:rFonts w:ascii="Times New Roman" w:hAnsi="Times New Roman" w:cs="Times New Roman"/>
                <w:sz w:val="20"/>
                <w:szCs w:val="20"/>
              </w:rPr>
              <w:t>Anti-inflammatory action</w:t>
            </w:r>
            <w:r w:rsidR="00845F5C" w:rsidRPr="009F7737">
              <w:rPr>
                <w:rFonts w:ascii="Times New Roman" w:hAnsi="Times New Roman" w:cs="Times New Roman"/>
                <w:sz w:val="20"/>
                <w:szCs w:val="20"/>
              </w:rPr>
              <w:t>.  IL-1ra blocks IL-1</w:t>
            </w:r>
            <w:r>
              <w:rPr>
                <w:rFonts w:ascii="Times New Roman" w:hAnsi="Times New Roman" w:cs="Times New Roman"/>
                <w:sz w:val="20"/>
                <w:szCs w:val="20"/>
              </w:rPr>
              <w:t xml:space="preserve"> (both α and β)</w:t>
            </w:r>
            <w:r w:rsidR="00845F5C" w:rsidRPr="009F7737">
              <w:rPr>
                <w:rFonts w:ascii="Times New Roman" w:hAnsi="Times New Roman" w:cs="Times New Roman"/>
                <w:sz w:val="20"/>
                <w:szCs w:val="20"/>
              </w:rPr>
              <w:t xml:space="preserve"> action through competitive inhibition</w:t>
            </w:r>
            <w:r w:rsidR="00160A4E">
              <w:rPr>
                <w:rFonts w:ascii="Times New Roman" w:hAnsi="Times New Roman" w:cs="Times New Roman"/>
                <w:sz w:val="20"/>
                <w:szCs w:val="20"/>
              </w:rPr>
              <w:t xml:space="preserve"> </w:t>
            </w:r>
            <w:r w:rsidR="00160A4E">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{"citationItems":[{"id":"ITEM-1","itemData":{"DOI":"10.1016/S0083-6729(06)74016-X","abstract":"Interleukin (IL)-1 is a cytokine that plays a major role in inflammatory responses in the context of infections and immune-mediated diseases. IL-1 refers to two different cytokines, termed IL-1alpha and IL-1beta, produced from two genes. IL-1alpha and IL-1beta are produced by different cell types following stimulation by bacterial products, cytokines, and immune complexes. Monocytes/macrophages are the primary source of IL-1beta. Both cytokines do not possess leader peptide sequences and do not follow a classical secretory pathway. IL-1alpha is mainly cell associated, whereas IL-1beta can be released from activated cells after cleavage of its amino-terminal region by caspase-1. IL-1 is present in the synovial tissue and fluids of patients with rheumatoid arthritis. Several in vitro studies have shown that IL-1 stimulates the production of mediators such as prostaglandin E(2), nitric oxide, cytokines, chemokines, and adhesion molecules that are involved in articular inflammation. Furthermore, IL-1 stimulates the synthesis and activity of matrix metalloproteinases and other enzymes involved in cartilage destruction in rheumatoid arthritis and osteoarthritis. The effects of IL-1 are inhibited in vitro and in vivo by natural inhibitors such as IL-1 receptor antagonist and soluble receptors. IL-1 receptor antagonist belongs to the IL-1 family of cytokines and binds to IL-1 receptors but does not induce any intracellular response. IL-1 receptor antagonist inhibits the effect of IL-1 by blocking its interaction with cell surface receptors. The use of IL-1 inhibitors in experimental models of inflammatory arthritis and osteoarthritis has provided a strong support for the role of IL-1 in the pathogeny of these diseases. Most importantly, these findings have been confirmed in clinical trials in patients with rheumatic diseases. Additional strategies aimed to block the effect of IL-1 are tested in clinical trials.","author":[{"dropping-particle":"","family":"Jacques","given":"C.","non-dropping-particle":"","parse-names":false,"suffix":""},{"dropping-particle":"","family":"Gosset","given":"M","non-dropping-particle":"","parse-names":false,"suffix":""},{"dropping-particle":"","family":"Berenbaum","given":"F.","non-dropping-particle":"","parse-names":false,"suffix":""},{"dropping-particle":"","family":"Gabay","given":"C.","non-dropping-particle":"","parse-names":false,"suffix":""}],"container-title":"Vitam Horm.","id":"ITEM-1","issued":{"date-parts":[["2006"]]},"page":"371-403","title":"The role of IL-1 and IL-1Ra in joint inflammation and cartilage degradation","type":"article-journal","volume":"74"},"uris":["http://www.mendeley.com/documents/?uuid=07afc9cd-fd10-4a44-87f9-213491ba586c"]}],"mendeley":{"formattedCitation":"[11]","plainTextFormattedCitation":"[11]","previouslyFormattedCitation":"[11]"},"properties":{"noteIndex":0},"schema":"https://github.com/citation-style-language/schema/raw/master/csl-citation.json"}</w:instrText>
            </w:r>
            <w:r w:rsidR="00160A4E">
              <w:rPr>
                <w:rFonts w:ascii="Times New Roman" w:hAnsi="Times New Roman" w:cs="Times New Roman"/>
                <w:sz w:val="20"/>
                <w:szCs w:val="20"/>
              </w:rPr>
              <w:fldChar w:fldCharType="separate"/>
            </w:r>
            <w:r w:rsidR="00160A4E" w:rsidRPr="00160A4E">
              <w:rPr>
                <w:rFonts w:ascii="Times New Roman" w:hAnsi="Times New Roman" w:cs="Times New Roman"/>
                <w:noProof/>
                <w:sz w:val="20"/>
                <w:szCs w:val="20"/>
              </w:rPr>
              <w:t>[11]</w:t>
            </w:r>
            <w:r w:rsidR="00160A4E">
              <w:rPr>
                <w:rFonts w:ascii="Times New Roman" w:hAnsi="Times New Roman" w:cs="Times New Roman"/>
                <w:sz w:val="20"/>
                <w:szCs w:val="20"/>
              </w:rPr>
              <w:fldChar w:fldCharType="end"/>
            </w:r>
            <w:r w:rsidR="00160A4E">
              <w:rPr>
                <w:rFonts w:ascii="Times New Roman" w:hAnsi="Times New Roman" w:cs="Times New Roman"/>
                <w:sz w:val="20"/>
                <w:szCs w:val="20"/>
              </w:rPr>
              <w:t>.</w:t>
            </w:r>
          </w:p>
        </w:tc>
      </w:tr>
      <w:tr w:rsidR="00845F5C" w:rsidRPr="009F7737" w14:paraId="75EF5985" w14:textId="77777777" w:rsidTr="00E960F5">
        <w:tc>
          <w:tcPr>
            <w:tcW w:w="2547" w:type="dxa"/>
          </w:tcPr>
          <w:p w14:paraId="58DA6400"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-2</w:t>
            </w:r>
          </w:p>
        </w:tc>
        <w:tc>
          <w:tcPr>
            <w:tcW w:w="6662" w:type="dxa"/>
          </w:tcPr>
          <w:p w14:paraId="4D3B45BE" w14:textId="7CDC767E" w:rsidR="00845F5C" w:rsidRPr="009F7737" w:rsidRDefault="000B69C5" w:rsidP="00E960F5">
            <w:pPr>
              <w:rPr>
                <w:rFonts w:ascii="Times New Roman" w:hAnsi="Times New Roman" w:cs="Times New Roman"/>
                <w:sz w:val="20"/>
                <w:szCs w:val="20"/>
              </w:rPr>
            </w:pPr>
            <w:r>
              <w:rPr>
                <w:rFonts w:ascii="Times New Roman" w:hAnsi="Times New Roman" w:cs="Times New Roman"/>
                <w:sz w:val="20"/>
                <w:szCs w:val="20"/>
              </w:rPr>
              <w:t xml:space="preserve">Pro-inflammatory factor. Promotes growth and activity of T and B lymphocytes. </w:t>
            </w:r>
            <w:r w:rsidR="00845F5C" w:rsidRPr="009F7737">
              <w:rPr>
                <w:rFonts w:ascii="Times New Roman" w:hAnsi="Times New Roman" w:cs="Times New Roman"/>
                <w:sz w:val="20"/>
                <w:szCs w:val="20"/>
              </w:rPr>
              <w:t>Low dose</w:t>
            </w:r>
            <w:r>
              <w:rPr>
                <w:rFonts w:ascii="Times New Roman" w:hAnsi="Times New Roman" w:cs="Times New Roman"/>
                <w:sz w:val="20"/>
                <w:szCs w:val="20"/>
              </w:rPr>
              <w:t xml:space="preserve"> of</w:t>
            </w:r>
            <w:r w:rsidR="00845F5C" w:rsidRPr="009F7737">
              <w:rPr>
                <w:rFonts w:ascii="Times New Roman" w:hAnsi="Times New Roman" w:cs="Times New Roman"/>
                <w:sz w:val="20"/>
                <w:szCs w:val="20"/>
              </w:rPr>
              <w:t xml:space="preserve"> IL-2</w:t>
            </w:r>
            <w:r>
              <w:rPr>
                <w:rFonts w:ascii="Times New Roman" w:hAnsi="Times New Roman" w:cs="Times New Roman"/>
                <w:sz w:val="20"/>
                <w:szCs w:val="20"/>
              </w:rPr>
              <w:t xml:space="preserve"> can</w:t>
            </w:r>
            <w:r w:rsidR="00845F5C" w:rsidRPr="009F7737">
              <w:rPr>
                <w:rFonts w:ascii="Times New Roman" w:hAnsi="Times New Roman" w:cs="Times New Roman"/>
                <w:sz w:val="20"/>
                <w:szCs w:val="20"/>
              </w:rPr>
              <w:t xml:space="preserve"> suppress </w:t>
            </w:r>
            <w:r>
              <w:rPr>
                <w:rFonts w:ascii="Times New Roman" w:hAnsi="Times New Roman" w:cs="Times New Roman"/>
                <w:sz w:val="20"/>
                <w:szCs w:val="20"/>
              </w:rPr>
              <w:t>osteoclast formation</w:t>
            </w:r>
            <w:r w:rsidR="00845F5C" w:rsidRPr="009F7737">
              <w:rPr>
                <w:rFonts w:ascii="Times New Roman" w:hAnsi="Times New Roman" w:cs="Times New Roman"/>
                <w:sz w:val="20"/>
                <w:szCs w:val="20"/>
              </w:rPr>
              <w:t xml:space="preserve"> </w:t>
            </w:r>
            <w:r w:rsidR="00FE73B9">
              <w:rPr>
                <w:rFonts w:ascii="Times New Roman" w:hAnsi="Times New Roman" w:cs="Times New Roman"/>
                <w:sz w:val="20"/>
                <w:szCs w:val="20"/>
              </w:rPr>
              <w:fldChar w:fldCharType="begin" w:fldLock="1"/>
            </w:r>
            <w:r w:rsidR="00447DC3">
              <w:rPr>
                <w:rFonts w:ascii="Times New Roman" w:hAnsi="Times New Roman" w:cs="Times New Roman"/>
                <w:sz w:val="20"/>
                <w:szCs w:val="20"/>
              </w:rPr>
              <w:instrText>ADDIN CSL_CITATION {"citationItems":[{"id":"ITEM-1","itemData":{"DOI":"10.1002/iid3.364","ISSN":"20504527","PMID":"33098626","abstract":"Background: Rheumatoid arthritis (RA) is one of the most common chronic immune joint diseases, mainly involving blood vessels and small joints. The complex pathogenesis of RA greatly increases the difficulty of treatment. At present, the common hormone and immunosuppressive therapy are not effective, while low-dose interleukin-2 (IL-2) recently has been found to possess some advantages for immunotherapy. However, its related signal pathway remains to be elucidated. Methods: We fabricated the model of arthritis in mice, and then low-dose IL-2 was injected at a fixed time point to observe the changes of related vascular and organ pathology, inflammatory factors, and signal pathway proteins, which were verified by statistical analysis. Results: Low dose IL-2 can reduce the severity of vascular and bone lesions in collagen-induced arthritis immune model, and inhibit osteoclast formation in vitro by phosphorylation of nuclear factor-κB (NF-κB), which inhibits the receptor activator of NF-κB ligand effect through c-Jun N-terminal kinase (JNK) pathway, and its immunotherapeutic effect depends on the activation of JNK. Conclusion: It is the first time for us to prove that low dose IL-2 can inhibit osteoclast formation in collagen-induced arthritis through the JNK dependent pathway, which will provide the angle and theoretical basis for future immunotherapy of IL-2.","author":[{"dropping-particle":"","family":"Sun","given":"Han","non-dropping-particle":"","parse-names":false,"suffix":""},{"dropping-particle":"","family":"Zhao","given":"Yong","non-dropping-particle":"","parse-names":false,"suffix":""},{"dropping-particle":"","family":"Wang","given":"Kun","non-dropping-particle":"","parse-names":false,"suffix":""},{"dropping-particle":"","family":"Zhu","given":"Li","non-dropping-particle":"","parse-names":false,"suffix":""},{"dropping-particle":"","family":"Dong","given":"Jian","non-dropping-particle":"","parse-names":false,"suffix":""},{"dropping-particle":"","family":"Zhao","given":"Jie","non-dropping-particle":"","parse-names":false,"suffix":""},{"dropping-particle":"","family":"Wang","given":"Yimin","non-dropping-particle":"","parse-names":false,"suffix":""},{"dropping-particle":"","family":"Li","given":"Huan","non-dropping-particle":"","parse-names":false,"suffix":""},{"dropping-particle":"","family":"Sun","given":"Xiaoliang","non-dropping-particle":"","parse-names":false,"suffix":""},{"dropping-particle":"","family":"Lu","given":"Yunjie","non-dropping-particle":"","parse-names":false,"suffix":""}],"container-title":"Immunity, Inflammation and Disease","id":"ITEM-1","issue":"4","issued":{"date-parts":[["2020"]]},"page":"727-735","title":"Low dose IL-2 suppress osteoclastogenesis in collagen-induced arthritis via JNK dependent pathway","type":"article-journal","volume":"8"},"uris":["http://www.mendeley.com/documents/?uuid=b98ad53b-cb08-41f8-aa99-9dfa3aa159b9"]}],"mendeley":{"formattedCitation":"[12]","plainTextFormattedCitation":"[12]","previouslyFormattedCitation":"[12]"},"properties":{"noteIndex":0},"schema":"https://github.com/citation-style-language/schema/raw/master/csl-citation.json"}</w:instrText>
            </w:r>
            <w:r w:rsidR="00FE73B9">
              <w:rPr>
                <w:rFonts w:ascii="Times New Roman" w:hAnsi="Times New Roman" w:cs="Times New Roman"/>
                <w:sz w:val="20"/>
                <w:szCs w:val="20"/>
              </w:rPr>
              <w:fldChar w:fldCharType="separate"/>
            </w:r>
            <w:r w:rsidR="00FE73B9" w:rsidRPr="00FE73B9">
              <w:rPr>
                <w:rFonts w:ascii="Times New Roman" w:hAnsi="Times New Roman" w:cs="Times New Roman"/>
                <w:noProof/>
                <w:sz w:val="20"/>
                <w:szCs w:val="20"/>
              </w:rPr>
              <w:t>[12]</w:t>
            </w:r>
            <w:r w:rsidR="00FE73B9">
              <w:rPr>
                <w:rFonts w:ascii="Times New Roman" w:hAnsi="Times New Roman" w:cs="Times New Roman"/>
                <w:sz w:val="20"/>
                <w:szCs w:val="20"/>
              </w:rPr>
              <w:fldChar w:fldCharType="end"/>
            </w:r>
            <w:r w:rsidR="00FE73B9">
              <w:rPr>
                <w:rFonts w:ascii="Times New Roman" w:hAnsi="Times New Roman" w:cs="Times New Roman"/>
                <w:sz w:val="20"/>
                <w:szCs w:val="20"/>
              </w:rPr>
              <w:t>.</w:t>
            </w:r>
          </w:p>
        </w:tc>
      </w:tr>
      <w:tr w:rsidR="00845F5C" w:rsidRPr="009F7737" w14:paraId="0DE29B03" w14:textId="77777777" w:rsidTr="00E960F5">
        <w:tc>
          <w:tcPr>
            <w:tcW w:w="2547" w:type="dxa"/>
          </w:tcPr>
          <w:p w14:paraId="7A4A38CD"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-3</w:t>
            </w:r>
          </w:p>
        </w:tc>
        <w:tc>
          <w:tcPr>
            <w:tcW w:w="6662" w:type="dxa"/>
          </w:tcPr>
          <w:p w14:paraId="0C72097C" w14:textId="6859B564" w:rsidR="00845F5C" w:rsidRPr="009F7737" w:rsidRDefault="00FE73B9" w:rsidP="00E960F5">
            <w:pPr>
              <w:rPr>
                <w:rFonts w:ascii="Times New Roman" w:hAnsi="Times New Roman" w:cs="Times New Roman"/>
                <w:sz w:val="20"/>
                <w:szCs w:val="20"/>
              </w:rPr>
            </w:pPr>
            <w:r>
              <w:rPr>
                <w:rFonts w:ascii="Times New Roman" w:hAnsi="Times New Roman" w:cs="Times New Roman"/>
                <w:sz w:val="20"/>
                <w:szCs w:val="20"/>
              </w:rPr>
              <w:t>P</w:t>
            </w:r>
            <w:r w:rsidR="00845F5C" w:rsidRPr="009F7737">
              <w:rPr>
                <w:rFonts w:ascii="Times New Roman" w:hAnsi="Times New Roman" w:cs="Times New Roman"/>
                <w:sz w:val="20"/>
                <w:szCs w:val="20"/>
              </w:rPr>
              <w:t>rimarily secreted by activated T cells</w:t>
            </w:r>
            <w:r>
              <w:rPr>
                <w:rFonts w:ascii="Times New Roman" w:hAnsi="Times New Roman" w:cs="Times New Roman"/>
                <w:sz w:val="20"/>
                <w:szCs w:val="20"/>
              </w:rPr>
              <w:t>. P</w:t>
            </w:r>
            <w:r w:rsidR="00845F5C" w:rsidRPr="009F7737">
              <w:rPr>
                <w:rFonts w:ascii="Times New Roman" w:hAnsi="Times New Roman" w:cs="Times New Roman"/>
                <w:sz w:val="20"/>
                <w:szCs w:val="20"/>
              </w:rPr>
              <w:t xml:space="preserve">rotects </w:t>
            </w:r>
            <w:r w:rsidR="004F4705">
              <w:rPr>
                <w:rFonts w:ascii="Times New Roman" w:hAnsi="Times New Roman" w:cs="Times New Roman"/>
                <w:sz w:val="20"/>
                <w:szCs w:val="20"/>
              </w:rPr>
              <w:t xml:space="preserve">against </w:t>
            </w:r>
            <w:r w:rsidR="00845F5C" w:rsidRPr="009F7737">
              <w:rPr>
                <w:rFonts w:ascii="Times New Roman" w:hAnsi="Times New Roman" w:cs="Times New Roman"/>
                <w:sz w:val="20"/>
                <w:szCs w:val="20"/>
              </w:rPr>
              <w:t>cartilage and bone damage in murine models of inflammatory arthritis</w:t>
            </w:r>
            <w:r w:rsidR="00373549">
              <w:rPr>
                <w:rFonts w:ascii="Times New Roman" w:hAnsi="Times New Roman" w:cs="Times New Roman"/>
                <w:sz w:val="20"/>
                <w:szCs w:val="20"/>
              </w:rPr>
              <w:t>.</w:t>
            </w:r>
            <w:r w:rsidR="004F4705">
              <w:rPr>
                <w:rFonts w:ascii="Times New Roman" w:hAnsi="Times New Roman" w:cs="Times New Roman"/>
                <w:color w:val="FF0000"/>
                <w:sz w:val="20"/>
                <w:szCs w:val="20"/>
              </w:rPr>
              <w:t xml:space="preserve"> </w:t>
            </w:r>
            <w:r w:rsidR="004F4705" w:rsidRPr="009F7737">
              <w:rPr>
                <w:rFonts w:ascii="Times New Roman" w:hAnsi="Times New Roman" w:cs="Times New Roman"/>
                <w:sz w:val="20"/>
                <w:szCs w:val="20"/>
              </w:rPr>
              <w:t>IL-3 downregulate</w:t>
            </w:r>
            <w:r w:rsidR="004F4705">
              <w:rPr>
                <w:rFonts w:ascii="Times New Roman" w:hAnsi="Times New Roman" w:cs="Times New Roman"/>
                <w:sz w:val="20"/>
                <w:szCs w:val="20"/>
              </w:rPr>
              <w:t>s</w:t>
            </w:r>
            <w:r w:rsidR="004F4705" w:rsidRPr="009F7737">
              <w:rPr>
                <w:rFonts w:ascii="Times New Roman" w:hAnsi="Times New Roman" w:cs="Times New Roman"/>
                <w:sz w:val="20"/>
                <w:szCs w:val="20"/>
              </w:rPr>
              <w:t xml:space="preserve"> IL-1β- and TNF-α-induced expression of matrix metalloproteinases</w:t>
            </w:r>
            <w:r w:rsidR="004F4705">
              <w:rPr>
                <w:rFonts w:ascii="Times New Roman" w:hAnsi="Times New Roman" w:cs="Times New Roman"/>
                <w:sz w:val="20"/>
                <w:szCs w:val="20"/>
              </w:rPr>
              <w:t xml:space="preserve"> and upregulates</w:t>
            </w:r>
            <w:r w:rsidR="00845F5C" w:rsidRPr="009F7737">
              <w:rPr>
                <w:rFonts w:ascii="Times New Roman" w:hAnsi="Times New Roman" w:cs="Times New Roman"/>
                <w:sz w:val="20"/>
                <w:szCs w:val="20"/>
              </w:rPr>
              <w:t xml:space="preserve"> expression of chondrocyte-specific genes</w:t>
            </w:r>
            <w:r w:rsidR="004F4705">
              <w:rPr>
                <w:rFonts w:ascii="Times New Roman" w:hAnsi="Times New Roman" w:cs="Times New Roman"/>
                <w:sz w:val="20"/>
                <w:szCs w:val="20"/>
              </w:rPr>
              <w:t xml:space="preserve"> like</w:t>
            </w:r>
            <w:r w:rsidR="00845F5C" w:rsidRPr="009F7737">
              <w:rPr>
                <w:rFonts w:ascii="Times New Roman" w:hAnsi="Times New Roman" w:cs="Times New Roman"/>
                <w:sz w:val="20"/>
                <w:szCs w:val="20"/>
              </w:rPr>
              <w:t xml:space="preserve"> Sox9 and collagen type </w:t>
            </w:r>
            <w:proofErr w:type="spellStart"/>
            <w:r w:rsidR="00845F5C" w:rsidRPr="009F7737">
              <w:rPr>
                <w:rFonts w:ascii="Times New Roman" w:hAnsi="Times New Roman" w:cs="Times New Roman"/>
                <w:sz w:val="20"/>
                <w:szCs w:val="20"/>
              </w:rPr>
              <w:t>IIa</w:t>
            </w:r>
            <w:proofErr w:type="spellEnd"/>
            <w:r w:rsidR="004F4705">
              <w:rPr>
                <w:rFonts w:ascii="Times New Roman" w:hAnsi="Times New Roman" w:cs="Times New Roman"/>
                <w:sz w:val="20"/>
                <w:szCs w:val="20"/>
              </w:rPr>
              <w:t>.</w:t>
            </w:r>
            <w:r w:rsidR="00845F5C" w:rsidRPr="009F7737">
              <w:rPr>
                <w:rFonts w:ascii="Times New Roman" w:hAnsi="Times New Roman" w:cs="Times New Roman"/>
                <w:sz w:val="20"/>
                <w:szCs w:val="20"/>
              </w:rPr>
              <w:t xml:space="preserve"> Inhibits osteoclast differentiation</w:t>
            </w:r>
            <w:r w:rsidR="00447DC3">
              <w:rPr>
                <w:rFonts w:ascii="Times New Roman" w:hAnsi="Times New Roman" w:cs="Times New Roman"/>
                <w:sz w:val="20"/>
                <w:szCs w:val="20"/>
              </w:rPr>
              <w:t xml:space="preserve"> </w:t>
            </w:r>
            <w:r w:rsidR="00447DC3">
              <w:rPr>
                <w:rFonts w:ascii="Times New Roman" w:hAnsi="Times New Roman" w:cs="Times New Roman"/>
                <w:sz w:val="20"/>
                <w:szCs w:val="20"/>
              </w:rPr>
              <w:fldChar w:fldCharType="begin" w:fldLock="1"/>
            </w:r>
            <w:r w:rsidR="00C963C8">
              <w:rPr>
                <w:rFonts w:ascii="Times New Roman" w:hAnsi="Times New Roman" w:cs="Times New Roman"/>
                <w:sz w:val="20"/>
                <w:szCs w:val="20"/>
              </w:rPr>
              <w:instrText>ADDIN CSL_CITATION {"citationItems":[{"id":"ITEM-1","itemData":{"DOI":"10.1038/nrrheum.2016.96","ISSN":"1759-4804","author":[{"dropping-particle":"","family":"Collison","given":"Joanna","non-dropping-particle":"","parse-names":false,"suffix":""}],"container-title":"Nature Reviews Rheumatology","id":"ITEM-1","issue":"7","issued":{"date-parts":[["2016"]]},"page":"374-375","title":"A protective role for IL-3 in mouse OA","type":"article-journal","volume":"12"},"uris":["http://www.mendeley.com/documents/?uuid=3d7f5888-211a-44ec-86e5-1165bd3170e5"]}],"mendeley":{"formattedCitation":"[13]","plainTextFormattedCitation":"[13]","previouslyFormattedCitation":"[13]"},"properties":{"noteIndex":0},"schema":"https://github.com/citation-style-language/schema/raw/master/csl-citation.json"}</w:instrText>
            </w:r>
            <w:r w:rsidR="00447DC3">
              <w:rPr>
                <w:rFonts w:ascii="Times New Roman" w:hAnsi="Times New Roman" w:cs="Times New Roman"/>
                <w:sz w:val="20"/>
                <w:szCs w:val="20"/>
              </w:rPr>
              <w:fldChar w:fldCharType="separate"/>
            </w:r>
            <w:r w:rsidR="00447DC3" w:rsidRPr="00447DC3">
              <w:rPr>
                <w:rFonts w:ascii="Times New Roman" w:hAnsi="Times New Roman" w:cs="Times New Roman"/>
                <w:noProof/>
                <w:sz w:val="20"/>
                <w:szCs w:val="20"/>
              </w:rPr>
              <w:t>[13]</w:t>
            </w:r>
            <w:r w:rsidR="00447DC3">
              <w:rPr>
                <w:rFonts w:ascii="Times New Roman" w:hAnsi="Times New Roman" w:cs="Times New Roman"/>
                <w:sz w:val="20"/>
                <w:szCs w:val="20"/>
              </w:rPr>
              <w:fldChar w:fldCharType="end"/>
            </w:r>
            <w:r w:rsidR="00447DC3">
              <w:rPr>
                <w:rFonts w:ascii="Times New Roman" w:hAnsi="Times New Roman" w:cs="Times New Roman"/>
                <w:sz w:val="20"/>
                <w:szCs w:val="20"/>
              </w:rPr>
              <w:t>.</w:t>
            </w:r>
          </w:p>
        </w:tc>
      </w:tr>
      <w:tr w:rsidR="00845F5C" w:rsidRPr="009F7737" w14:paraId="594513B7" w14:textId="77777777" w:rsidTr="00E960F5">
        <w:tc>
          <w:tcPr>
            <w:tcW w:w="2547" w:type="dxa"/>
          </w:tcPr>
          <w:p w14:paraId="49618813"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lastRenderedPageBreak/>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-4</w:t>
            </w:r>
          </w:p>
        </w:tc>
        <w:tc>
          <w:tcPr>
            <w:tcW w:w="6662" w:type="dxa"/>
          </w:tcPr>
          <w:p w14:paraId="3DAE0D68" w14:textId="5D01F2B1"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One of the main anti-inflammatory</w:t>
            </w:r>
            <w:r w:rsidR="00C963C8">
              <w:rPr>
                <w:rFonts w:ascii="Times New Roman" w:hAnsi="Times New Roman" w:cs="Times New Roman"/>
                <w:sz w:val="20"/>
                <w:szCs w:val="20"/>
              </w:rPr>
              <w:t xml:space="preserve"> and anabolic</w:t>
            </w:r>
            <w:r w:rsidRPr="009F7737">
              <w:rPr>
                <w:rFonts w:ascii="Times New Roman" w:hAnsi="Times New Roman" w:cs="Times New Roman"/>
                <w:sz w:val="20"/>
                <w:szCs w:val="20"/>
              </w:rPr>
              <w:t xml:space="preserve"> cytokines in OA</w:t>
            </w:r>
            <w:r w:rsidR="00C963C8">
              <w:rPr>
                <w:rFonts w:ascii="Times New Roman" w:hAnsi="Times New Roman" w:cs="Times New Roman"/>
                <w:sz w:val="20"/>
                <w:szCs w:val="20"/>
              </w:rPr>
              <w:t xml:space="preserve">. </w:t>
            </w:r>
            <w:r w:rsidR="00C963C8" w:rsidRPr="009F7737">
              <w:rPr>
                <w:rFonts w:ascii="Times New Roman" w:hAnsi="Times New Roman" w:cs="Times New Roman"/>
                <w:sz w:val="20"/>
                <w:szCs w:val="20"/>
              </w:rPr>
              <w:t>Anti-inflammatory cytokine that</w:t>
            </w:r>
            <w:r w:rsidR="00C963C8">
              <w:rPr>
                <w:rFonts w:ascii="Times New Roman" w:hAnsi="Times New Roman" w:cs="Times New Roman"/>
                <w:sz w:val="20"/>
                <w:szCs w:val="20"/>
              </w:rPr>
              <w:t xml:space="preserve"> </w:t>
            </w:r>
            <w:r w:rsidR="00C963C8" w:rsidRPr="009F7737">
              <w:rPr>
                <w:rFonts w:ascii="Times New Roman" w:hAnsi="Times New Roman" w:cs="Times New Roman"/>
                <w:sz w:val="20"/>
                <w:szCs w:val="20"/>
              </w:rPr>
              <w:t>inhibit</w:t>
            </w:r>
            <w:r w:rsidR="00C963C8">
              <w:rPr>
                <w:rFonts w:ascii="Times New Roman" w:hAnsi="Times New Roman" w:cs="Times New Roman"/>
                <w:sz w:val="20"/>
                <w:szCs w:val="20"/>
              </w:rPr>
              <w:t>s</w:t>
            </w:r>
            <w:r w:rsidR="00C963C8" w:rsidRPr="009F7737">
              <w:rPr>
                <w:rFonts w:ascii="Times New Roman" w:hAnsi="Times New Roman" w:cs="Times New Roman"/>
                <w:sz w:val="20"/>
                <w:szCs w:val="20"/>
              </w:rPr>
              <w:t xml:space="preserve"> proinflammatory cytokines </w:t>
            </w:r>
            <w:r w:rsidR="00C963C8">
              <w:rPr>
                <w:rFonts w:ascii="Times New Roman" w:hAnsi="Times New Roman" w:cs="Times New Roman"/>
                <w:sz w:val="20"/>
                <w:szCs w:val="20"/>
              </w:rPr>
              <w:t xml:space="preserve">such as </w:t>
            </w:r>
            <w:r w:rsidR="00C963C8" w:rsidRPr="009F7737">
              <w:rPr>
                <w:rFonts w:ascii="Times New Roman" w:hAnsi="Times New Roman" w:cs="Times New Roman"/>
                <w:sz w:val="20"/>
                <w:szCs w:val="20"/>
              </w:rPr>
              <w:t>IL-1</w:t>
            </w:r>
            <w:r w:rsidR="00C963C8">
              <w:rPr>
                <w:rFonts w:ascii="Times New Roman" w:hAnsi="Times New Roman" w:cs="Times New Roman"/>
                <w:sz w:val="20"/>
                <w:szCs w:val="20"/>
              </w:rPr>
              <w:t>β</w:t>
            </w:r>
            <w:r w:rsidR="00C963C8" w:rsidRPr="009F7737">
              <w:rPr>
                <w:rFonts w:ascii="Times New Roman" w:hAnsi="Times New Roman" w:cs="Times New Roman"/>
                <w:sz w:val="20"/>
                <w:szCs w:val="20"/>
              </w:rPr>
              <w:t xml:space="preserve"> and TNF-</w:t>
            </w:r>
            <w:r w:rsidR="00C963C8">
              <w:rPr>
                <w:rFonts w:ascii="Times New Roman" w:hAnsi="Times New Roman" w:cs="Times New Roman"/>
                <w:sz w:val="20"/>
                <w:szCs w:val="20"/>
              </w:rPr>
              <w:t>α</w:t>
            </w:r>
            <w:r w:rsidR="00C963C8" w:rsidRPr="009F7737">
              <w:rPr>
                <w:rFonts w:ascii="Times New Roman" w:hAnsi="Times New Roman" w:cs="Times New Roman"/>
                <w:sz w:val="20"/>
                <w:szCs w:val="20"/>
              </w:rPr>
              <w:t>, downregulate</w:t>
            </w:r>
            <w:r w:rsidR="00C963C8">
              <w:rPr>
                <w:rFonts w:ascii="Times New Roman" w:hAnsi="Times New Roman" w:cs="Times New Roman"/>
                <w:sz w:val="20"/>
                <w:szCs w:val="20"/>
              </w:rPr>
              <w:t>s</w:t>
            </w:r>
            <w:r w:rsidR="00C963C8" w:rsidRPr="009F7737">
              <w:rPr>
                <w:rFonts w:ascii="Times New Roman" w:hAnsi="Times New Roman" w:cs="Times New Roman"/>
                <w:sz w:val="20"/>
                <w:szCs w:val="20"/>
              </w:rPr>
              <w:t xml:space="preserve"> the expression of matrix metalloproteinases, inhibit</w:t>
            </w:r>
            <w:r w:rsidR="00C963C8">
              <w:rPr>
                <w:rFonts w:ascii="Times New Roman" w:hAnsi="Times New Roman" w:cs="Times New Roman"/>
                <w:sz w:val="20"/>
                <w:szCs w:val="20"/>
              </w:rPr>
              <w:t>s</w:t>
            </w:r>
            <w:r w:rsidR="00C963C8" w:rsidRPr="009F7737">
              <w:rPr>
                <w:rFonts w:ascii="Times New Roman" w:hAnsi="Times New Roman" w:cs="Times New Roman"/>
                <w:sz w:val="20"/>
                <w:szCs w:val="20"/>
              </w:rPr>
              <w:t xml:space="preserve"> lysis of articular chondrocytes, promote</w:t>
            </w:r>
            <w:r w:rsidR="00C963C8">
              <w:rPr>
                <w:rFonts w:ascii="Times New Roman" w:hAnsi="Times New Roman" w:cs="Times New Roman"/>
                <w:sz w:val="20"/>
                <w:szCs w:val="20"/>
              </w:rPr>
              <w:t>s</w:t>
            </w:r>
            <w:r w:rsidR="00C963C8" w:rsidRPr="009F7737">
              <w:rPr>
                <w:rFonts w:ascii="Times New Roman" w:hAnsi="Times New Roman" w:cs="Times New Roman"/>
                <w:sz w:val="20"/>
                <w:szCs w:val="20"/>
              </w:rPr>
              <w:t xml:space="preserve"> chondrocyte proteoglycan and collagen synthesis and delay</w:t>
            </w:r>
            <w:r w:rsidR="00C963C8">
              <w:rPr>
                <w:rFonts w:ascii="Times New Roman" w:hAnsi="Times New Roman" w:cs="Times New Roman"/>
                <w:sz w:val="20"/>
                <w:szCs w:val="20"/>
              </w:rPr>
              <w:t>s</w:t>
            </w:r>
            <w:r w:rsidR="00C963C8" w:rsidRPr="009F7737">
              <w:rPr>
                <w:rFonts w:ascii="Times New Roman" w:hAnsi="Times New Roman" w:cs="Times New Roman"/>
                <w:sz w:val="20"/>
                <w:szCs w:val="20"/>
              </w:rPr>
              <w:t xml:space="preserve"> OA progression</w:t>
            </w:r>
            <w:r w:rsidR="00C963C8">
              <w:rPr>
                <w:rFonts w:ascii="Times New Roman" w:hAnsi="Times New Roman" w:cs="Times New Roman"/>
                <w:sz w:val="20"/>
                <w:szCs w:val="20"/>
              </w:rPr>
              <w:t xml:space="preserve"> </w:t>
            </w:r>
            <w:r w:rsidR="00C963C8">
              <w:rPr>
                <w:rFonts w:ascii="Times New Roman" w:hAnsi="Times New Roman" w:cs="Times New Roman"/>
                <w:sz w:val="20"/>
                <w:szCs w:val="20"/>
              </w:rPr>
              <w:fldChar w:fldCharType="begin" w:fldLock="1"/>
            </w:r>
            <w:r w:rsidR="00823EC4">
              <w:rPr>
                <w:rFonts w:ascii="Times New Roman" w:hAnsi="Times New Roman" w:cs="Times New Roman"/>
                <w:sz w:val="20"/>
                <w:szCs w:val="20"/>
              </w:rPr>
              <w:instrText>ADDIN CSL_CITATION {"citationItems":[{"id":"ITEM-1","itemData":{"DOI":"10.3892/MMR.2022.12615","ISSN":"17913004","PMID":"35088882","abstract":"Osteoarthritis (oa), one of the most common joint diseases, is characterized by fibrosis, rhagadia, ulcers and attrition of articular cartilage due to a number of factors. The etiology of oa remains unclear, but its occurrence has been associated with age, obesity, inflammation, trauma and genetic factors. Inflammatory cytokines are crucial for the occurrence and progression of OA. The intra-articular proinflammatory and anti-inflammatory cytokines jointly maintain a dynamic balance, in accordance with the physiological metabolism of articular cartilage. However, dynamic imbalance between proinflammatory and anti-inflammatory cytokines can cause abnormal metabolism in knee articular cartilage, which leads to deformation, loss and abnormal regeneration, and ultimately destroys the normal structure of the knee joint. The ability of articular cartilage to self-repair once damaged is limited, due to its inability to obtain nutrients from blood vessels, nerves and lymphatic vessels, as well as limitations in the extracellular matrix. There are several disadvantages inherent to conventional repair methods, while cartilage tissue engineering (CTE), which combines proinflammatory and anti-inflammatory cytokines, offers a new therapeutic approach for oa. The aim of the present review was to examine the proinflammatory factors implicated in oa, including il-1β, TnF-α, il-6, il-15, il-17 and il-18, as well as the key anti-inflammatory factors reducing OA-related articular damage, including IL-4, insulin-like growth factor and TGF-β. The predominance of proinflammatory over anti-inflammatory cytokine effects ultimately leads to the development of OA. cTe, which employs mesenchymal stem cells and scaffolding technology, may prevent oa by maintaining the homeostasis of pro- and anti-inflammatory factors.","author":[{"dropping-particle":"","family":"Liu","given":"Shuyu","non-dropping-particle":"","parse-names":false,"suffix":""},{"dropping-particle":"","family":"Deng","given":"Zhenhan","non-dropping-particle":"","parse-names":false,"suffix":""},{"dropping-particle":"","family":"Chen","given":"Kang","non-dropping-particle":"","parse-names":false,"suffix":""},{"dropping-particle":"","family":"Jian","given":"Shengsheng","non-dropping-particle":"","parse-names":false,"suffix":""},{"dropping-particle":"","family":"Zhou","given":"Feifei","non-dropping-particle":"","parse-names":false,"suffix":""},{"dropping-particle":"","family":"Yang","given":"Yuan","non-dropping-particle":"","parse-names":false,"suffix":""},{"dropping-particle":"","family":"Fu","given":"Zicai","non-dropping-particle":"","parse-names":false,"suffix":""},{"dropping-particle":"","family":"Xie","given":"Huanyu","non-dropping-particle":"","parse-names":false,"suffix":""},{"dropping-particle":"","family":"Xiong","given":"Jianyi","non-dropping-particle":"","parse-names":false,"suffix":""},{"dropping-particle":"","family":"Zhu","given":"Weimin","non-dropping-particle":"","parse-names":false,"suffix":""}],"container-title":"Molecular Medicine Reports","id":"ITEM-1","issue":"3","issued":{"date-parts":[["2022"]]},"page":"1-15","title":"Cartilage tissue engineering: From proinflammatory and anti-inflammatory cytokines to osteoarthritis treatments (Review)","type":"article-journal","volume":"25"},"uris":["http://www.mendeley.com/documents/?uuid=6c2f99f4-59d1-4a39-b090-b43bcf31955d"]}],"mendeley":{"formattedCitation":"[14]","plainTextFormattedCitation":"[14]","previouslyFormattedCitation":"[14]"},"properties":{"noteIndex":0},"schema":"https://github.com/citation-style-language/schema/raw/master/csl-citation.json"}</w:instrText>
            </w:r>
            <w:r w:rsidR="00C963C8">
              <w:rPr>
                <w:rFonts w:ascii="Times New Roman" w:hAnsi="Times New Roman" w:cs="Times New Roman"/>
                <w:sz w:val="20"/>
                <w:szCs w:val="20"/>
              </w:rPr>
              <w:fldChar w:fldCharType="separate"/>
            </w:r>
            <w:r w:rsidR="00C963C8" w:rsidRPr="00C963C8">
              <w:rPr>
                <w:rFonts w:ascii="Times New Roman" w:hAnsi="Times New Roman" w:cs="Times New Roman"/>
                <w:noProof/>
                <w:sz w:val="20"/>
                <w:szCs w:val="20"/>
              </w:rPr>
              <w:t>[14]</w:t>
            </w:r>
            <w:r w:rsidR="00C963C8">
              <w:rPr>
                <w:rFonts w:ascii="Times New Roman" w:hAnsi="Times New Roman" w:cs="Times New Roman"/>
                <w:sz w:val="20"/>
                <w:szCs w:val="20"/>
              </w:rPr>
              <w:fldChar w:fldCharType="end"/>
            </w:r>
            <w:r w:rsidR="00C963C8">
              <w:rPr>
                <w:rFonts w:ascii="Times New Roman" w:hAnsi="Times New Roman" w:cs="Times New Roman"/>
                <w:sz w:val="20"/>
                <w:szCs w:val="20"/>
              </w:rPr>
              <w:t>.</w:t>
            </w:r>
            <w:r w:rsidRPr="009F7737">
              <w:rPr>
                <w:rFonts w:ascii="Times New Roman" w:hAnsi="Times New Roman" w:cs="Times New Roman"/>
                <w:color w:val="FF0000"/>
                <w:sz w:val="20"/>
                <w:szCs w:val="20"/>
              </w:rPr>
              <w:t xml:space="preserve"> </w:t>
            </w:r>
          </w:p>
        </w:tc>
      </w:tr>
      <w:tr w:rsidR="00845F5C" w:rsidRPr="009F7737" w14:paraId="7324D622" w14:textId="77777777" w:rsidTr="00E960F5">
        <w:tc>
          <w:tcPr>
            <w:tcW w:w="2547" w:type="dxa"/>
          </w:tcPr>
          <w:p w14:paraId="4A123184"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-5</w:t>
            </w:r>
          </w:p>
        </w:tc>
        <w:tc>
          <w:tcPr>
            <w:tcW w:w="6662" w:type="dxa"/>
          </w:tcPr>
          <w:p w14:paraId="37026D38"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Stimulates B cell growth and increase immunoglobulin secretion. Activates eosinophils.</w:t>
            </w:r>
          </w:p>
        </w:tc>
      </w:tr>
      <w:tr w:rsidR="00845F5C" w:rsidRPr="009F7737" w14:paraId="3F92C4AE" w14:textId="77777777" w:rsidTr="00E960F5">
        <w:tc>
          <w:tcPr>
            <w:tcW w:w="2547" w:type="dxa"/>
          </w:tcPr>
          <w:p w14:paraId="6737B98E"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-6</w:t>
            </w:r>
          </w:p>
        </w:tc>
        <w:tc>
          <w:tcPr>
            <w:tcW w:w="6662" w:type="dxa"/>
          </w:tcPr>
          <w:p w14:paraId="5FD6694E" w14:textId="24E93F46"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Pro-inflammatory factor. IL-6, IL-1</w:t>
            </w:r>
            <w:r w:rsidRPr="009F7737">
              <w:rPr>
                <w:rFonts w:ascii="Times New Roman" w:hAnsi="Times New Roman" w:cs="Times New Roman"/>
                <w:color w:val="auto"/>
                <w:sz w:val="20"/>
                <w:szCs w:val="20"/>
                <w:lang w:val="en-US"/>
              </w:rPr>
              <w:t>β</w:t>
            </w:r>
            <w:r w:rsidRPr="009F7737">
              <w:rPr>
                <w:rFonts w:ascii="Times New Roman" w:hAnsi="Times New Roman" w:cs="Times New Roman"/>
                <w:sz w:val="20"/>
                <w:szCs w:val="20"/>
              </w:rPr>
              <w:t xml:space="preserve"> and TNF-</w:t>
            </w:r>
            <w:r w:rsidRPr="009F7737">
              <w:rPr>
                <w:rFonts w:ascii="Times New Roman" w:hAnsi="Times New Roman" w:cs="Times New Roman"/>
                <w:color w:val="auto"/>
                <w:sz w:val="20"/>
                <w:szCs w:val="20"/>
                <w:lang w:val="en-US"/>
              </w:rPr>
              <w:t>α</w:t>
            </w:r>
            <w:r w:rsidRPr="009F7737">
              <w:rPr>
                <w:rFonts w:ascii="Times New Roman" w:hAnsi="Times New Roman" w:cs="Times New Roman"/>
                <w:sz w:val="20"/>
                <w:szCs w:val="20"/>
              </w:rPr>
              <w:t xml:space="preserve"> have a synergistic effect, which promote</w:t>
            </w:r>
            <w:r w:rsidR="00823EC4">
              <w:rPr>
                <w:rFonts w:ascii="Times New Roman" w:hAnsi="Times New Roman" w:cs="Times New Roman"/>
                <w:sz w:val="20"/>
                <w:szCs w:val="20"/>
              </w:rPr>
              <w:t>s</w:t>
            </w:r>
            <w:r w:rsidRPr="009F7737">
              <w:rPr>
                <w:rFonts w:ascii="Times New Roman" w:hAnsi="Times New Roman" w:cs="Times New Roman"/>
                <w:sz w:val="20"/>
                <w:szCs w:val="20"/>
              </w:rPr>
              <w:t xml:space="preserve"> </w:t>
            </w:r>
            <w:r w:rsidR="00823EC4">
              <w:rPr>
                <w:rFonts w:ascii="Times New Roman" w:hAnsi="Times New Roman" w:cs="Times New Roman"/>
                <w:sz w:val="20"/>
                <w:szCs w:val="20"/>
              </w:rPr>
              <w:t xml:space="preserve">extra cellular matrix </w:t>
            </w:r>
            <w:r w:rsidRPr="009F7737">
              <w:rPr>
                <w:rFonts w:ascii="Times New Roman" w:hAnsi="Times New Roman" w:cs="Times New Roman"/>
                <w:sz w:val="20"/>
                <w:szCs w:val="20"/>
              </w:rPr>
              <w:t>degradation of cartilage and lead</w:t>
            </w:r>
            <w:r w:rsidR="00823EC4">
              <w:rPr>
                <w:rFonts w:ascii="Times New Roman" w:hAnsi="Times New Roman" w:cs="Times New Roman"/>
                <w:sz w:val="20"/>
                <w:szCs w:val="20"/>
              </w:rPr>
              <w:t>s</w:t>
            </w:r>
            <w:r w:rsidRPr="009F7737">
              <w:rPr>
                <w:rFonts w:ascii="Times New Roman" w:hAnsi="Times New Roman" w:cs="Times New Roman"/>
                <w:sz w:val="20"/>
                <w:szCs w:val="20"/>
              </w:rPr>
              <w:t xml:space="preserve"> to changes in the subchondral bone. Elevated in OA</w:t>
            </w:r>
            <w:r w:rsidR="00823EC4">
              <w:rPr>
                <w:rFonts w:ascii="Times New Roman" w:hAnsi="Times New Roman" w:cs="Times New Roman"/>
                <w:sz w:val="20"/>
                <w:szCs w:val="20"/>
              </w:rPr>
              <w:t xml:space="preserve"> </w:t>
            </w:r>
            <w:r w:rsidR="00823EC4">
              <w:rPr>
                <w:rFonts w:ascii="Times New Roman" w:hAnsi="Times New Roman" w:cs="Times New Roman"/>
                <w:sz w:val="20"/>
                <w:szCs w:val="20"/>
              </w:rPr>
              <w:fldChar w:fldCharType="begin" w:fldLock="1"/>
            </w:r>
            <w:r w:rsidR="005A0075">
              <w:rPr>
                <w:rFonts w:ascii="Times New Roman" w:hAnsi="Times New Roman" w:cs="Times New Roman"/>
                <w:sz w:val="20"/>
                <w:szCs w:val="20"/>
              </w:rPr>
              <w:instrText>ADDIN CSL_CITATION {"citationItems":[{"id":"ITEM-1","itemData":{"DOI":"10.3892/MMR.2022.12615","ISSN":"17913004","PMID":"35088882","abstract":"Osteoarthritis (oa), one of the most common joint diseases, is characterized by fibrosis, rhagadia, ulcers and attrition of articular cartilage due to a number of factors. The etiology of oa remains unclear, but its occurrence has been associated with age, obesity, inflammation, trauma and genetic factors. Inflammatory cytokines are crucial for the occurrence and progression of OA. The intra-articular proinflammatory and anti-inflammatory cytokines jointly maintain a dynamic balance, in accordance with the physiological metabolism of articular cartilage. However, dynamic imbalance between proinflammatory and anti-inflammatory cytokines can cause abnormal metabolism in knee articular cartilage, which leads to deformation, loss and abnormal regeneration, and ultimately destroys the normal structure of the knee joint. The ability of articular cartilage to self-repair once damaged is limited, due to its inability to obtain nutrients from blood vessels, nerves and lymphatic vessels, as well as limitations in the extracellular matrix. There are several disadvantages inherent to conventional repair methods, while cartilage tissue engineering (CTE), which combines proinflammatory and anti-inflammatory cytokines, offers a new therapeutic approach for oa. The aim of the present review was to examine the proinflammatory factors implicated in oa, including il-1β, TnF-α, il-6, il-15, il-17 and il-18, as well as the key anti-inflammatory factors reducing OA-related articular damage, including IL-4, insulin-like growth factor and TGF-β. The predominance of proinflammatory over anti-inflammatory cytokine effects ultimately leads to the development of OA. cTe, which employs mesenchymal stem cells and scaffolding technology, may prevent oa by maintaining the homeostasis of pro- and anti-inflammatory factors.","author":[{"dropping-particle":"","family":"Liu","given":"Shuyu","non-dropping-particle":"","parse-names":false,"suffix":""},{"dropping-particle":"","family":"Deng","given":"Zhenhan","non-dropping-particle":"","parse-names":false,"suffix":""},{"dropping-particle":"","family":"Chen","given":"Kang","non-dropping-particle":"","parse-names":false,"suffix":""},{"dropping-particle":"","family":"Jian","given":"Shengsheng","non-dropping-particle":"","parse-names":false,"suffix":""},{"dropping-particle":"","family":"Zhou","given":"Feifei","non-dropping-particle":"","parse-names":false,"suffix":""},{"dropping-particle":"","family":"Yang","given":"Yuan","non-dropping-particle":"","parse-names":false,"suffix":""},{"dropping-particle":"","family":"Fu","given":"Zicai","non-dropping-particle":"","parse-names":false,"suffix":""},{"dropping-particle":"","family":"Xie","given":"Huanyu","non-dropping-particle":"","parse-names":false,"suffix":""},{"dropping-particle":"","family":"Xiong","given":"Jianyi","non-dropping-particle":"","parse-names":false,"suffix":""},{"dropping-particle":"","family":"Zhu","given":"Weimin","non-dropping-particle":"","parse-names":false,"suffix":""}],"container-title":"Molecular Medicine Reports","id":"ITEM-1","issue":"3","issued":{"date-parts":[["2022"]]},"page":"1-15","title":"Cartilage tissue engineering: From proinflammatory and anti-inflammatory cytokines to osteoarthritis treatments (Review)","type":"article-journal","volume":"25"},"uris":["http://www.mendeley.com/documents/?uuid=6c2f99f4-59d1-4a39-b090-b43bcf31955d"]}],"mendeley":{"formattedCitation":"[14]","plainTextFormattedCitation":"[14]","previouslyFormattedCitation":"[14]"},"properties":{"noteIndex":0},"schema":"https://github.com/citation-style-language/schema/raw/master/csl-citation.json"}</w:instrText>
            </w:r>
            <w:r w:rsidR="00823EC4">
              <w:rPr>
                <w:rFonts w:ascii="Times New Roman" w:hAnsi="Times New Roman" w:cs="Times New Roman"/>
                <w:sz w:val="20"/>
                <w:szCs w:val="20"/>
              </w:rPr>
              <w:fldChar w:fldCharType="separate"/>
            </w:r>
            <w:r w:rsidR="00823EC4" w:rsidRPr="00823EC4">
              <w:rPr>
                <w:rFonts w:ascii="Times New Roman" w:hAnsi="Times New Roman" w:cs="Times New Roman"/>
                <w:noProof/>
                <w:sz w:val="20"/>
                <w:szCs w:val="20"/>
              </w:rPr>
              <w:t>[14]</w:t>
            </w:r>
            <w:r w:rsidR="00823EC4">
              <w:rPr>
                <w:rFonts w:ascii="Times New Roman" w:hAnsi="Times New Roman" w:cs="Times New Roman"/>
                <w:sz w:val="20"/>
                <w:szCs w:val="20"/>
              </w:rPr>
              <w:fldChar w:fldCharType="end"/>
            </w:r>
            <w:r w:rsidR="00823EC4">
              <w:rPr>
                <w:rFonts w:ascii="Times New Roman" w:hAnsi="Times New Roman" w:cs="Times New Roman"/>
                <w:sz w:val="20"/>
                <w:szCs w:val="20"/>
              </w:rPr>
              <w:t xml:space="preserve">. </w:t>
            </w:r>
            <w:r w:rsidRPr="009F7737">
              <w:rPr>
                <w:rFonts w:ascii="Times New Roman" w:hAnsi="Times New Roman" w:cs="Times New Roman"/>
                <w:sz w:val="20"/>
                <w:szCs w:val="20"/>
              </w:rPr>
              <w:t xml:space="preserve"> </w:t>
            </w:r>
          </w:p>
        </w:tc>
      </w:tr>
      <w:tr w:rsidR="00845F5C" w:rsidRPr="009F7737" w14:paraId="5D8AB9AC" w14:textId="77777777" w:rsidTr="00E960F5">
        <w:tc>
          <w:tcPr>
            <w:tcW w:w="2547" w:type="dxa"/>
          </w:tcPr>
          <w:p w14:paraId="7C901DE6"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-7</w:t>
            </w:r>
          </w:p>
        </w:tc>
        <w:tc>
          <w:tcPr>
            <w:tcW w:w="6662" w:type="dxa"/>
          </w:tcPr>
          <w:p w14:paraId="3FD806D4" w14:textId="514CEB28"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IL-7 stimulates production of matrix metalloproteinase-13, which may contribute to cartilage matrix degradation. Elevated in OA. Potent T cell-dependent catabolic effect on bone. Increasing levels associated with aging</w:t>
            </w:r>
            <w:r w:rsidR="005A0075">
              <w:rPr>
                <w:rFonts w:ascii="Times New Roman" w:hAnsi="Times New Roman" w:cs="Times New Roman"/>
                <w:sz w:val="20"/>
                <w:szCs w:val="20"/>
              </w:rPr>
              <w:t xml:space="preserve"> </w:t>
            </w:r>
            <w:r w:rsidR="005A0075">
              <w:rPr>
                <w:rFonts w:ascii="Times New Roman" w:hAnsi="Times New Roman" w:cs="Times New Roman"/>
                <w:sz w:val="20"/>
                <w:szCs w:val="20"/>
              </w:rPr>
              <w:fldChar w:fldCharType="begin" w:fldLock="1"/>
            </w:r>
            <w:r w:rsidR="006263C1">
              <w:rPr>
                <w:rFonts w:ascii="Times New Roman" w:hAnsi="Times New Roman" w:cs="Times New Roman"/>
                <w:sz w:val="20"/>
                <w:szCs w:val="20"/>
              </w:rPr>
              <w:instrText>ADDIN CSL_CITATION {"citationItems":[{"id":"ITEM-1","itemData":{"DOI":"10.3892/MMR.2022.12615","ISSN":"17913004","PMID":"35088882","abstract":"Osteoarthritis (oa), one of the most common joint diseases, is characterized by fibrosis, rhagadia, ulcers and attrition of articular cartilage due to a number of factors. The etiology of oa remains unclear, but its occurrence has been associated with age, obesity, inflammation, trauma and genetic factors. Inflammatory cytokines are crucial for the occurrence and progression of OA. The intra-articular proinflammatory and anti-inflammatory cytokines jointly maintain a dynamic balance, in accordance with the physiological metabolism of articular cartilage. However, dynamic imbalance between proinflammatory and anti-inflammatory cytokines can cause abnormal metabolism in knee articular cartilage, which leads to deformation, loss and abnormal regeneration, and ultimately destroys the normal structure of the knee joint. The ability of articular cartilage to self-repair once damaged is limited, due to its inability to obtain nutrients from blood vessels, nerves and lymphatic vessels, as well as limitations in the extracellular matrix. There are several disadvantages inherent to conventional repair methods, while cartilage tissue engineering (CTE), which combines proinflammatory and anti-inflammatory cytokines, offers a new therapeutic approach for oa. The aim of the present review was to examine the proinflammatory factors implicated in oa, including il-1β, TnF-α, il-6, il-15, il-17 and il-18, as well as the key anti-inflammatory factors reducing OA-related articular damage, including IL-4, insulin-like growth factor and TGF-β. The predominance of proinflammatory over anti-inflammatory cytokine effects ultimately leads to the development of OA. cTe, which employs mesenchymal stem cells and scaffolding technology, may prevent oa by maintaining the homeostasis of pro- and anti-inflammatory factors.","author":[{"dropping-particle":"","family":"Liu","given":"Shuyu","non-dropping-particle":"","parse-names":false,"suffix":""},{"dropping-particle":"","family":"Deng","given":"Zhenhan","non-dropping-particle":"","parse-names":false,"suffix":""},{"dropping-particle":"","family":"Chen","given":"Kang","non-dropping-particle":"","parse-names":false,"suffix":""},{"dropping-particle":"","family":"Jian","given":"Shengsheng","non-dropping-particle":"","parse-names":false,"suffix":""},{"dropping-particle":"","family":"Zhou","given":"Feifei","non-dropping-particle":"","parse-names":false,"suffix":""},{"dropping-particle":"","family":"Yang","given":"Yuan","non-dropping-particle":"","parse-names":false,"suffix":""},{"dropping-particle":"","family":"Fu","given":"Zicai","non-dropping-particle":"","parse-names":false,"suffix":""},{"dropping-particle":"","family":"Xie","given":"Huanyu","non-dropping-particle":"","parse-names":false,"suffix":""},{"dropping-particle":"","family":"Xiong","given":"Jianyi","non-dropping-particle":"","parse-names":false,"suffix":""},{"dropping-particle":"","family":"Zhu","given":"Weimin","non-dropping-particle":"","parse-names":false,"suffix":""}],"container-title":"Molecular Medicine Reports","id":"ITEM-1","issue":"3","issued":{"date-parts":[["2022"]]},"page":"1-15","title":"Cartilage tissue engineering: From proinflammatory and anti-inflammatory cytokines to osteoarthritis treatments (Review)","type":"article-journal","volume":"25"},"uris":["http://www.mendeley.com/documents/?uuid=6c2f99f4-59d1-4a39-b090-b43bcf31955d"]}],"mendeley":{"formattedCitation":"[14]","plainTextFormattedCitation":"[14]","previouslyFormattedCitation":"[14]"},"properties":{"noteIndex":0},"schema":"https://github.com/citation-style-language/schema/raw/master/csl-citation.json"}</w:instrText>
            </w:r>
            <w:r w:rsidR="005A0075">
              <w:rPr>
                <w:rFonts w:ascii="Times New Roman" w:hAnsi="Times New Roman" w:cs="Times New Roman"/>
                <w:sz w:val="20"/>
                <w:szCs w:val="20"/>
              </w:rPr>
              <w:fldChar w:fldCharType="separate"/>
            </w:r>
            <w:r w:rsidR="005A0075" w:rsidRPr="005A0075">
              <w:rPr>
                <w:rFonts w:ascii="Times New Roman" w:hAnsi="Times New Roman" w:cs="Times New Roman"/>
                <w:noProof/>
                <w:sz w:val="20"/>
                <w:szCs w:val="20"/>
              </w:rPr>
              <w:t>[14]</w:t>
            </w:r>
            <w:r w:rsidR="005A0075">
              <w:rPr>
                <w:rFonts w:ascii="Times New Roman" w:hAnsi="Times New Roman" w:cs="Times New Roman"/>
                <w:sz w:val="20"/>
                <w:szCs w:val="20"/>
              </w:rPr>
              <w:fldChar w:fldCharType="end"/>
            </w:r>
            <w:r w:rsidRPr="009F7737">
              <w:rPr>
                <w:rFonts w:ascii="Times New Roman" w:hAnsi="Times New Roman" w:cs="Times New Roman"/>
                <w:sz w:val="20"/>
                <w:szCs w:val="20"/>
              </w:rPr>
              <w:t>.</w:t>
            </w:r>
          </w:p>
        </w:tc>
      </w:tr>
      <w:tr w:rsidR="00845F5C" w:rsidRPr="009F7737" w14:paraId="6A1F1FF8" w14:textId="77777777" w:rsidTr="00E960F5">
        <w:tc>
          <w:tcPr>
            <w:tcW w:w="2547" w:type="dxa"/>
          </w:tcPr>
          <w:p w14:paraId="2E01E057"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-8</w:t>
            </w:r>
          </w:p>
        </w:tc>
        <w:tc>
          <w:tcPr>
            <w:tcW w:w="6662" w:type="dxa"/>
          </w:tcPr>
          <w:p w14:paraId="19082FD1" w14:textId="0F105EBF" w:rsidR="00845F5C" w:rsidRPr="009F7737" w:rsidRDefault="00845F5C" w:rsidP="00E960F5">
            <w:pPr>
              <w:rPr>
                <w:rFonts w:ascii="Times New Roman" w:hAnsi="Times New Roman" w:cs="Times New Roman"/>
                <w:color w:val="FF0000"/>
                <w:sz w:val="20"/>
                <w:szCs w:val="20"/>
              </w:rPr>
            </w:pPr>
            <w:r w:rsidRPr="009F7737">
              <w:rPr>
                <w:rFonts w:ascii="Times New Roman" w:hAnsi="Times New Roman" w:cs="Times New Roman"/>
                <w:sz w:val="20"/>
                <w:szCs w:val="20"/>
              </w:rPr>
              <w:t xml:space="preserve">Complex role in cartilage. </w:t>
            </w:r>
            <w:r w:rsidR="005A0075">
              <w:rPr>
                <w:rFonts w:ascii="Times New Roman" w:hAnsi="Times New Roman" w:cs="Times New Roman"/>
                <w:sz w:val="20"/>
                <w:szCs w:val="20"/>
              </w:rPr>
              <w:t xml:space="preserve">Chemoattractant for neutrophils, which can cause synovitis and degrade cartilage. </w:t>
            </w:r>
            <w:r w:rsidR="005A0075" w:rsidRPr="009F7737">
              <w:rPr>
                <w:rFonts w:ascii="Times New Roman" w:hAnsi="Times New Roman" w:cs="Times New Roman"/>
                <w:sz w:val="20"/>
                <w:szCs w:val="20"/>
              </w:rPr>
              <w:t xml:space="preserve">Serum levels of IL-8 are positively associated with increased </w:t>
            </w:r>
            <w:r w:rsidR="005A0075">
              <w:rPr>
                <w:rFonts w:ascii="Times New Roman" w:hAnsi="Times New Roman" w:cs="Times New Roman"/>
                <w:sz w:val="20"/>
                <w:szCs w:val="20"/>
              </w:rPr>
              <w:t xml:space="preserve">OA </w:t>
            </w:r>
            <w:r w:rsidR="005A0075" w:rsidRPr="009F7737">
              <w:rPr>
                <w:rFonts w:ascii="Times New Roman" w:hAnsi="Times New Roman" w:cs="Times New Roman"/>
                <w:sz w:val="20"/>
                <w:szCs w:val="20"/>
              </w:rPr>
              <w:t>knee symptoms and serum levels of bone and cartilage biomarkers. IL-8 may enhance OA</w:t>
            </w:r>
            <w:r w:rsidR="006263C1">
              <w:rPr>
                <w:rFonts w:ascii="Times New Roman" w:hAnsi="Times New Roman" w:cs="Times New Roman"/>
                <w:sz w:val="20"/>
                <w:szCs w:val="20"/>
              </w:rPr>
              <w:t xml:space="preserve"> </w:t>
            </w:r>
            <w:r w:rsidR="006263C1">
              <w:rPr>
                <w:rFonts w:ascii="Times New Roman" w:hAnsi="Times New Roman" w:cs="Times New Roman"/>
                <w:sz w:val="20"/>
                <w:szCs w:val="20"/>
              </w:rPr>
              <w:fldChar w:fldCharType="begin" w:fldLock="1"/>
            </w:r>
            <w:r w:rsidR="006263C1">
              <w:rPr>
                <w:rFonts w:ascii="Times New Roman" w:hAnsi="Times New Roman" w:cs="Times New Roman"/>
                <w:sz w:val="20"/>
                <w:szCs w:val="20"/>
              </w:rPr>
              <w:instrText>ADDIN CSL_CITATION {"citationItems":[{"id":"ITEM-1","itemData":{"DOI":"10.1007/s10067-019-04718-8","abstract":"Objective: The aim of this study was to investigate cross-sectional associations between serum levels of IL-8 and the above outcomes in patients with knee osteoarthritis (OA). Methods: A total of 160 subjects with clinical knee OA were included. Western Ontario and McMaster Universities Osteoarthritis Index (WOMAC) score and Lequesne index were used to assess the joint symptom. Magnetic resonance imaging was used to measure knee structural abnormalities including infrapatellar fat pad (IPFP) signal intensity alternation. Knee radiographic OA was assessed by radiography using the Kellgren-Lawrence (K-L) grading system. Enzyme-linked immunosorbent assay was used to measure the serum levels of IL-8 and cartilage or bone biomarkers. Results: In multivariable analyses, serum IL-8 was positively associated with WOMAC weight-bearing pain (β 2.85, P = 0.028), WOMAC physical dysfunction (β 12.71, P = 0.048), and Lequesne index (β 1.65, P = 0.015), and had positive associations with IPFP signal intensity alteration (OR 3.18, P = 0.011) and serum levels of N-telopeptide of type I collagen (NTXI), N-terminal procollagen III propeptide (PIIINP), matrix metalloproteinase (MMP)3, and MMP13 (β 0.24-1.44, all P &lt; 0.05) in patients with clinical knee OA. Furthermore, there were positive associations between IL-8 and WOMAC score (β 22.49, P = 0.037), K-L grades (OR 3.88, P = 0.013), and IPFP signal intensity alteration (OR 3.20, P = 0.033) in patients with radiographic OA. Conclusions: Serum levels of IL-8 were positively associated with increased knee symptoms, IPFP signal intensity alteration, and serum levels of bone and/or cartilage biomarkers, suggesting that IL-8 may have a role to play in knee OA.Key Point• This study systemically investigates the associations between serum IL 8 and knee symptoms, joint structures, and cartilage or bone biomarkers in patients with knee osteoarthritis, and some significant associations have been found, suggesting that IL 8 may have a role to play in knee OA.","author":[{"dropping-particle":"","family":"Ruan","given":"G.","non-dropping-particle":"","parse-names":false,"suffix":""},{"dropping-particle":"","family":"Xu","given":"J.","non-dropping-particle":"","parse-names":false,"suffix":""},{"dropping-particle":"","family":"Wang","given":"K.","non-dropping-particle":"","parse-names":false,"suffix":""},{"dropping-particle":"","family":"Zheng","given":"S.","non-dropping-particle":"","parse-names":false,"suffix":""},{"dropping-particle":"","family":"Wu","given":"J.","non-dropping-particle":"","parse-names":false,"suffix":""},{"dropping-particle":"","family":"Bian","given":"F.","non-dropping-particle":"","parse-names":false,"suffix":""},{"dropping-particle":"","family":"Chang","given":"B.","non-dropping-particle":"","parse-names":false,"suffix":""},{"dropping-particle":"","family":"Zhang","given":"Y.","non-dropping-particle":"","parse-names":false,"suffix":""},{"dropping-particle":"","family":"Meng","given":"T.","non-dropping-particle":"","parse-names":false,"suffix":""},{"dropping-particle":"","family":"Zhu","given":"Z.","non-dropping-particle":"","parse-names":false,"suffix":""},{"dropping-particle":"","family":"Han","given":"W.","non-dropping-particle":"","parse-names":false,"suffix":""},{"dropping-particle":"","family":"Ding","given":"C.","non-dropping-particle":"","parse-names":false,"suffix":""}],"container-title":"Clin Rheumatol.","id":"ITEM-1","issue":"12","issued":{"date-parts":[["2019"]]},"page":"3609-3617","title":"Associations between serum IL-8 and knee symptoms, joint structures, and cartilage or bone biomarkers in patients with knee osteoarthritis","type":"article-journal","volume":"38"},"uris":["http://www.mendeley.com/documents/?uuid=d2eee4f8-5488-4c9c-9974-df8ff98a552e"]}],"mendeley":{"formattedCitation":"[15]","plainTextFormattedCitation":"[15]","previouslyFormattedCitation":"[15]"},"properties":{"noteIndex":0},"schema":"https://github.com/citation-style-language/schema/raw/master/csl-citation.json"}</w:instrText>
            </w:r>
            <w:r w:rsidR="006263C1">
              <w:rPr>
                <w:rFonts w:ascii="Times New Roman" w:hAnsi="Times New Roman" w:cs="Times New Roman"/>
                <w:sz w:val="20"/>
                <w:szCs w:val="20"/>
              </w:rPr>
              <w:fldChar w:fldCharType="separate"/>
            </w:r>
            <w:r w:rsidR="006263C1" w:rsidRPr="006263C1">
              <w:rPr>
                <w:rFonts w:ascii="Times New Roman" w:hAnsi="Times New Roman" w:cs="Times New Roman"/>
                <w:noProof/>
                <w:sz w:val="20"/>
                <w:szCs w:val="20"/>
              </w:rPr>
              <w:t>[15]</w:t>
            </w:r>
            <w:r w:rsidR="006263C1">
              <w:rPr>
                <w:rFonts w:ascii="Times New Roman" w:hAnsi="Times New Roman" w:cs="Times New Roman"/>
                <w:sz w:val="20"/>
                <w:szCs w:val="20"/>
              </w:rPr>
              <w:fldChar w:fldCharType="end"/>
            </w:r>
            <w:r w:rsidR="006263C1">
              <w:rPr>
                <w:rFonts w:ascii="Times New Roman" w:hAnsi="Times New Roman" w:cs="Times New Roman"/>
                <w:sz w:val="20"/>
                <w:szCs w:val="20"/>
              </w:rPr>
              <w:t>.</w:t>
            </w:r>
            <w:r w:rsidR="005A0075" w:rsidRPr="009F7737">
              <w:rPr>
                <w:rFonts w:ascii="Times New Roman" w:hAnsi="Times New Roman" w:cs="Times New Roman"/>
                <w:color w:val="FF0000"/>
                <w:sz w:val="20"/>
                <w:szCs w:val="20"/>
              </w:rPr>
              <w:t xml:space="preserve"> </w:t>
            </w:r>
            <w:r w:rsidR="005A0075">
              <w:rPr>
                <w:rFonts w:ascii="Times New Roman" w:hAnsi="Times New Roman" w:cs="Times New Roman"/>
                <w:sz w:val="20"/>
                <w:szCs w:val="20"/>
              </w:rPr>
              <w:t xml:space="preserve">In contrast, </w:t>
            </w:r>
            <w:r w:rsidRPr="009F7737">
              <w:rPr>
                <w:rFonts w:ascii="Times New Roman" w:hAnsi="Times New Roman" w:cs="Times New Roman"/>
                <w:sz w:val="20"/>
                <w:szCs w:val="20"/>
              </w:rPr>
              <w:t xml:space="preserve">IL-8 </w:t>
            </w:r>
            <w:r w:rsidR="005A0075">
              <w:rPr>
                <w:rFonts w:ascii="Times New Roman" w:hAnsi="Times New Roman" w:cs="Times New Roman"/>
                <w:sz w:val="20"/>
                <w:szCs w:val="20"/>
              </w:rPr>
              <w:t>can activate</w:t>
            </w:r>
            <w:r w:rsidRPr="009F7737">
              <w:rPr>
                <w:rFonts w:ascii="Times New Roman" w:hAnsi="Times New Roman" w:cs="Times New Roman"/>
                <w:sz w:val="20"/>
                <w:szCs w:val="20"/>
              </w:rPr>
              <w:t xml:space="preserve"> migration of BM-MSCs to repair cartilage defects. IL-8 </w:t>
            </w:r>
            <w:r w:rsidR="006263C1">
              <w:rPr>
                <w:rFonts w:ascii="Times New Roman" w:hAnsi="Times New Roman" w:cs="Times New Roman"/>
                <w:sz w:val="20"/>
                <w:szCs w:val="20"/>
              </w:rPr>
              <w:t xml:space="preserve">may </w:t>
            </w:r>
            <w:r w:rsidRPr="009F7737">
              <w:rPr>
                <w:rFonts w:ascii="Times New Roman" w:hAnsi="Times New Roman" w:cs="Times New Roman"/>
                <w:sz w:val="20"/>
                <w:szCs w:val="20"/>
              </w:rPr>
              <w:t>enhance osteogenesis and induce chondrogenic differentiation of BM-MSCs</w:t>
            </w:r>
            <w:r w:rsidR="006263C1">
              <w:rPr>
                <w:rFonts w:ascii="Times New Roman" w:hAnsi="Times New Roman" w:cs="Times New Roman"/>
                <w:sz w:val="20"/>
                <w:szCs w:val="20"/>
              </w:rPr>
              <w:t xml:space="preserve"> </w:t>
            </w:r>
            <w:r w:rsidR="006263C1">
              <w:rPr>
                <w:rFonts w:ascii="Times New Roman" w:hAnsi="Times New Roman" w:cs="Times New Roman"/>
                <w:sz w:val="20"/>
                <w:szCs w:val="20"/>
              </w:rPr>
              <w:fldChar w:fldCharType="begin" w:fldLock="1"/>
            </w:r>
            <w:r w:rsidR="00B653A8">
              <w:rPr>
                <w:rFonts w:ascii="Times New Roman" w:hAnsi="Times New Roman" w:cs="Times New Roman"/>
                <w:sz w:val="20"/>
                <w:szCs w:val="20"/>
              </w:rPr>
              <w:instrText>ADDIN CSL_CITATION {"citationItems":[{"id":"ITEM-1","itemData":{"DOI":"10.1159/000491742","ISSN":"1015-8987","abstract":"Background/Aims: Tissue engineering bone transplantation with bone marrow mesenchymal stem cells (BMSCs) is an effective technology to treat massive bone loss, while molecular regulation of the bone regeneration processes remains poorly understood. Here, we aimed to assess the role of interleukin-8 (IL-8) in the recruitment of host cells by seeded BMSCs and in the bone regeneration. Methods: A transwell assay was performed to examine the role of IL-8/CXCR1/CXCR2/PI3k/Akt on the migration potential of hBMSCs. The in vitro chondrogenic differentiation of hBMSCs was assessed by examination of 2 chondrogenic markers, Sox9 and type 2 collagen (COL2). mBMSCs were used in tissue engineered bone (TEB) with/without IL-8 implanted into bone defect area with CXCR2 or Akt inhibitors. Density and Masson staining of the regenerated bone were assessed. The chondrogenesis was assessed by expression levels of associated proteins, Sox9 and COL2, by RT-qPCR and by immunohistochemistry. Results: IL-8 may trigger in vitro migration of hBMSCs via CXCR2-mediated PI3k/Akt signaling pathway. IL-8 enhances osteogenesis in the TEB-implanted bone defect in mice. IL-8 induces chondrogenic differentiation of hBMSCs via CXCR2-mediated PI3k/Akt signaling pathway in vitro and in vivo. Conclusions: IL-8 enhances therapeutic effects of MSCs on bone regeneration via CXCR2-mediated PI3k/Akt signaling pathway.","author":[{"dropping-particle":"","family":"Yang","given":"Aijun","non-dropping-particle":"","parse-names":false,"suffix":""},{"dropping-particle":"","family":"Lu","given":"Yanzhu","non-dropping-particle":"","parse-names":false,"suffix":""},{"dropping-particle":"","family":"Xing","given":"Junchao","non-dropping-particle":"","parse-names":false,"suffix":""},{"dropping-particle":"","family":"Li","given":"Zhilin","non-dropping-particle":"","parse-names":false,"suffix":""},{"dropping-particle":"","family":"Yin","given":"Xiaolong","non-dropping-particle":"","parse-names":false,"suffix":""},{"dropping-particle":"","family":"Dou","given":"Ce","non-dropping-particle":"","parse-names":false,"suffix":""},{"dropping-particle":"","family":"Dong","given":"Shiwu","non-dropping-particle":"","parse-names":false,"suffix":""},{"dropping-particle":"","family":"Luo","given":"Fei","non-dropping-particle":"","parse-names":false,"suffix":""},{"dropping-particle":"","family":"Xie","given":"Zhao","non-dropping-particle":"","parse-names":false,"suffix":""},{"dropping-particle":"","family":"Hou","given":"Tianyong","non-dropping-particle":"","parse-names":false,"suffix":""},{"dropping-particle":"","family":"Xu","given":"Jianzhong","non-dropping-particle":"","parse-names":false,"suffix":""}],"container-title":"Cellular Physiology and Biochemistry","id":"ITEM-1","issue":"1","issued":{"date-parts":[["2018","7","17"]]},"page":"361-370","title":"IL-8 Enhances Therapeutic Effects of BMSCs on Bone Regeneration via CXCR2-Mediated PI3k/Akt Signaling Pathway","type":"article-journal","volume":"48"},"uris":["http://www.mendeley.com/documents/?uuid=3f226009-314a-475b-bf55-f148061454ea"]}],"mendeley":{"formattedCitation":"[16]","plainTextFormattedCitation":"[16]","previouslyFormattedCitation":"[16]"},"properties":{"noteIndex":0},"schema":"https://github.com/citation-style-language/schema/raw/master/csl-citation.json"}</w:instrText>
            </w:r>
            <w:r w:rsidR="006263C1">
              <w:rPr>
                <w:rFonts w:ascii="Times New Roman" w:hAnsi="Times New Roman" w:cs="Times New Roman"/>
                <w:sz w:val="20"/>
                <w:szCs w:val="20"/>
              </w:rPr>
              <w:fldChar w:fldCharType="separate"/>
            </w:r>
            <w:r w:rsidR="006263C1" w:rsidRPr="006263C1">
              <w:rPr>
                <w:rFonts w:ascii="Times New Roman" w:hAnsi="Times New Roman" w:cs="Times New Roman"/>
                <w:noProof/>
                <w:sz w:val="20"/>
                <w:szCs w:val="20"/>
              </w:rPr>
              <w:t>[16]</w:t>
            </w:r>
            <w:r w:rsidR="006263C1">
              <w:rPr>
                <w:rFonts w:ascii="Times New Roman" w:hAnsi="Times New Roman" w:cs="Times New Roman"/>
                <w:sz w:val="20"/>
                <w:szCs w:val="20"/>
              </w:rPr>
              <w:fldChar w:fldCharType="end"/>
            </w:r>
            <w:r w:rsidR="006263C1">
              <w:rPr>
                <w:rFonts w:ascii="Times New Roman" w:hAnsi="Times New Roman" w:cs="Times New Roman"/>
                <w:sz w:val="20"/>
                <w:szCs w:val="20"/>
              </w:rPr>
              <w:t>.</w:t>
            </w:r>
          </w:p>
        </w:tc>
      </w:tr>
      <w:tr w:rsidR="00845F5C" w:rsidRPr="009F7737" w14:paraId="71D9D217" w14:textId="77777777" w:rsidTr="00E960F5">
        <w:tc>
          <w:tcPr>
            <w:tcW w:w="2547" w:type="dxa"/>
          </w:tcPr>
          <w:p w14:paraId="471A4C07"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-9</w:t>
            </w:r>
          </w:p>
        </w:tc>
        <w:tc>
          <w:tcPr>
            <w:tcW w:w="6662" w:type="dxa"/>
          </w:tcPr>
          <w:p w14:paraId="56E387B3" w14:textId="7D579683"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Complex role in cartilage and context/state dependent. Can promote cartilage degradation and enhance osteoclast</w:t>
            </w:r>
            <w:r w:rsidR="003B19DD">
              <w:rPr>
                <w:rFonts w:ascii="Times New Roman" w:hAnsi="Times New Roman" w:cs="Times New Roman"/>
                <w:sz w:val="20"/>
                <w:szCs w:val="20"/>
              </w:rPr>
              <w:t xml:space="preserve"> formation</w:t>
            </w:r>
            <w:r w:rsidRPr="009F7737">
              <w:rPr>
                <w:rFonts w:ascii="Times New Roman" w:hAnsi="Times New Roman" w:cs="Times New Roman"/>
                <w:sz w:val="20"/>
                <w:szCs w:val="20"/>
              </w:rPr>
              <w:t xml:space="preserve">. May promote inflammation in acute settings. Can resolve inflammation and protect against cartilage and bone loss in chronic arthritis </w:t>
            </w:r>
            <w:r w:rsidR="00B653A8">
              <w:rPr>
                <w:rFonts w:ascii="Times New Roman" w:hAnsi="Times New Roman" w:cs="Times New Roman"/>
                <w:sz w:val="20"/>
                <w:szCs w:val="20"/>
              </w:rPr>
              <w:fldChar w:fldCharType="begin" w:fldLock="1"/>
            </w:r>
            <w:r w:rsidR="00B653A8">
              <w:rPr>
                <w:rFonts w:ascii="Times New Roman" w:hAnsi="Times New Roman" w:cs="Times New Roman"/>
                <w:sz w:val="20"/>
                <w:szCs w:val="20"/>
              </w:rPr>
              <w:instrText>ADDIN CSL_CITATION {"citationItems":[{"id":"ITEM-1","itemData":{"DOI":"10.1038/nm.4373","author":[{"dropping-particle":"","family":"Rauber","given":"Simon","non-dropping-particle":"","parse-names":false,"suffix":""},{"dropping-particle":"","family":"Luber","given":"Markus","non-dropping-particle":"","parse-names":false,"suffix":""},{"dropping-particle":"","family":"Weber","given":"Stefanie","non-dropping-particle":"","parse-names":false,"suffix":""},{"dropping-particle":"","family":"Maul","given":"Lisa","non-dropping-particle":"","parse-names":false,"suffix":""},{"dropping-particle":"","family":"Soare","given":"Alina","non-dropping-particle":"","parse-names":false,"suffix":""},{"dropping-particle":"","family":"Lin","given":"Neng-yu","non-dropping-particle":"","parse-names":false,"suffix":""},{"dropping-particle":"","family":"Dietel","given":"Katharina","non-dropping-particle":"","parse-names":false,"suffix":""},{"dropping-particle":"","family":"Bozec","given":"Aline","non-dropping-particle":"","parse-names":false,"suffix":""},{"dropping-particle":"","family":"Herrmann","given":"Martin","non-dropping-particle":"","parse-names":false,"suffix":""},{"dropping-particle":"","family":"Mark","given":"H","non-dropping-particle":"","parse-names":false,"suffix":""},{"dropping-particle":"","family":"Weigmann","given":"Benno","non-dropping-particle":"","parse-names":false,"suffix":""},{"dropping-particle":"","family":"Zaiss","given":"Mario M","non-dropping-particle":"","parse-names":false,"suffix":""},{"dropping-particle":"","family":"Fearon","given":"Ursula","non-dropping-particle":"","parse-names":false,"suffix":""},{"dropping-particle":"","family":"Veale","given":"Douglas J","non-dropping-particle":"","parse-names":false,"suffix":""},{"dropping-particle":"","family":"Juan","given":"D","non-dropping-particle":"","parse-names":false,"suffix":""},{"dropping-particle":"","family":"Distler","given":"Oliver","non-dropping-particle":"","parse-names":false,"suffix":""},{"dropping-particle":"","family":"Rivellese","given":"Felice","non-dropping-particle":"","parse-names":false,"suffix":""},{"dropping-particle":"","family":"Pitzalis","given":"Costantino","non-dropping-particle":"","parse-names":false,"suffix":""},{"dropping-particle":"","family":"Neurath","given":"Markus F","non-dropping-particle":"","parse-names":false,"suffix":""},{"dropping-particle":"","family":"Mckenzie","given":"Andrew N J","non-dropping-particle":"","parse-names":false,"suffix":""},{"dropping-particle":"","family":"Wirtz","given":"Stefan","non-dropping-particle":"","parse-names":false,"suffix":""},{"dropping-particle":"","family":"Schett","given":"Georg","non-dropping-particle":"","parse-names":false,"suffix":""},{"dropping-particle":"","family":"Distler","given":"Jörg H W","non-dropping-particle":"","parse-names":false,"suffix":""}],"container-title":"Nat Med.","id":"ITEM-1","issue":"8","issued":{"date-parts":[["2017"]]},"page":"938-944","title":"Resolution of inflammation by interleukin-9-producing type 2 innate lymphoid cells","type":"article-journal","volume":"23"},"uris":["http://www.mendeley.com/documents/?uuid=534698a1-3458-4171-b324-c721ea3b9155"]}],"mendeley":{"formattedCitation":"[17]","plainTextFormattedCitation":"[17]","previouslyFormattedCitation":"[17]"},"properties":{"noteIndex":0},"schema":"https://github.com/citation-style-language/schema/raw/master/csl-citation.json"}</w:instrText>
            </w:r>
            <w:r w:rsidR="00B653A8">
              <w:rPr>
                <w:rFonts w:ascii="Times New Roman" w:hAnsi="Times New Roman" w:cs="Times New Roman"/>
                <w:sz w:val="20"/>
                <w:szCs w:val="20"/>
              </w:rPr>
              <w:fldChar w:fldCharType="separate"/>
            </w:r>
            <w:r w:rsidR="00B653A8" w:rsidRPr="00B653A8">
              <w:rPr>
                <w:rFonts w:ascii="Times New Roman" w:hAnsi="Times New Roman" w:cs="Times New Roman"/>
                <w:noProof/>
                <w:sz w:val="20"/>
                <w:szCs w:val="20"/>
              </w:rPr>
              <w:t>[17]</w:t>
            </w:r>
            <w:r w:rsidR="00B653A8">
              <w:rPr>
                <w:rFonts w:ascii="Times New Roman" w:hAnsi="Times New Roman" w:cs="Times New Roman"/>
                <w:sz w:val="20"/>
                <w:szCs w:val="20"/>
              </w:rPr>
              <w:fldChar w:fldCharType="end"/>
            </w:r>
            <w:r w:rsidRPr="009F7737">
              <w:rPr>
                <w:rFonts w:ascii="Times New Roman" w:hAnsi="Times New Roman" w:cs="Times New Roman"/>
                <w:sz w:val="20"/>
                <w:szCs w:val="20"/>
              </w:rPr>
              <w:t>. IL-9 promotes the anti-inflammatory properties of human macrophages</w:t>
            </w:r>
            <w:r w:rsidR="00B653A8">
              <w:rPr>
                <w:rFonts w:ascii="Times New Roman" w:hAnsi="Times New Roman" w:cs="Times New Roman"/>
                <w:sz w:val="20"/>
                <w:szCs w:val="20"/>
              </w:rPr>
              <w:t xml:space="preserve"> </w:t>
            </w:r>
            <w:r w:rsidR="00B653A8">
              <w:rPr>
                <w:rFonts w:ascii="Times New Roman" w:hAnsi="Times New Roman" w:cs="Times New Roman"/>
                <w:sz w:val="20"/>
                <w:szCs w:val="20"/>
              </w:rPr>
              <w:fldChar w:fldCharType="begin" w:fldLock="1"/>
            </w:r>
            <w:r w:rsidR="00B653A8">
              <w:rPr>
                <w:rFonts w:ascii="Times New Roman" w:hAnsi="Times New Roman" w:cs="Times New Roman"/>
                <w:sz w:val="20"/>
                <w:szCs w:val="20"/>
              </w:rPr>
              <w:instrText>ADDIN CSL_CITATION {"citationItems":[{"id":"ITEM-1","itemData":{"DOI":"10.1186/s12974-020-01770-z","ISSN":"17422094","PMID":"32375811","abstract":"Background: Multiple sclerosis (MS) is an immune-mediated, chronic inflammatory, and demyelinating disease of the central nervous system (CNS). Several cytokines are thought to be involved in the regulation of MS pathogenesis. We recently identified interleukin (IL)-9 as a cytokine reducing inflammation and protecting from neurodegeneration in relapsing-remitting MS patients. However, the expression of IL-9 in CNS, and the mechanisms underlying the effect of IL-9 on CNS infiltrating immune cells have never been investigated. Methods: To address this question, we first analyzed the expression levels of IL-9 in post-mortem cerebrospinal fluid of MS patients and the in situ expression of IL-9 in post-mortem MS brain samples by immunohistochemistry. A complementary investigation focused on identifying which immune cells express IL-9 receptor (IL-9R) by flow cytometry, western blot, and immunohistochemistry. Finally, we explored the effect of IL-9 on IL-9-responsive cells, analyzing the induced signaling pathways and functional properties. Results: We found that macrophages, microglia, and CD4 T lymphocytes were the cells expressing the highest levels of IL-9 in the MS brain. Of the immune cells circulating in the blood, monocytes/macrophages were the most responsive to IL-9. We validated the expression of IL-9R by macrophages/microglia in post-mortem brain sections of MS patients. IL-9 induced activation of signal transducer and activator of transcription (STAT)1, STAT3, and STAT5 and reduced the expression of activation markers, such as CD45, CD14, CD68, and CD11b in inflammatory macrophages stimulated in vitro with lipopolysaccharide and interferon (IFN)-γ. Similarly, in situ the number of activated CD68+ macrophages was significantly reduced in areas with high levels of IL-9. Moreover, in the same conditions, IL-9 increased the secretion of the anti-inflammatory cytokine, transforming growth factor (TGF)-β. Conclusions: These results reveal a new cytokine expressed in the CNS, with a role in the context of MS. We have demonstrated that IL-9 and its receptor are both expressed in CNS. Moreover, we found that IL-9 decreases the activation state and promotes the anti-inflammatory properties of human macrophages. This mechanism may contribute to the beneficial effects of IL-9 that are observed in MS, and may be therapeutically potentiated by modulating IL-9 expression in MS.","author":[{"dropping-particle":"","family":"Donninelli","given":"Gloria","non-dropping-particle":"","parse-names":false,"suffix":""},{"dropping-particle":"","family":"Saraf-Sinik","given":"Inbar","non-dropping-particle":"","parse-names":false,"suffix":""},{"dropping-particle":"","family":"Mazziotti","given":"Valentina","non-dropping-particle":"","parse-names":false,"suffix":""},{"dropping-particle":"","family":"Capone","given":"Alessia","non-dropping-particle":"","parse-names":false,"suffix":""},{"dropping-particle":"","family":"Grasso","given":"Maria Grazia","non-dropping-particle":"","parse-names":false,"suffix":""},{"dropping-particle":"","family":"Battistini","given":"Luca","non-dropping-particle":"","parse-names":false,"suffix":""},{"dropping-particle":"","family":"Reynolds","given":"Richard","non-dropping-particle":"","parse-names":false,"suffix":""},{"dropping-particle":"","family":"Magliozzi","given":"Roberta","non-dropping-particle":"","parse-names":false,"suffix":""},{"dropping-particle":"","family":"Volpe","given":"Elisabetta","non-dropping-particle":"","parse-names":false,"suffix":""}],"container-title":"Journal of Neuroinflammation","id":"ITEM-1","issue":"1","issued":{"date-parts":[["2020"]]},"page":"1-14","publisher":"Journal of Neuroinflammation","title":"Interleukin-9 regulates macrophage activation in the progressive multiple sclerosis brain","type":"article-journal","volume":"17"},"uris":["http://www.mendeley.com/documents/?uuid=40e3e805-1284-441d-9891-f5131a82624e"]}],"mendeley":{"formattedCitation":"[18]","plainTextFormattedCitation":"[18]","previouslyFormattedCitation":"[18]"},"properties":{"noteIndex":0},"schema":"https://github.com/citation-style-language/schema/raw/master/csl-citation.json"}</w:instrText>
            </w:r>
            <w:r w:rsidR="00B653A8">
              <w:rPr>
                <w:rFonts w:ascii="Times New Roman" w:hAnsi="Times New Roman" w:cs="Times New Roman"/>
                <w:sz w:val="20"/>
                <w:szCs w:val="20"/>
              </w:rPr>
              <w:fldChar w:fldCharType="separate"/>
            </w:r>
            <w:r w:rsidR="00B653A8" w:rsidRPr="00B653A8">
              <w:rPr>
                <w:rFonts w:ascii="Times New Roman" w:hAnsi="Times New Roman" w:cs="Times New Roman"/>
                <w:noProof/>
                <w:sz w:val="20"/>
                <w:szCs w:val="20"/>
              </w:rPr>
              <w:t>[18]</w:t>
            </w:r>
            <w:r w:rsidR="00B653A8">
              <w:rPr>
                <w:rFonts w:ascii="Times New Roman" w:hAnsi="Times New Roman" w:cs="Times New Roman"/>
                <w:sz w:val="20"/>
                <w:szCs w:val="20"/>
              </w:rPr>
              <w:fldChar w:fldCharType="end"/>
            </w:r>
            <w:r w:rsidR="00B653A8">
              <w:rPr>
                <w:rFonts w:ascii="Times New Roman" w:hAnsi="Times New Roman" w:cs="Times New Roman"/>
                <w:sz w:val="20"/>
                <w:szCs w:val="20"/>
              </w:rPr>
              <w:t>.</w:t>
            </w:r>
          </w:p>
        </w:tc>
      </w:tr>
      <w:tr w:rsidR="00845F5C" w:rsidRPr="009F7737" w14:paraId="1D62E9E8" w14:textId="77777777" w:rsidTr="00E960F5">
        <w:tc>
          <w:tcPr>
            <w:tcW w:w="2547" w:type="dxa"/>
          </w:tcPr>
          <w:p w14:paraId="4C5DA40E"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-10</w:t>
            </w:r>
          </w:p>
        </w:tc>
        <w:tc>
          <w:tcPr>
            <w:tcW w:w="6662" w:type="dxa"/>
          </w:tcPr>
          <w:p w14:paraId="3F6B95E9" w14:textId="48DF271D"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One of the main anti-inflammatory cytokines</w:t>
            </w:r>
            <w:r w:rsidR="00B653A8">
              <w:rPr>
                <w:rFonts w:ascii="Times New Roman" w:hAnsi="Times New Roman" w:cs="Times New Roman"/>
                <w:sz w:val="20"/>
                <w:szCs w:val="20"/>
              </w:rPr>
              <w:t xml:space="preserve"> of importance</w:t>
            </w:r>
            <w:r w:rsidRPr="009F7737">
              <w:rPr>
                <w:rFonts w:ascii="Times New Roman" w:hAnsi="Times New Roman" w:cs="Times New Roman"/>
                <w:sz w:val="20"/>
                <w:szCs w:val="20"/>
              </w:rPr>
              <w:t xml:space="preserve"> in OA</w:t>
            </w:r>
            <w:r w:rsidR="00B653A8">
              <w:rPr>
                <w:rFonts w:ascii="Times New Roman" w:hAnsi="Times New Roman" w:cs="Times New Roman"/>
                <w:sz w:val="20"/>
                <w:szCs w:val="20"/>
              </w:rPr>
              <w:t xml:space="preserve">. </w:t>
            </w:r>
            <w:r w:rsidRPr="009F7737">
              <w:rPr>
                <w:rFonts w:ascii="Times New Roman" w:hAnsi="Times New Roman" w:cs="Times New Roman"/>
                <w:sz w:val="20"/>
                <w:szCs w:val="20"/>
              </w:rPr>
              <w:t xml:space="preserve">Secreted by </w:t>
            </w:r>
            <w:r w:rsidR="00B653A8">
              <w:rPr>
                <w:rFonts w:ascii="Times New Roman" w:hAnsi="Times New Roman" w:cs="Times New Roman"/>
                <w:sz w:val="20"/>
                <w:szCs w:val="20"/>
              </w:rPr>
              <w:t xml:space="preserve">e.g. macrophages and </w:t>
            </w:r>
            <w:r w:rsidRPr="009F7737">
              <w:rPr>
                <w:rFonts w:ascii="Times New Roman" w:hAnsi="Times New Roman" w:cs="Times New Roman"/>
                <w:sz w:val="20"/>
                <w:szCs w:val="20"/>
              </w:rPr>
              <w:t>MSCs. Anti-inflammatory cytokine that can inhibit the actions of pro-inflammatory cytokines (IL-1</w:t>
            </w:r>
            <w:r w:rsidR="00B653A8">
              <w:rPr>
                <w:rFonts w:ascii="Times New Roman" w:hAnsi="Times New Roman" w:cs="Times New Roman"/>
                <w:sz w:val="20"/>
                <w:szCs w:val="20"/>
              </w:rPr>
              <w:t>β</w:t>
            </w:r>
            <w:r w:rsidRPr="009F7737">
              <w:rPr>
                <w:rFonts w:ascii="Times New Roman" w:hAnsi="Times New Roman" w:cs="Times New Roman"/>
                <w:sz w:val="20"/>
                <w:szCs w:val="20"/>
              </w:rPr>
              <w:t xml:space="preserve"> and TNF-</w:t>
            </w:r>
            <w:r w:rsidR="00B653A8">
              <w:rPr>
                <w:rFonts w:ascii="Times New Roman" w:hAnsi="Times New Roman" w:cs="Times New Roman"/>
                <w:sz w:val="20"/>
                <w:szCs w:val="20"/>
              </w:rPr>
              <w:t>α</w:t>
            </w:r>
            <w:r w:rsidRPr="009F7737">
              <w:rPr>
                <w:rFonts w:ascii="Times New Roman" w:hAnsi="Times New Roman" w:cs="Times New Roman"/>
                <w:sz w:val="20"/>
                <w:szCs w:val="20"/>
              </w:rPr>
              <w:t>), downregulate the expression levels of matrix metalloproteinases, inhibit inflammatory responses and lysis of articular chondrocytes, promote chondrocyte proteoglycan and collagen synthesis and delay OA progression</w:t>
            </w:r>
            <w:r w:rsidR="00B653A8">
              <w:rPr>
                <w:rFonts w:ascii="Times New Roman" w:hAnsi="Times New Roman" w:cs="Times New Roman"/>
                <w:sz w:val="20"/>
                <w:szCs w:val="20"/>
              </w:rPr>
              <w:t xml:space="preserve"> </w:t>
            </w:r>
            <w:r w:rsidR="00B653A8">
              <w:rPr>
                <w:rFonts w:ascii="Times New Roman" w:hAnsi="Times New Roman" w:cs="Times New Roman"/>
                <w:sz w:val="20"/>
                <w:szCs w:val="20"/>
              </w:rPr>
              <w:fldChar w:fldCharType="begin" w:fldLock="1"/>
            </w:r>
            <w:r w:rsidR="00EC0E8C">
              <w:rPr>
                <w:rFonts w:ascii="Times New Roman" w:hAnsi="Times New Roman" w:cs="Times New Roman"/>
                <w:sz w:val="20"/>
                <w:szCs w:val="20"/>
              </w:rPr>
              <w:instrText>ADDIN CSL_CITATION {"citationItems":[{"id":"ITEM-1","itemData":{"DOI":"10.3892/MMR.2022.12615","ISSN":"17913004","PMID":"35088882","abstract":"Osteoarthritis (oa), one of the most common joint diseases, is characterized by fibrosis, rhagadia, ulcers and attrition of articular cartilage due to a number of factors. The etiology of oa remains unclear, but its occurrence has been associated with age, obesity, inflammation, trauma and genetic factors. Inflammatory cytokines are crucial for the occurrence and progression of OA. The intra-articular proinflammatory and anti-inflammatory cytokines jointly maintain a dynamic balance, in accordance with the physiological metabolism of articular cartilage. However, dynamic imbalance between proinflammatory and anti-inflammatory cytokines can cause abnormal metabolism in knee articular cartilage, which leads to deformation, loss and abnormal regeneration, and ultimately destroys the normal structure of the knee joint. The ability of articular cartilage to self-repair once damaged is limited, due to its inability to obtain nutrients from blood vessels, nerves and lymphatic vessels, as well as limitations in the extracellular matrix. There are several disadvantages inherent to conventional repair methods, while cartilage tissue engineering (CTE), which combines proinflammatory and anti-inflammatory cytokines, offers a new therapeutic approach for oa. The aim of the present review was to examine the proinflammatory factors implicated in oa, including il-1β, TnF-α, il-6, il-15, il-17 and il-18, as well as the key anti-inflammatory factors reducing OA-related articular damage, including IL-4, insulin-like growth factor and TGF-β. The predominance of proinflammatory over anti-inflammatory cytokine effects ultimately leads to the development of OA. cTe, which employs mesenchymal stem cells and scaffolding technology, may prevent oa by maintaining the homeostasis of pro- and anti-inflammatory factors.","author":[{"dropping-particle":"","family":"Liu","given":"Shuyu","non-dropping-particle":"","parse-names":false,"suffix":""},{"dropping-particle":"","family":"Deng","given":"Zhenhan","non-dropping-particle":"","parse-names":false,"suffix":""},{"dropping-particle":"","family":"Chen","given":"Kang","non-dropping-particle":"","parse-names":false,"suffix":""},{"dropping-particle":"","family":"Jian","given":"Shengsheng","non-dropping-particle":"","parse-names":false,"suffix":""},{"dropping-particle":"","family":"Zhou","given":"Feifei","non-dropping-particle":"","parse-names":false,"suffix":""},{"dropping-particle":"","family":"Yang","given":"Yuan","non-dropping-particle":"","parse-names":false,"suffix":""},{"dropping-particle":"","family":"Fu","given":"Zicai","non-dropping-particle":"","parse-names":false,"suffix":""},{"dropping-particle":"","family":"Xie","given":"Huanyu","non-dropping-particle":"","parse-names":false,"suffix":""},{"dropping-particle":"","family":"Xiong","given":"Jianyi","non-dropping-particle":"","parse-names":false,"suffix":""},{"dropping-particle":"","family":"Zhu","given":"Weimin","non-dropping-particle":"","parse-names":false,"suffix":""}],"container-title":"Molecular Medicine Reports","id":"ITEM-1","issue":"3","issued":{"date-parts":[["2022"]]},"page":"1-15","title":"Cartilage tissue engineering: From proinflammatory and anti-inflammatory cytokines to osteoarthritis treatments (Review)","type":"article-journal","volume":"25"},"uris":["http://www.mendeley.com/documents/?uuid=6c2f99f4-59d1-4a39-b090-b43bcf31955d"]}],"mendeley":{"formattedCitation":"[14]","plainTextFormattedCitation":"[14]","previouslyFormattedCitation":"[14]"},"properties":{"noteIndex":0},"schema":"https://github.com/citation-style-language/schema/raw/master/csl-citation.json"}</w:instrText>
            </w:r>
            <w:r w:rsidR="00B653A8">
              <w:rPr>
                <w:rFonts w:ascii="Times New Roman" w:hAnsi="Times New Roman" w:cs="Times New Roman"/>
                <w:sz w:val="20"/>
                <w:szCs w:val="20"/>
              </w:rPr>
              <w:fldChar w:fldCharType="separate"/>
            </w:r>
            <w:r w:rsidR="00B653A8" w:rsidRPr="00B653A8">
              <w:rPr>
                <w:rFonts w:ascii="Times New Roman" w:hAnsi="Times New Roman" w:cs="Times New Roman"/>
                <w:noProof/>
                <w:sz w:val="20"/>
                <w:szCs w:val="20"/>
              </w:rPr>
              <w:t>[14]</w:t>
            </w:r>
            <w:r w:rsidR="00B653A8">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p>
        </w:tc>
      </w:tr>
      <w:tr w:rsidR="00845F5C" w:rsidRPr="009F7737" w14:paraId="642F12FC" w14:textId="77777777" w:rsidTr="00E960F5">
        <w:tc>
          <w:tcPr>
            <w:tcW w:w="2547" w:type="dxa"/>
          </w:tcPr>
          <w:p w14:paraId="76B43016"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-12 p70</w:t>
            </w:r>
          </w:p>
        </w:tc>
        <w:tc>
          <w:tcPr>
            <w:tcW w:w="6662" w:type="dxa"/>
          </w:tcPr>
          <w:p w14:paraId="79A5AEC7" w14:textId="193A245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Pro-inflammatory. Stimulates natural killer cells to produce IFN-γ and promotes differentiation of naïve T cells to Th1 cells.</w:t>
            </w:r>
          </w:p>
        </w:tc>
      </w:tr>
      <w:tr w:rsidR="00845F5C" w:rsidRPr="009F7737" w14:paraId="3A6AE482" w14:textId="77777777" w:rsidTr="00E960F5">
        <w:tc>
          <w:tcPr>
            <w:tcW w:w="2547" w:type="dxa"/>
          </w:tcPr>
          <w:p w14:paraId="7CF82FC6"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-13</w:t>
            </w:r>
          </w:p>
        </w:tc>
        <w:tc>
          <w:tcPr>
            <w:tcW w:w="6662" w:type="dxa"/>
          </w:tcPr>
          <w:p w14:paraId="584DC427" w14:textId="7B95E389"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Chondro-protective. IL-13 reduce</w:t>
            </w:r>
            <w:r w:rsidR="0003565E">
              <w:rPr>
                <w:rFonts w:ascii="Times New Roman" w:hAnsi="Times New Roman" w:cs="Times New Roman"/>
                <w:sz w:val="20"/>
                <w:szCs w:val="20"/>
              </w:rPr>
              <w:t>s</w:t>
            </w:r>
            <w:r w:rsidRPr="009F7737">
              <w:rPr>
                <w:rFonts w:ascii="Times New Roman" w:hAnsi="Times New Roman" w:cs="Times New Roman"/>
                <w:sz w:val="20"/>
                <w:szCs w:val="20"/>
              </w:rPr>
              <w:t xml:space="preserve"> chondrocyte death</w:t>
            </w:r>
            <w:r w:rsidR="00EC0E8C">
              <w:rPr>
                <w:rFonts w:ascii="Times New Roman" w:hAnsi="Times New Roman" w:cs="Times New Roman"/>
                <w:sz w:val="20"/>
                <w:szCs w:val="20"/>
              </w:rPr>
              <w:t xml:space="preserve">, collagen breakdown and expression of matrix metalloproteinases </w:t>
            </w:r>
            <w:r w:rsidR="00EC0E8C">
              <w:rPr>
                <w:rFonts w:ascii="Times New Roman" w:hAnsi="Times New Roman" w:cs="Times New Roman"/>
                <w:sz w:val="20"/>
                <w:szCs w:val="20"/>
              </w:rPr>
              <w:fldChar w:fldCharType="begin" w:fldLock="1"/>
            </w:r>
            <w:r w:rsidR="0044514D">
              <w:rPr>
                <w:rFonts w:ascii="Times New Roman" w:hAnsi="Times New Roman" w:cs="Times New Roman"/>
                <w:sz w:val="20"/>
                <w:szCs w:val="20"/>
              </w:rPr>
              <w:instrText>ADDIN CSL_CITATION {"citationItems":[{"id":"ITEM-1","itemData":{"DOI":"10.3390/cells10113000","ISSN":"20734409","abstract":"Interleukin (IL)-4 and IL-13 belong to the T helper 2 (Th2) cytokine family, along with IL-3, IL-5, and IL-9. These cytokines are key mediators of allergic inflammation. They have important immunomodulatory activities and exert influence on a wide variety of immune cells, such as B cells, eosinophils, basophils, monocytes, fibroblasts, endothelial cells, airway epithelial cells, smooth muscle cells, and keratinocytes. Recent studies have implicated IL-4 and IL-13 in the development of various autoimmune diseases. Additionally, these cytokines have emerged as potential players in pathogenesis of inflammatory arthritis. Recent findings suggest that the IL-4 and IL-13 might play a significant role in the downregulation of inflammatory processes underlying RA pathology, and beneficially modulate the course of the disease. This review summarizes the biological features of the IL-4 and IL-13 and provides current knowledge regarding the role of these cytokines in inflammatory arthritis.","author":[{"dropping-particle":"","family":"Iwaszko","given":"Milena","non-dropping-particle":"","parse-names":false,"suffix":""},{"dropping-particle":"","family":"Biały","given":"Sylwia","non-dropping-particle":"","parse-names":false,"suffix":""},{"dropping-particle":"","family":"Bogunia-Kubik","given":"Katarzyna","non-dropping-particle":"","parse-names":false,"suffix":""}],"container-title":"Cells","id":"ITEM-1","issue":"11","issued":{"date-parts":[["2021"]]},"title":"Significance of interleukin (IL)-4 and IL-13 in inflammatory arthritis","type":"article-journal","volume":"10"},"uris":["http://www.mendeley.com/documents/?uuid=b98a4210-38b4-4ad7-b1e0-4654c3db72c4"]}],"mendeley":{"formattedCitation":"[19]","plainTextFormattedCitation":"[19]","previouslyFormattedCitation":"[19]"},"properties":{"noteIndex":0},"schema":"https://github.com/citation-style-language/schema/raw/master/csl-citation.json"}</w:instrText>
            </w:r>
            <w:r w:rsidR="00EC0E8C">
              <w:rPr>
                <w:rFonts w:ascii="Times New Roman" w:hAnsi="Times New Roman" w:cs="Times New Roman"/>
                <w:sz w:val="20"/>
                <w:szCs w:val="20"/>
              </w:rPr>
              <w:fldChar w:fldCharType="separate"/>
            </w:r>
            <w:r w:rsidR="00EC0E8C" w:rsidRPr="00EC0E8C">
              <w:rPr>
                <w:rFonts w:ascii="Times New Roman" w:hAnsi="Times New Roman" w:cs="Times New Roman"/>
                <w:noProof/>
                <w:sz w:val="20"/>
                <w:szCs w:val="20"/>
              </w:rPr>
              <w:t>[19]</w:t>
            </w:r>
            <w:r w:rsidR="00EC0E8C">
              <w:rPr>
                <w:rFonts w:ascii="Times New Roman" w:hAnsi="Times New Roman" w:cs="Times New Roman"/>
                <w:sz w:val="20"/>
                <w:szCs w:val="20"/>
              </w:rPr>
              <w:fldChar w:fldCharType="end"/>
            </w:r>
            <w:r w:rsidR="00EC0E8C">
              <w:rPr>
                <w:rFonts w:ascii="Times New Roman" w:hAnsi="Times New Roman" w:cs="Times New Roman"/>
                <w:sz w:val="20"/>
                <w:szCs w:val="20"/>
              </w:rPr>
              <w:t>.</w:t>
            </w:r>
            <w:r w:rsidRPr="009F7737">
              <w:rPr>
                <w:rFonts w:ascii="Times New Roman" w:hAnsi="Times New Roman" w:cs="Times New Roman"/>
                <w:sz w:val="20"/>
                <w:szCs w:val="20"/>
              </w:rPr>
              <w:t xml:space="preserve"> </w:t>
            </w:r>
          </w:p>
        </w:tc>
      </w:tr>
      <w:tr w:rsidR="00845F5C" w:rsidRPr="009F7737" w14:paraId="67A50595" w14:textId="77777777" w:rsidTr="00E960F5">
        <w:tc>
          <w:tcPr>
            <w:tcW w:w="2547" w:type="dxa"/>
          </w:tcPr>
          <w:p w14:paraId="31CD2EFC"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-15</w:t>
            </w:r>
          </w:p>
        </w:tc>
        <w:tc>
          <w:tcPr>
            <w:tcW w:w="6662" w:type="dxa"/>
          </w:tcPr>
          <w:p w14:paraId="279058A2"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Pro-inflammatory. Activates various cytokines including TNF-α, IL-1β, IL-6 and IL-17.</w:t>
            </w:r>
          </w:p>
        </w:tc>
      </w:tr>
      <w:tr w:rsidR="00845F5C" w:rsidRPr="009F7737" w14:paraId="34901B5A" w14:textId="77777777" w:rsidTr="00E960F5">
        <w:tc>
          <w:tcPr>
            <w:tcW w:w="2547" w:type="dxa"/>
          </w:tcPr>
          <w:p w14:paraId="40D410F3"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lastRenderedPageBreak/>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-17A</w:t>
            </w:r>
          </w:p>
        </w:tc>
        <w:tc>
          <w:tcPr>
            <w:tcW w:w="6662" w:type="dxa"/>
          </w:tcPr>
          <w:p w14:paraId="229B22BB" w14:textId="76407F1F"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Accelerates cartilage destruction. Promotes the release of various proinflammatory cytokines and compounds including IL-1</w:t>
            </w:r>
            <w:r w:rsidR="00EC0E8C">
              <w:rPr>
                <w:rFonts w:ascii="Times New Roman" w:hAnsi="Times New Roman" w:cs="Times New Roman"/>
                <w:sz w:val="20"/>
                <w:szCs w:val="20"/>
              </w:rPr>
              <w:t>β</w:t>
            </w:r>
            <w:r w:rsidRPr="009F7737">
              <w:rPr>
                <w:rFonts w:ascii="Times New Roman" w:hAnsi="Times New Roman" w:cs="Times New Roman"/>
                <w:sz w:val="20"/>
                <w:szCs w:val="20"/>
              </w:rPr>
              <w:t xml:space="preserve">. </w:t>
            </w:r>
          </w:p>
        </w:tc>
      </w:tr>
      <w:tr w:rsidR="00845F5C" w:rsidRPr="009F7737" w14:paraId="354BDA25" w14:textId="77777777" w:rsidTr="00E960F5">
        <w:tc>
          <w:tcPr>
            <w:tcW w:w="2547" w:type="dxa"/>
          </w:tcPr>
          <w:p w14:paraId="1776271C"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-17E</w:t>
            </w:r>
          </w:p>
        </w:tc>
        <w:tc>
          <w:tcPr>
            <w:tcW w:w="6662" w:type="dxa"/>
          </w:tcPr>
          <w:p w14:paraId="2AC727BA" w14:textId="4B4255F5"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Promotes Th2-based immune responses. </w:t>
            </w:r>
          </w:p>
        </w:tc>
      </w:tr>
      <w:tr w:rsidR="00845F5C" w:rsidRPr="009F7737" w14:paraId="15CECDE0" w14:textId="77777777" w:rsidTr="00E960F5">
        <w:tc>
          <w:tcPr>
            <w:tcW w:w="2547" w:type="dxa"/>
          </w:tcPr>
          <w:p w14:paraId="39FC9389"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Interleukin (</w:t>
            </w:r>
            <w:r w:rsidRPr="009F7737">
              <w:rPr>
                <w:rFonts w:ascii="Times New Roman" w:hAnsi="Times New Roman" w:cs="Times New Roman"/>
                <w:sz w:val="20"/>
                <w:szCs w:val="20"/>
              </w:rPr>
              <w:t>IL</w:t>
            </w:r>
            <w:r>
              <w:rPr>
                <w:rFonts w:ascii="Times New Roman" w:hAnsi="Times New Roman" w:cs="Times New Roman"/>
                <w:sz w:val="20"/>
                <w:szCs w:val="20"/>
              </w:rPr>
              <w:t>)</w:t>
            </w:r>
            <w:r w:rsidRPr="009F7737">
              <w:rPr>
                <w:rFonts w:ascii="Times New Roman" w:hAnsi="Times New Roman" w:cs="Times New Roman"/>
                <w:sz w:val="20"/>
                <w:szCs w:val="20"/>
              </w:rPr>
              <w:t>-33</w:t>
            </w:r>
          </w:p>
        </w:tc>
        <w:tc>
          <w:tcPr>
            <w:tcW w:w="6662" w:type="dxa"/>
          </w:tcPr>
          <w:p w14:paraId="29B4BD4C" w14:textId="7556A17F"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Cause human chondrocytes to produce cartilage-degrading proteases</w:t>
            </w:r>
            <w:r w:rsidR="0044514D">
              <w:rPr>
                <w:rFonts w:ascii="Times New Roman" w:hAnsi="Times New Roman" w:cs="Times New Roman"/>
                <w:sz w:val="20"/>
                <w:szCs w:val="20"/>
              </w:rPr>
              <w:t>.</w:t>
            </w:r>
            <w:r w:rsidRPr="009F7737">
              <w:rPr>
                <w:rFonts w:ascii="Times New Roman" w:hAnsi="Times New Roman" w:cs="Times New Roman"/>
                <w:sz w:val="20"/>
                <w:szCs w:val="20"/>
              </w:rPr>
              <w:t xml:space="preserve"> Increased expression of IL-33 in OA cartilage. IL-33 increases IL-6, TNF-α, TLRs, and MMPs expression and favours phenotypic conversion towards the M1 inflammatory phenotype of macrophages </w:t>
            </w:r>
            <w:r w:rsidR="0044514D">
              <w:rPr>
                <w:rFonts w:ascii="Times New Roman" w:hAnsi="Times New Roman" w:cs="Times New Roman"/>
                <w:sz w:val="20"/>
                <w:szCs w:val="20"/>
              </w:rPr>
              <w:fldChar w:fldCharType="begin" w:fldLock="1"/>
            </w:r>
            <w:r w:rsidR="00BF430F">
              <w:rPr>
                <w:rFonts w:ascii="Times New Roman" w:hAnsi="Times New Roman" w:cs="Times New Roman"/>
                <w:sz w:val="20"/>
                <w:szCs w:val="20"/>
              </w:rPr>
              <w:instrText>ADDIN CSL_CITATION {"citationItems":[{"id":"ITEM-1","itemData":{"DOI":"10.3390/ijerph19095690","ISSN":"16604601","PMID":"35565085","abstract":"Osteoarthritis (OA) is a chronic inflammatory disease where pro-inflammatory cytokines, damage-associated molecular patterns (DAMPs), and macrophages play a crucial role. However, the interactive role of these mediators, the exact cause precipitating OA and definitive treatment for OA are not known yet. Moreover, the interactive role of interleukin (IL)-33 and IL-37 with other factors in the pathogenesis of OA has not been discussed elaborately. In this study, we analyzed the expression of IL-33 and IL-37 in human OA knee and hip joint cartilage tissues. The effect of increased DAMPs, IL-33, and IL-37 on IL-6, tumor necrosis factor (TNF)-α, toll-like receptors (TLRs), and matrix metalloproteinases (MMPs) expression was delineated using human normal and osteoarthritic chondrocytes. The effect of anti-inflammatory cytokine IL-37 on various mediators of inflammation in the presence of IL-33, rHMGB-1, and LPS was investigated to delineate the effects of IL-37. Further, the effects of blocking IL-33 downstream signaling and the effects of IL-33 and IL-37 on macrophage polarization were assessed along with examining the macrophage phenotypes in human OA cartilage tissues. The results of this study revealed increased expression of IL-33 in OA cartilage and that IL-33 increases IL-6, TNF-α, TLRs, and MMPs expression and favors phenotypic conversion towards the M1 phenotype, while IL-37 and blocking IL-33 receptor ST2 have opposite effects. Overall, the results suggest that blocking IL-33 and increasing IL-37 act synergistically to attenuate inflammation and might serve as potential therapeutics in OA.","author":[{"dropping-particle":"","family":"Rai","given":"Vikrant","non-dropping-particle":"","parse-names":false,"suffix":""},{"dropping-particle":"","family":"Dilisio","given":"Matthew F.","non-dropping-particle":"","parse-names":false,"suffix":""},{"dropping-particle":"","family":"Samadi","given":"Farial","non-dropping-particle":"","parse-names":false,"suffix":""},{"dropping-particle":"","family":"Agrawal","given":"Devendra K.","non-dropping-particle":"","parse-names":false,"suffix":""}],"container-title":"International Journal of Environmental Research and Public Health","id":"ITEM-1","issue":"9","issued":{"date-parts":[["2022"]]},"title":"Counteractive Effects of IL-33 and IL-37 on Inflammation in Osteoarthritis","type":"article-journal","volume":"19"},"uris":["http://www.mendeley.com/documents/?uuid=ead98225-7b55-4c42-9d2b-212c246a2ecf"]}],"mendeley":{"formattedCitation":"[20]","plainTextFormattedCitation":"[20]","previouslyFormattedCitation":"[20]"},"properties":{"noteIndex":0},"schema":"https://github.com/citation-style-language/schema/raw/master/csl-citation.json"}</w:instrText>
            </w:r>
            <w:r w:rsidR="0044514D">
              <w:rPr>
                <w:rFonts w:ascii="Times New Roman" w:hAnsi="Times New Roman" w:cs="Times New Roman"/>
                <w:sz w:val="20"/>
                <w:szCs w:val="20"/>
              </w:rPr>
              <w:fldChar w:fldCharType="separate"/>
            </w:r>
            <w:r w:rsidR="0044514D" w:rsidRPr="0044514D">
              <w:rPr>
                <w:rFonts w:ascii="Times New Roman" w:hAnsi="Times New Roman" w:cs="Times New Roman"/>
                <w:noProof/>
                <w:sz w:val="20"/>
                <w:szCs w:val="20"/>
              </w:rPr>
              <w:t>[20]</w:t>
            </w:r>
            <w:r w:rsidR="0044514D">
              <w:rPr>
                <w:rFonts w:ascii="Times New Roman" w:hAnsi="Times New Roman" w:cs="Times New Roman"/>
                <w:sz w:val="20"/>
                <w:szCs w:val="20"/>
              </w:rPr>
              <w:fldChar w:fldCharType="end"/>
            </w:r>
            <w:r w:rsidR="0044514D">
              <w:rPr>
                <w:rFonts w:ascii="Times New Roman" w:hAnsi="Times New Roman" w:cs="Times New Roman"/>
                <w:sz w:val="20"/>
                <w:szCs w:val="20"/>
              </w:rPr>
              <w:t>.</w:t>
            </w:r>
            <w:r w:rsidRPr="009F7737">
              <w:rPr>
                <w:rFonts w:ascii="Times New Roman" w:hAnsi="Times New Roman" w:cs="Times New Roman"/>
                <w:color w:val="FF0000"/>
                <w:sz w:val="20"/>
                <w:szCs w:val="20"/>
              </w:rPr>
              <w:t xml:space="preserve"> </w:t>
            </w:r>
          </w:p>
        </w:tc>
      </w:tr>
      <w:tr w:rsidR="00845F5C" w:rsidRPr="009F7737" w14:paraId="0243D158" w14:textId="77777777" w:rsidTr="00E960F5">
        <w:tc>
          <w:tcPr>
            <w:tcW w:w="2547" w:type="dxa"/>
          </w:tcPr>
          <w:p w14:paraId="39BCC5DE"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Interferon-gamma-inducible protein (</w:t>
            </w:r>
            <w:r w:rsidRPr="009F7737">
              <w:rPr>
                <w:rFonts w:ascii="Times New Roman" w:hAnsi="Times New Roman" w:cs="Times New Roman"/>
                <w:sz w:val="20"/>
                <w:szCs w:val="20"/>
              </w:rPr>
              <w:t>IP</w:t>
            </w:r>
            <w:r>
              <w:rPr>
                <w:rFonts w:ascii="Times New Roman" w:hAnsi="Times New Roman" w:cs="Times New Roman"/>
                <w:sz w:val="20"/>
                <w:szCs w:val="20"/>
              </w:rPr>
              <w:t>)</w:t>
            </w:r>
            <w:r w:rsidRPr="009F7737">
              <w:rPr>
                <w:rFonts w:ascii="Times New Roman" w:hAnsi="Times New Roman" w:cs="Times New Roman"/>
                <w:sz w:val="20"/>
                <w:szCs w:val="20"/>
              </w:rPr>
              <w:t>-10</w:t>
            </w:r>
          </w:p>
        </w:tc>
        <w:tc>
          <w:tcPr>
            <w:tcW w:w="6662" w:type="dxa"/>
          </w:tcPr>
          <w:p w14:paraId="19FFB808" w14:textId="6AADB60E"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Chemokine that attracts Th1 cells, eosinophils, monocytes,</w:t>
            </w:r>
            <w:r w:rsidR="0044514D">
              <w:rPr>
                <w:rFonts w:ascii="Times New Roman" w:hAnsi="Times New Roman" w:cs="Times New Roman"/>
                <w:sz w:val="20"/>
                <w:szCs w:val="20"/>
              </w:rPr>
              <w:t xml:space="preserve"> macrophages,</w:t>
            </w:r>
            <w:r w:rsidRPr="009F7737">
              <w:rPr>
                <w:rFonts w:ascii="Times New Roman" w:hAnsi="Times New Roman" w:cs="Times New Roman"/>
                <w:sz w:val="20"/>
                <w:szCs w:val="20"/>
              </w:rPr>
              <w:t xml:space="preserve"> and NK cells to sites of inflammation. </w:t>
            </w:r>
            <w:r w:rsidR="0044514D">
              <w:rPr>
                <w:rFonts w:ascii="Times New Roman" w:hAnsi="Times New Roman" w:cs="Times New Roman"/>
                <w:sz w:val="20"/>
                <w:szCs w:val="20"/>
              </w:rPr>
              <w:t xml:space="preserve">IP-10 secretion is stimulated by IFN-γ. </w:t>
            </w:r>
          </w:p>
        </w:tc>
      </w:tr>
      <w:tr w:rsidR="00845F5C" w:rsidRPr="009F7737" w14:paraId="136DDDE5" w14:textId="77777777" w:rsidTr="00E960F5">
        <w:tc>
          <w:tcPr>
            <w:tcW w:w="2547" w:type="dxa"/>
          </w:tcPr>
          <w:p w14:paraId="7EC2C68D"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sz w:val="20"/>
                <w:szCs w:val="20"/>
              </w:rPr>
              <w:t>Monocyte Chemoattractant Protein (</w:t>
            </w:r>
            <w:r w:rsidRPr="009F7737">
              <w:rPr>
                <w:rFonts w:ascii="Times New Roman" w:hAnsi="Times New Roman" w:cs="Times New Roman"/>
                <w:sz w:val="20"/>
                <w:szCs w:val="20"/>
              </w:rPr>
              <w:t>MCP</w:t>
            </w:r>
            <w:r>
              <w:rPr>
                <w:rFonts w:ascii="Times New Roman" w:hAnsi="Times New Roman" w:cs="Times New Roman"/>
                <w:sz w:val="20"/>
                <w:szCs w:val="20"/>
              </w:rPr>
              <w:t>)</w:t>
            </w:r>
            <w:r w:rsidRPr="009F7737">
              <w:rPr>
                <w:rFonts w:ascii="Times New Roman" w:hAnsi="Times New Roman" w:cs="Times New Roman"/>
                <w:sz w:val="20"/>
                <w:szCs w:val="20"/>
              </w:rPr>
              <w:t>-1</w:t>
            </w:r>
          </w:p>
        </w:tc>
        <w:tc>
          <w:tcPr>
            <w:tcW w:w="6662" w:type="dxa"/>
          </w:tcPr>
          <w:p w14:paraId="1148082A" w14:textId="7D99D7B8"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Expressed by mature osteoclasts and osteoblasts. Act together with RANTES as an autocrine loop in human osteoclast differentiation. Chemoat</w:t>
            </w:r>
            <w:r>
              <w:rPr>
                <w:rFonts w:ascii="Times New Roman" w:hAnsi="Times New Roman" w:cs="Times New Roman"/>
                <w:sz w:val="20"/>
                <w:szCs w:val="20"/>
              </w:rPr>
              <w:t>tractant</w:t>
            </w:r>
            <w:r w:rsidRPr="009F7737">
              <w:rPr>
                <w:rFonts w:ascii="Times New Roman" w:hAnsi="Times New Roman" w:cs="Times New Roman"/>
                <w:sz w:val="20"/>
                <w:szCs w:val="20"/>
              </w:rPr>
              <w:t xml:space="preserve"> for monocytes</w:t>
            </w:r>
            <w:r>
              <w:rPr>
                <w:rFonts w:ascii="Times New Roman" w:hAnsi="Times New Roman" w:cs="Times New Roman"/>
                <w:sz w:val="20"/>
                <w:szCs w:val="20"/>
              </w:rPr>
              <w:t xml:space="preserve"> and macrophages</w:t>
            </w:r>
            <w:r w:rsidRPr="009F7737">
              <w:rPr>
                <w:rFonts w:ascii="Times New Roman" w:hAnsi="Times New Roman" w:cs="Times New Roman"/>
                <w:sz w:val="20"/>
                <w:szCs w:val="20"/>
              </w:rPr>
              <w:t xml:space="preserve">. MCP-1 induces enzyme and cytokine release by monocytes, NK cells and lymphocytes, and histamine release by basophils that express its receptor. Promotes Th2 polarization in CD4+ T cells. MCP-1-mediated recruitment of monocytes to sites of inflammation is proposed to play a role in the pathology of </w:t>
            </w:r>
            <w:r>
              <w:rPr>
                <w:rFonts w:ascii="Times New Roman" w:hAnsi="Times New Roman" w:cs="Times New Roman"/>
                <w:sz w:val="20"/>
                <w:szCs w:val="20"/>
              </w:rPr>
              <w:t xml:space="preserve">OA. Enhance MMP-3 and collagenase secretion. Inhibits proteoglycan synthesis </w:t>
            </w:r>
            <w:r>
              <w:rPr>
                <w:rFonts w:ascii="Times New Roman" w:hAnsi="Times New Roman" w:cs="Times New Roman"/>
                <w:sz w:val="20"/>
                <w:szCs w:val="20"/>
              </w:rPr>
              <w:fldChar w:fldCharType="begin" w:fldLock="1"/>
            </w:r>
            <w:r w:rsidR="00160A4E">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rPr>
              <w:fldChar w:fldCharType="separate"/>
            </w:r>
            <w:r w:rsidRPr="00363523">
              <w:rPr>
                <w:rFonts w:ascii="Times New Roman" w:hAnsi="Times New Roman" w:cs="Times New Roman"/>
                <w:noProof/>
                <w:sz w:val="20"/>
                <w:szCs w:val="20"/>
              </w:rPr>
              <w:t>[2]</w:t>
            </w:r>
            <w:r>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p>
        </w:tc>
      </w:tr>
      <w:tr w:rsidR="00845F5C" w:rsidRPr="009F7737" w14:paraId="0B5CA56D" w14:textId="77777777" w:rsidTr="00E960F5">
        <w:tc>
          <w:tcPr>
            <w:tcW w:w="2547" w:type="dxa"/>
          </w:tcPr>
          <w:p w14:paraId="78E65B3A"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Macrophage inflammatory protein (</w:t>
            </w:r>
            <w:r w:rsidRPr="009F7737">
              <w:rPr>
                <w:rFonts w:ascii="Times New Roman" w:hAnsi="Times New Roman" w:cs="Times New Roman"/>
                <w:color w:val="auto"/>
                <w:sz w:val="20"/>
                <w:szCs w:val="20"/>
                <w:lang w:val="en-US"/>
              </w:rPr>
              <w:t>MIP</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-1α</w:t>
            </w:r>
          </w:p>
        </w:tc>
        <w:tc>
          <w:tcPr>
            <w:tcW w:w="6662" w:type="dxa"/>
          </w:tcPr>
          <w:p w14:paraId="3846B363" w14:textId="77777777" w:rsidR="00845F5C" w:rsidRPr="0076496D" w:rsidRDefault="00845F5C" w:rsidP="00E960F5">
            <w:pPr>
              <w:rPr>
                <w:rFonts w:ascii="Times New Roman" w:hAnsi="Times New Roman" w:cs="Times New Roman"/>
                <w:sz w:val="20"/>
                <w:szCs w:val="20"/>
              </w:rPr>
            </w:pPr>
            <w:r w:rsidRPr="009F7737">
              <w:rPr>
                <w:rFonts w:ascii="Times New Roman" w:hAnsi="Times New Roman" w:cs="Times New Roman"/>
                <w:sz w:val="20"/>
                <w:szCs w:val="20"/>
              </w:rPr>
              <w:t xml:space="preserve">Activates osteoclasts and bone resorption. </w:t>
            </w:r>
            <w:r>
              <w:rPr>
                <w:rFonts w:ascii="Times New Roman" w:hAnsi="Times New Roman" w:cs="Times New Roman"/>
                <w:sz w:val="20"/>
                <w:szCs w:val="20"/>
              </w:rPr>
              <w:t xml:space="preserve">Decrease expression of cartilage-specific genes and enhance cartilage degradation by matrix metalloproteinases. </w:t>
            </w:r>
            <w:r w:rsidRPr="009F7737">
              <w:rPr>
                <w:rFonts w:ascii="Times New Roman" w:hAnsi="Times New Roman" w:cs="Times New Roman"/>
                <w:sz w:val="20"/>
                <w:szCs w:val="20"/>
              </w:rPr>
              <w:t>A stem cell inhibitor and can inhibit the proliferation of hematopoietic progenitor cells. Promotes the chemoattraction</w:t>
            </w:r>
            <w:r>
              <w:rPr>
                <w:rFonts w:ascii="Times New Roman" w:hAnsi="Times New Roman" w:cs="Times New Roman"/>
                <w:sz w:val="20"/>
                <w:szCs w:val="20"/>
              </w:rPr>
              <w:t xml:space="preserve"> and activation of immune cells including macrophages and granulocytes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rPr>
              <w:fldChar w:fldCharType="separate"/>
            </w:r>
            <w:r w:rsidRPr="002B2104">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r>
      <w:tr w:rsidR="00845F5C" w:rsidRPr="009F7737" w14:paraId="546F0EA8" w14:textId="77777777" w:rsidTr="00E960F5">
        <w:tc>
          <w:tcPr>
            <w:tcW w:w="2547" w:type="dxa"/>
          </w:tcPr>
          <w:p w14:paraId="7C42EC82"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Macrophage inflammatory protein (</w:t>
            </w:r>
            <w:r w:rsidRPr="009F7737">
              <w:rPr>
                <w:rFonts w:ascii="Times New Roman" w:hAnsi="Times New Roman" w:cs="Times New Roman"/>
                <w:color w:val="auto"/>
                <w:sz w:val="20"/>
                <w:szCs w:val="20"/>
                <w:lang w:val="en-US"/>
              </w:rPr>
              <w:t>MIP</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-1β</w:t>
            </w:r>
          </w:p>
        </w:tc>
        <w:tc>
          <w:tcPr>
            <w:tcW w:w="6662" w:type="dxa"/>
          </w:tcPr>
          <w:p w14:paraId="2E7833FC" w14:textId="77777777"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Attracts a variety of immune cells </w:t>
            </w:r>
            <w:r>
              <w:rPr>
                <w:rFonts w:ascii="Times New Roman" w:hAnsi="Times New Roman" w:cs="Times New Roman"/>
                <w:sz w:val="20"/>
                <w:szCs w:val="20"/>
              </w:rPr>
              <w:t xml:space="preserve">including monocytes and NK cells </w:t>
            </w:r>
            <w:r w:rsidRPr="009F7737">
              <w:rPr>
                <w:rFonts w:ascii="Times New Roman" w:hAnsi="Times New Roman" w:cs="Times New Roman"/>
                <w:sz w:val="20"/>
                <w:szCs w:val="20"/>
              </w:rPr>
              <w:t>to sites of pathologic inflammation.  </w:t>
            </w:r>
          </w:p>
        </w:tc>
      </w:tr>
      <w:tr w:rsidR="00845F5C" w:rsidRPr="009F7737" w14:paraId="35EC6EBB" w14:textId="77777777" w:rsidTr="00E960F5">
        <w:tc>
          <w:tcPr>
            <w:tcW w:w="2547" w:type="dxa"/>
          </w:tcPr>
          <w:p w14:paraId="43922124"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Macrophage inflammatory protein (</w:t>
            </w:r>
            <w:r w:rsidRPr="009F7737">
              <w:rPr>
                <w:rFonts w:ascii="Times New Roman" w:hAnsi="Times New Roman" w:cs="Times New Roman"/>
                <w:color w:val="auto"/>
                <w:sz w:val="20"/>
                <w:szCs w:val="20"/>
                <w:lang w:val="en-US"/>
              </w:rPr>
              <w:t>MIP</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-3α</w:t>
            </w:r>
          </w:p>
        </w:tc>
        <w:tc>
          <w:tcPr>
            <w:tcW w:w="6662" w:type="dxa"/>
          </w:tcPr>
          <w:p w14:paraId="580E4150" w14:textId="77777777"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Strong chemoattractant for lymphocytes. Weakly attracts neutrophils. Induced by TNF and INF-γ. Downregulated by IL-10. Induces matrix degenerative responses (MMP-1 and MMP-13) in cartilage. Elevated expression in chondrocytes during OA and may be a positive factor for OA progression </w:t>
            </w:r>
            <w:r w:rsidRPr="009F7737">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sidRPr="009F7737">
              <w:rPr>
                <w:rFonts w:ascii="Times New Roman" w:hAnsi="Times New Roman" w:cs="Times New Roman"/>
                <w:sz w:val="20"/>
                <w:szCs w:val="20"/>
              </w:rPr>
              <w:fldChar w:fldCharType="separate"/>
            </w:r>
            <w:r w:rsidRPr="002B2104">
              <w:rPr>
                <w:rFonts w:ascii="Times New Roman" w:hAnsi="Times New Roman" w:cs="Times New Roman"/>
                <w:noProof/>
                <w:sz w:val="20"/>
                <w:szCs w:val="20"/>
              </w:rPr>
              <w:t>[2]</w:t>
            </w:r>
            <w:r w:rsidRPr="009F7737">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p>
        </w:tc>
      </w:tr>
      <w:tr w:rsidR="00845F5C" w:rsidRPr="009F7737" w14:paraId="162B5920" w14:textId="77777777" w:rsidTr="00E960F5">
        <w:tc>
          <w:tcPr>
            <w:tcW w:w="2547" w:type="dxa"/>
          </w:tcPr>
          <w:p w14:paraId="4A60DF83"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Macrophage inflammatory protein (</w:t>
            </w:r>
            <w:r w:rsidRPr="009F7737">
              <w:rPr>
                <w:rFonts w:ascii="Times New Roman" w:hAnsi="Times New Roman" w:cs="Times New Roman"/>
                <w:color w:val="auto"/>
                <w:sz w:val="20"/>
                <w:szCs w:val="20"/>
                <w:lang w:val="en-US"/>
              </w:rPr>
              <w:t>MIP</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-3β</w:t>
            </w:r>
          </w:p>
        </w:tc>
        <w:tc>
          <w:tcPr>
            <w:tcW w:w="6662" w:type="dxa"/>
          </w:tcPr>
          <w:p w14:paraId="016B8DCB" w14:textId="77777777" w:rsidR="00845F5C" w:rsidRPr="009F7737" w:rsidRDefault="00845F5C" w:rsidP="00E960F5">
            <w:pPr>
              <w:rPr>
                <w:rFonts w:ascii="Times New Roman" w:hAnsi="Times New Roman" w:cs="Times New Roman"/>
                <w:sz w:val="20"/>
                <w:szCs w:val="20"/>
                <w:lang w:val="en-US"/>
              </w:rPr>
            </w:pPr>
            <w:r w:rsidRPr="009F7737">
              <w:rPr>
                <w:rFonts w:ascii="Times New Roman" w:hAnsi="Times New Roman" w:cs="Times New Roman"/>
                <w:sz w:val="20"/>
                <w:szCs w:val="20"/>
              </w:rPr>
              <w:t xml:space="preserve">Chemoattractant for lymphocytes. Stimulates the migration of osteoclast precursor cells and osteoclast differentiation. Stimulates VEGF secretion and promotes synovial angiogenesis and synovial inflammation during OA </w:t>
            </w:r>
            <w:r w:rsidRPr="009F7737">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sidRPr="009F7737">
              <w:rPr>
                <w:rFonts w:ascii="Times New Roman" w:hAnsi="Times New Roman" w:cs="Times New Roman"/>
                <w:sz w:val="20"/>
                <w:szCs w:val="20"/>
              </w:rPr>
              <w:fldChar w:fldCharType="separate"/>
            </w:r>
            <w:r w:rsidRPr="002B2104">
              <w:rPr>
                <w:rFonts w:ascii="Times New Roman" w:hAnsi="Times New Roman" w:cs="Times New Roman"/>
                <w:noProof/>
                <w:sz w:val="20"/>
                <w:szCs w:val="20"/>
              </w:rPr>
              <w:t>[2]</w:t>
            </w:r>
            <w:r w:rsidRPr="009F7737">
              <w:rPr>
                <w:rFonts w:ascii="Times New Roman" w:hAnsi="Times New Roman" w:cs="Times New Roman"/>
                <w:sz w:val="20"/>
                <w:szCs w:val="20"/>
              </w:rPr>
              <w:fldChar w:fldCharType="end"/>
            </w:r>
            <w:r w:rsidRPr="009F7737">
              <w:rPr>
                <w:rFonts w:ascii="Times New Roman" w:hAnsi="Times New Roman" w:cs="Times New Roman"/>
                <w:sz w:val="20"/>
                <w:szCs w:val="20"/>
              </w:rPr>
              <w:t xml:space="preserve">. </w:t>
            </w:r>
          </w:p>
        </w:tc>
      </w:tr>
      <w:tr w:rsidR="00845F5C" w:rsidRPr="009F7737" w14:paraId="2E3A7B4C" w14:textId="77777777" w:rsidTr="00E960F5">
        <w:tc>
          <w:tcPr>
            <w:tcW w:w="2547" w:type="dxa"/>
          </w:tcPr>
          <w:p w14:paraId="1806D2D5"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Platelet-derived growth factor (</w:t>
            </w:r>
            <w:r w:rsidRPr="009F7737">
              <w:rPr>
                <w:rFonts w:ascii="Times New Roman" w:hAnsi="Times New Roman" w:cs="Times New Roman"/>
                <w:color w:val="auto"/>
                <w:sz w:val="20"/>
                <w:szCs w:val="20"/>
                <w:lang w:val="en-US"/>
              </w:rPr>
              <w:t>PDGF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-AA</w:t>
            </w:r>
          </w:p>
        </w:tc>
        <w:tc>
          <w:tcPr>
            <w:tcW w:w="6662" w:type="dxa"/>
          </w:tcPr>
          <w:p w14:paraId="58D2E8D1" w14:textId="7D0097D8" w:rsidR="00845F5C" w:rsidRPr="00F97603" w:rsidRDefault="00845F5C" w:rsidP="00E960F5">
            <w:pPr>
              <w:rPr>
                <w:rFonts w:ascii="Times New Roman" w:hAnsi="Times New Roman" w:cs="Times New Roman"/>
                <w:sz w:val="20"/>
                <w:szCs w:val="20"/>
                <w:lang w:val="en-US"/>
              </w:rPr>
            </w:pPr>
            <w:r>
              <w:rPr>
                <w:rFonts w:ascii="Times New Roman" w:hAnsi="Times New Roman" w:cs="Times New Roman"/>
                <w:sz w:val="20"/>
                <w:szCs w:val="20"/>
              </w:rPr>
              <w:t xml:space="preserve">A growth factor. </w:t>
            </w:r>
            <w:r w:rsidRPr="00F97603">
              <w:rPr>
                <w:rFonts w:ascii="Times New Roman" w:hAnsi="Times New Roman" w:cs="Times New Roman"/>
                <w:sz w:val="20"/>
                <w:szCs w:val="20"/>
              </w:rPr>
              <w:t xml:space="preserve">Enhance proliferation of MSCs and migration of MSCs. Stimulate bone regeneration and repair. </w:t>
            </w:r>
            <w:r>
              <w:rPr>
                <w:rFonts w:ascii="Times New Roman" w:hAnsi="Times New Roman" w:cs="Times New Roman"/>
                <w:sz w:val="20"/>
                <w:szCs w:val="20"/>
              </w:rPr>
              <w:t>P</w:t>
            </w:r>
            <w:r w:rsidRPr="00F97603">
              <w:rPr>
                <w:rFonts w:ascii="Times New Roman" w:hAnsi="Times New Roman" w:cs="Times New Roman"/>
                <w:sz w:val="20"/>
                <w:szCs w:val="20"/>
              </w:rPr>
              <w:t>romotes chondrocyte proliferation an</w:t>
            </w:r>
            <w:r>
              <w:rPr>
                <w:rFonts w:ascii="Times New Roman" w:hAnsi="Times New Roman" w:cs="Times New Roman"/>
                <w:sz w:val="20"/>
                <w:szCs w:val="20"/>
              </w:rPr>
              <w:t>d</w:t>
            </w:r>
            <w:r w:rsidRPr="00F97603">
              <w:rPr>
                <w:rFonts w:ascii="Times New Roman" w:hAnsi="Times New Roman" w:cs="Times New Roman"/>
                <w:sz w:val="20"/>
                <w:szCs w:val="20"/>
              </w:rPr>
              <w:t xml:space="preserve"> migration and suppress apoptosis. </w:t>
            </w:r>
            <w:r>
              <w:rPr>
                <w:rFonts w:ascii="Times New Roman" w:hAnsi="Times New Roman" w:cs="Times New Roman"/>
                <w:sz w:val="20"/>
                <w:szCs w:val="20"/>
              </w:rPr>
              <w:t>I</w:t>
            </w:r>
            <w:r w:rsidRPr="00F97603">
              <w:rPr>
                <w:rFonts w:ascii="Times New Roman" w:hAnsi="Times New Roman" w:cs="Times New Roman"/>
                <w:sz w:val="20"/>
                <w:szCs w:val="20"/>
              </w:rPr>
              <w:t>ncrease cartilage formation in early limb formation. Reduced levels in subchondral bone leads to articular cartilage degeneration</w:t>
            </w:r>
            <w:r w:rsidR="00BF430F">
              <w:rPr>
                <w:rFonts w:ascii="Times New Roman" w:hAnsi="Times New Roman" w:cs="Times New Roman"/>
                <w:sz w:val="20"/>
                <w:szCs w:val="20"/>
              </w:rPr>
              <w:t xml:space="preserve"> </w:t>
            </w:r>
            <w:r w:rsidR="00BF430F">
              <w:rPr>
                <w:rFonts w:ascii="Times New Roman" w:hAnsi="Times New Roman" w:cs="Times New Roman"/>
                <w:sz w:val="20"/>
                <w:szCs w:val="20"/>
              </w:rPr>
              <w:fldChar w:fldCharType="begin" w:fldLock="1"/>
            </w:r>
            <w:r w:rsidR="00741C6D">
              <w:rPr>
                <w:rFonts w:ascii="Times New Roman" w:hAnsi="Times New Roman" w:cs="Times New Roman"/>
                <w:sz w:val="20"/>
                <w:szCs w:val="20"/>
              </w:rPr>
              <w:instrText>ADDIN CSL_CITATION {"citationItems":[{"id":"ITEM-1","itemData":{"abstract":"To identify the effects of running on articular cartilage and subchondral bone remodeling, C57BL/6 mice were randomly divided into three groups: control, moderate-, and strenuous running. Magnetic resonance imaging showed bone marrow lesions in the knee subchondral bone in the strenuous-running group in contrast with the other two groups. The microcomputed tomography analysis showed promoted bone formation in the subchondral bone in mice subjected to strenuous running. Histological and immunohistochemistry results indicated that terminal differentiation of chondrocytes and degeneration of articular cartilage were enhanced but, synthesis of platelet-derived growth factor-AA (PDGF-AA) in the subchondral bone was suppressed after strenuous running. In vitro, excessive mechanical treatments suppressed the expression of PDGF-AA in osteoblasts, and the condition medium from mechanical-treated osteoblasts stimulated maturation and terminal differentiation of chondrocytes. These results indicate that strenuous running suppresses the synthesis of PDGF-AA in subchondral bone, leading to downregulated PDGF/Akt signal in articular cartilage and thus cartilage degeneration.","author":[{"dropping-particle":"","family":"Yao","given":"Z.","non-dropping-particle":"","parse-names":false,"suffix":""},{"dropping-particle":"","family":"Chen","given":"P.","non-dropping-particle":"","parse-names":false,"suffix":""},{"dropping-particle":"","family":"Wang","given":"S.","non-dropping-particle":"","parse-names":false,"suffix":""},{"dropping-particle":"","family":"Deng","given":"G.","non-dropping-particle":"","parse-names":false,"suffix":""},{"dropping-particle":"","family":"Hu","given":"Y.","non-dropping-particle":"","parse-names":false,"suffix":""},{"dropping-particle":"","family":"Lin","given":"Q.","non-dropping-particle":"","parse-names":false,"suffix":""},{"dropping-particle":"","family":"Zhang","given":"X.","non-dropping-particle":"","parse-names":false,"suffix":""},{"dropping-particle":"","family":"Yu","given":"B.","non-dropping-particle":"","parse-names":false,"suffix":""}],"container-title":"Journal of Cellular Physiology","id":"ITEM-1","issue":"10","issued":{"date-parts":[["2019"]]},"page":"1746-1758","title":"Reduced PDGF-AA in subchondral bone leads to articular cartilage degeneration after strenuous running","type":"article-journal","volume":"234"},"uris":["http://www.mendeley.com/documents/?uuid=2a61c856-9b00-4208-a50d-4f42fe065898"]}],"mendeley":{"formattedCitation":"[21]","plainTextFormattedCitation":"[21]","previouslyFormattedCitation":"[21]"},"properties":{"noteIndex":0},"schema":"https://github.com/citation-style-language/schema/raw/master/csl-citation.json"}</w:instrText>
            </w:r>
            <w:r w:rsidR="00BF430F">
              <w:rPr>
                <w:rFonts w:ascii="Times New Roman" w:hAnsi="Times New Roman" w:cs="Times New Roman"/>
                <w:sz w:val="20"/>
                <w:szCs w:val="20"/>
              </w:rPr>
              <w:fldChar w:fldCharType="separate"/>
            </w:r>
            <w:r w:rsidR="00BF430F" w:rsidRPr="00BF430F">
              <w:rPr>
                <w:rFonts w:ascii="Times New Roman" w:hAnsi="Times New Roman" w:cs="Times New Roman"/>
                <w:noProof/>
                <w:sz w:val="20"/>
                <w:szCs w:val="20"/>
              </w:rPr>
              <w:t>[21]</w:t>
            </w:r>
            <w:r w:rsidR="00BF430F">
              <w:rPr>
                <w:rFonts w:ascii="Times New Roman" w:hAnsi="Times New Roman" w:cs="Times New Roman"/>
                <w:sz w:val="20"/>
                <w:szCs w:val="20"/>
              </w:rPr>
              <w:fldChar w:fldCharType="end"/>
            </w:r>
            <w:r w:rsidR="00BF430F">
              <w:rPr>
                <w:rFonts w:ascii="Times New Roman" w:hAnsi="Times New Roman" w:cs="Times New Roman"/>
                <w:sz w:val="20"/>
                <w:szCs w:val="20"/>
              </w:rPr>
              <w:t>.</w:t>
            </w:r>
            <w:r w:rsidRPr="00F97603">
              <w:rPr>
                <w:rFonts w:ascii="Times New Roman" w:hAnsi="Times New Roman" w:cs="Times New Roman"/>
                <w:sz w:val="20"/>
                <w:szCs w:val="20"/>
              </w:rPr>
              <w:t xml:space="preserve">  </w:t>
            </w:r>
          </w:p>
        </w:tc>
      </w:tr>
      <w:tr w:rsidR="00845F5C" w:rsidRPr="009F7737" w14:paraId="56A0E5DC" w14:textId="77777777" w:rsidTr="00E960F5">
        <w:tc>
          <w:tcPr>
            <w:tcW w:w="2547" w:type="dxa"/>
          </w:tcPr>
          <w:p w14:paraId="1498DAD8"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lastRenderedPageBreak/>
              <w:t>Platelet-derived growth factor (</w:t>
            </w:r>
            <w:r w:rsidRPr="009F7737">
              <w:rPr>
                <w:rFonts w:ascii="Times New Roman" w:hAnsi="Times New Roman" w:cs="Times New Roman"/>
                <w:color w:val="auto"/>
                <w:sz w:val="20"/>
                <w:szCs w:val="20"/>
                <w:lang w:val="en-US"/>
              </w:rPr>
              <w:t>PDGF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-AB/BB</w:t>
            </w:r>
          </w:p>
        </w:tc>
        <w:tc>
          <w:tcPr>
            <w:tcW w:w="6662" w:type="dxa"/>
          </w:tcPr>
          <w:p w14:paraId="471047D7" w14:textId="31862C3C" w:rsidR="00845F5C" w:rsidRPr="00DA4202" w:rsidRDefault="00845F5C" w:rsidP="00E960F5">
            <w:pPr>
              <w:rPr>
                <w:rFonts w:ascii="Times New Roman" w:hAnsi="Times New Roman" w:cs="Times New Roman"/>
                <w:sz w:val="20"/>
                <w:szCs w:val="20"/>
              </w:rPr>
            </w:pPr>
            <w:r>
              <w:rPr>
                <w:rFonts w:ascii="Times New Roman" w:hAnsi="Times New Roman" w:cs="Times New Roman"/>
                <w:sz w:val="20"/>
                <w:szCs w:val="20"/>
              </w:rPr>
              <w:t>A growth factor. Stimulates cell proliferation and migration of cells – especially of mesenchymal origin. For bone, t</w:t>
            </w:r>
            <w:r w:rsidRPr="00F97603">
              <w:rPr>
                <w:rFonts w:ascii="Times New Roman" w:hAnsi="Times New Roman" w:cs="Times New Roman"/>
                <w:sz w:val="20"/>
                <w:szCs w:val="20"/>
              </w:rPr>
              <w:t>he mitogenic effect of PDGF</w:t>
            </w:r>
            <w:r>
              <w:rPr>
                <w:rFonts w:ascii="Times New Roman" w:hAnsi="Times New Roman" w:cs="Times New Roman"/>
                <w:sz w:val="20"/>
                <w:szCs w:val="20"/>
              </w:rPr>
              <w:t>-AB</w:t>
            </w:r>
            <w:r w:rsidRPr="00F97603">
              <w:rPr>
                <w:rFonts w:ascii="Times New Roman" w:hAnsi="Times New Roman" w:cs="Times New Roman"/>
                <w:sz w:val="20"/>
                <w:szCs w:val="20"/>
              </w:rPr>
              <w:t xml:space="preserve"> is observed primarily in the periosteal layer, a zone rich in fibroblasts and pre</w:t>
            </w:r>
            <w:r>
              <w:rPr>
                <w:rFonts w:ascii="Times New Roman" w:hAnsi="Times New Roman" w:cs="Times New Roman"/>
                <w:sz w:val="20"/>
                <w:szCs w:val="20"/>
              </w:rPr>
              <w:t>-</w:t>
            </w:r>
            <w:r w:rsidRPr="00F97603">
              <w:rPr>
                <w:rFonts w:ascii="Times New Roman" w:hAnsi="Times New Roman" w:cs="Times New Roman"/>
                <w:sz w:val="20"/>
                <w:szCs w:val="20"/>
              </w:rPr>
              <w:t>osteoblasts</w:t>
            </w:r>
            <w:r>
              <w:rPr>
                <w:rFonts w:ascii="Times New Roman" w:hAnsi="Times New Roman" w:cs="Times New Roman"/>
                <w:sz w:val="20"/>
                <w:szCs w:val="20"/>
              </w:rPr>
              <w:t>, where</w:t>
            </w:r>
            <w:r w:rsidRPr="00F97603">
              <w:rPr>
                <w:rFonts w:ascii="Times New Roman" w:hAnsi="Times New Roman" w:cs="Times New Roman"/>
                <w:sz w:val="20"/>
                <w:szCs w:val="20"/>
              </w:rPr>
              <w:t xml:space="preserve"> </w:t>
            </w:r>
            <w:r>
              <w:rPr>
                <w:rFonts w:ascii="Times New Roman" w:hAnsi="Times New Roman" w:cs="Times New Roman"/>
                <w:sz w:val="20"/>
                <w:szCs w:val="20"/>
              </w:rPr>
              <w:t>it induces</w:t>
            </w:r>
            <w:r w:rsidRPr="00F97603">
              <w:rPr>
                <w:rFonts w:ascii="Times New Roman" w:hAnsi="Times New Roman" w:cs="Times New Roman"/>
                <w:sz w:val="20"/>
                <w:szCs w:val="20"/>
              </w:rPr>
              <w:t xml:space="preserve"> pre</w:t>
            </w:r>
            <w:r>
              <w:rPr>
                <w:rFonts w:ascii="Times New Roman" w:hAnsi="Times New Roman" w:cs="Times New Roman"/>
                <w:sz w:val="20"/>
                <w:szCs w:val="20"/>
              </w:rPr>
              <w:t>-</w:t>
            </w:r>
            <w:r w:rsidRPr="00F97603">
              <w:rPr>
                <w:rFonts w:ascii="Times New Roman" w:hAnsi="Times New Roman" w:cs="Times New Roman"/>
                <w:sz w:val="20"/>
                <w:szCs w:val="20"/>
              </w:rPr>
              <w:t xml:space="preserve">osteoblastic </w:t>
            </w:r>
            <w:r>
              <w:rPr>
                <w:rFonts w:ascii="Times New Roman" w:hAnsi="Times New Roman" w:cs="Times New Roman"/>
                <w:sz w:val="20"/>
                <w:szCs w:val="20"/>
              </w:rPr>
              <w:t>cell differentiation</w:t>
            </w:r>
            <w:r w:rsidRPr="00F97603">
              <w:rPr>
                <w:rFonts w:ascii="Times New Roman" w:hAnsi="Times New Roman" w:cs="Times New Roman"/>
                <w:sz w:val="20"/>
                <w:szCs w:val="20"/>
              </w:rPr>
              <w:t xml:space="preserve"> into mature osteoblasts. </w:t>
            </w:r>
            <w:r w:rsidR="00DE6831">
              <w:rPr>
                <w:rFonts w:ascii="Times New Roman" w:hAnsi="Times New Roman" w:cs="Times New Roman"/>
                <w:sz w:val="20"/>
                <w:szCs w:val="20"/>
              </w:rPr>
              <w:t>PDGF-AB can stimulate proteoglycan synthesis and decrease proteoglycan breakdown in cartilage especially in young individuals</w:t>
            </w:r>
            <w:r w:rsidR="00741C6D">
              <w:rPr>
                <w:rFonts w:ascii="Times New Roman" w:hAnsi="Times New Roman" w:cs="Times New Roman"/>
                <w:sz w:val="20"/>
                <w:szCs w:val="20"/>
              </w:rPr>
              <w:t xml:space="preserve"> </w:t>
            </w:r>
            <w:r w:rsidR="00741C6D">
              <w:rPr>
                <w:rFonts w:ascii="Times New Roman" w:hAnsi="Times New Roman" w:cs="Times New Roman"/>
                <w:sz w:val="20"/>
                <w:szCs w:val="20"/>
              </w:rPr>
              <w:fldChar w:fldCharType="begin" w:fldLock="1"/>
            </w:r>
            <w:r w:rsidR="003E3D7E">
              <w:rPr>
                <w:rFonts w:ascii="Times New Roman" w:hAnsi="Times New Roman" w:cs="Times New Roman"/>
                <w:sz w:val="20"/>
                <w:szCs w:val="20"/>
              </w:rPr>
              <w:instrText>ADDIN CSL_CITATION {"citationItems":[{"id":"ITEM-1","itemData":{"DOI":"10.1016/j.jcot.2019.01.010","ISSN":"22133445","abstract":"Objective: Osteoarthritis is caused by cartilage degeneration arising from cartilage degradation of type II collagen which synthesis also deteriorated. Nowadays, osteoarthritis is still difficult to handle because of the irreversibility and progressivity of the disease. Regenerative therapy offers a great challenge and better result for osteoarthritis treatment. This study aims to prove that the administration of recombinant platelet-derived growth factor-BB (rrPDGF-BB) with hyaluronic acid (HA) can stimulate the higher forms of chondrocyte and lower the YKL-40 levels as a specific marker of cartilage degradation in mouse knee osteoarthritis model. Method: This was an experimental study, post-test only control group design using white Wistar rats as subjects that were induced by monosodium iodoacetate (MIA) to create osteoarthritis (OA). The treatment group was given treatment group was given rrPDGF-BB and HA, while no such treatment was given to the control group. The chondrocyte cell count was examined with routine histopathology, and YKL-40 levels were calculated by ELISA. Result: Statistical analysis using independent t-test showed that the mean difference in the number of cell counts of chondrocytes was significantly higher than the control group. While the mean difference of YKL-40 level in the treatment group was significantly lower compared to the control group with. Conclusion: We conclude that the administration of rrPDGF-BB and HA in mouse knee joint osteoarthritis model have a regenerative effect on knee joint cartilage characterized by a higher number of chondrocytes and lower YKL-40 levels.","author":[{"dropping-particle":"","family":"Suyasa","given":"I. Ketut","non-dropping-particle":"","parse-names":false,"suffix":""},{"dropping-particle":"","family":"Lestari","given":"Anak Agung Wiradewi","non-dropping-particle":"","parse-names":false,"suffix":""},{"dropping-particle":"","family":"Setiawan","given":"I. Gusti Ngurah Yudhi","non-dropping-particle":"","parse-names":false,"suffix":""}],"container-title":"Journal of Clinical Orthopaedics and Trauma","id":"ITEM-1","issued":{"date-parts":[["2020"]]},"page":"S76-S79","publisher":"Elsevier Ltd","title":"Recombinant platelet-derived growth factor-BB and hyaluronic acid stimulates knee cartilage regeneration by forming higher chondrocytes count and lower YKL-40 level in rats model","type":"article-journal","volume":"11"},"uris":["http://www.mendeley.com/documents/?uuid=bb1763af-0522-4e92-a929-d402012d526b"]}],"mendeley":{"formattedCitation":"[22]","plainTextFormattedCitation":"[22]","previouslyFormattedCitation":"[22]"},"properties":{"noteIndex":0},"schema":"https://github.com/citation-style-language/schema/raw/master/csl-citation.json"}</w:instrText>
            </w:r>
            <w:r w:rsidR="00741C6D">
              <w:rPr>
                <w:rFonts w:ascii="Times New Roman" w:hAnsi="Times New Roman" w:cs="Times New Roman"/>
                <w:sz w:val="20"/>
                <w:szCs w:val="20"/>
              </w:rPr>
              <w:fldChar w:fldCharType="separate"/>
            </w:r>
            <w:r w:rsidR="00741C6D" w:rsidRPr="00741C6D">
              <w:rPr>
                <w:rFonts w:ascii="Times New Roman" w:hAnsi="Times New Roman" w:cs="Times New Roman"/>
                <w:noProof/>
                <w:sz w:val="20"/>
                <w:szCs w:val="20"/>
              </w:rPr>
              <w:t>[22]</w:t>
            </w:r>
            <w:r w:rsidR="00741C6D">
              <w:rPr>
                <w:rFonts w:ascii="Times New Roman" w:hAnsi="Times New Roman" w:cs="Times New Roman"/>
                <w:sz w:val="20"/>
                <w:szCs w:val="20"/>
              </w:rPr>
              <w:fldChar w:fldCharType="end"/>
            </w:r>
            <w:r w:rsidR="00DE6831">
              <w:rPr>
                <w:rFonts w:ascii="Times New Roman" w:hAnsi="Times New Roman" w:cs="Times New Roman"/>
                <w:sz w:val="20"/>
                <w:szCs w:val="20"/>
              </w:rPr>
              <w:t xml:space="preserve">. </w:t>
            </w:r>
          </w:p>
        </w:tc>
      </w:tr>
      <w:tr w:rsidR="00845F5C" w:rsidRPr="009F7737" w14:paraId="2FDDE475" w14:textId="77777777" w:rsidTr="00E960F5">
        <w:tc>
          <w:tcPr>
            <w:tcW w:w="2547" w:type="dxa"/>
          </w:tcPr>
          <w:p w14:paraId="759F1231"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Programmed death-ligand (</w:t>
            </w:r>
            <w:r w:rsidRPr="009F7737">
              <w:rPr>
                <w:rFonts w:ascii="Times New Roman" w:hAnsi="Times New Roman" w:cs="Times New Roman"/>
                <w:color w:val="auto"/>
                <w:sz w:val="20"/>
                <w:szCs w:val="20"/>
                <w:lang w:val="en-US"/>
              </w:rPr>
              <w:t>PD-L</w:t>
            </w:r>
            <w:r>
              <w:rPr>
                <w:rFonts w:ascii="Times New Roman" w:hAnsi="Times New Roman" w:cs="Times New Roman"/>
                <w:color w:val="auto"/>
                <w:sz w:val="20"/>
                <w:szCs w:val="20"/>
                <w:lang w:val="en-US"/>
              </w:rPr>
              <w:t>)1</w:t>
            </w:r>
            <w:r w:rsidRPr="009F7737">
              <w:rPr>
                <w:rFonts w:ascii="Times New Roman" w:hAnsi="Times New Roman" w:cs="Times New Roman"/>
                <w:color w:val="auto"/>
                <w:sz w:val="20"/>
                <w:szCs w:val="20"/>
                <w:lang w:val="en-US"/>
              </w:rPr>
              <w:t>/B7-H1</w:t>
            </w:r>
          </w:p>
        </w:tc>
        <w:tc>
          <w:tcPr>
            <w:tcW w:w="6662" w:type="dxa"/>
          </w:tcPr>
          <w:p w14:paraId="7289E9DE" w14:textId="1F677F13" w:rsidR="00845F5C" w:rsidRPr="00C372A5" w:rsidRDefault="00845F5C" w:rsidP="00E960F5">
            <w:pPr>
              <w:rPr>
                <w:rFonts w:ascii="Times New Roman" w:hAnsi="Times New Roman" w:cs="Times New Roman"/>
                <w:sz w:val="20"/>
                <w:szCs w:val="20"/>
                <w:lang w:val="en-US"/>
              </w:rPr>
            </w:pPr>
            <w:r>
              <w:rPr>
                <w:rFonts w:ascii="Times New Roman" w:hAnsi="Times New Roman" w:cs="Times New Roman"/>
                <w:sz w:val="20"/>
                <w:szCs w:val="20"/>
              </w:rPr>
              <w:t xml:space="preserve">Anti-inflammatory. </w:t>
            </w:r>
            <w:r w:rsidRPr="00C372A5">
              <w:rPr>
                <w:rFonts w:ascii="Times New Roman" w:hAnsi="Times New Roman" w:cs="Times New Roman"/>
                <w:sz w:val="20"/>
                <w:szCs w:val="20"/>
              </w:rPr>
              <w:t>Suppress the adaptive arm of the immune</w:t>
            </w:r>
            <w:r>
              <w:rPr>
                <w:rFonts w:ascii="Times New Roman" w:hAnsi="Times New Roman" w:cs="Times New Roman"/>
                <w:sz w:val="20"/>
                <w:szCs w:val="20"/>
              </w:rPr>
              <w:t xml:space="preserve"> </w:t>
            </w:r>
            <w:r w:rsidRPr="00C372A5">
              <w:rPr>
                <w:rFonts w:ascii="Times New Roman" w:hAnsi="Times New Roman" w:cs="Times New Roman"/>
                <w:sz w:val="20"/>
                <w:szCs w:val="20"/>
              </w:rPr>
              <w:t xml:space="preserve">system. </w:t>
            </w:r>
            <w:r>
              <w:rPr>
                <w:rFonts w:ascii="Times New Roman" w:hAnsi="Times New Roman" w:cs="Times New Roman"/>
                <w:sz w:val="20"/>
                <w:szCs w:val="20"/>
              </w:rPr>
              <w:t>R</w:t>
            </w:r>
            <w:r w:rsidRPr="00C372A5">
              <w:rPr>
                <w:rFonts w:ascii="Times New Roman" w:hAnsi="Times New Roman" w:cs="Times New Roman"/>
                <w:sz w:val="20"/>
                <w:szCs w:val="20"/>
              </w:rPr>
              <w:t xml:space="preserve">educes proliferation of antigen-specific T-cells in lymph nodes, while simultaneously reducing apoptosis in regulatory T cells (anti-inflammatory, suppressive T cells). Blocking of checkpoint receptor PD-L1 </w:t>
            </w:r>
            <w:r w:rsidR="003E3D7E">
              <w:rPr>
                <w:rFonts w:ascii="Times New Roman" w:hAnsi="Times New Roman" w:cs="Times New Roman"/>
                <w:sz w:val="20"/>
                <w:szCs w:val="20"/>
              </w:rPr>
              <w:t>worsen</w:t>
            </w:r>
            <w:r w:rsidRPr="00C372A5">
              <w:rPr>
                <w:rFonts w:ascii="Times New Roman" w:hAnsi="Times New Roman" w:cs="Times New Roman"/>
                <w:sz w:val="20"/>
                <w:szCs w:val="20"/>
              </w:rPr>
              <w:t xml:space="preserve"> </w:t>
            </w:r>
            <w:r>
              <w:rPr>
                <w:rFonts w:ascii="Times New Roman" w:hAnsi="Times New Roman" w:cs="Times New Roman"/>
                <w:sz w:val="20"/>
                <w:szCs w:val="20"/>
              </w:rPr>
              <w:t>OA</w:t>
            </w:r>
            <w:r w:rsidRPr="00C372A5">
              <w:rPr>
                <w:rFonts w:ascii="Times New Roman" w:hAnsi="Times New Roman" w:cs="Times New Roman"/>
                <w:sz w:val="20"/>
                <w:szCs w:val="20"/>
              </w:rPr>
              <w:t xml:space="preserve"> in </w:t>
            </w:r>
            <w:r>
              <w:rPr>
                <w:rFonts w:ascii="Times New Roman" w:hAnsi="Times New Roman" w:cs="Times New Roman"/>
                <w:sz w:val="20"/>
                <w:szCs w:val="20"/>
              </w:rPr>
              <w:t xml:space="preserve">a </w:t>
            </w:r>
            <w:r w:rsidRPr="00C372A5">
              <w:rPr>
                <w:rFonts w:ascii="Times New Roman" w:hAnsi="Times New Roman" w:cs="Times New Roman"/>
                <w:sz w:val="20"/>
                <w:szCs w:val="20"/>
              </w:rPr>
              <w:t>macrophage-dependent manner in the m</w:t>
            </w:r>
            <w:r>
              <w:rPr>
                <w:rFonts w:ascii="Times New Roman" w:hAnsi="Times New Roman" w:cs="Times New Roman"/>
                <w:sz w:val="20"/>
                <w:szCs w:val="20"/>
              </w:rPr>
              <w:t>ous</w:t>
            </w:r>
            <w:r w:rsidRPr="00C372A5">
              <w:rPr>
                <w:rFonts w:ascii="Times New Roman" w:hAnsi="Times New Roman" w:cs="Times New Roman"/>
                <w:sz w:val="20"/>
                <w:szCs w:val="20"/>
              </w:rPr>
              <w:t>e model. Blocking PD-</w:t>
            </w:r>
            <w:r>
              <w:rPr>
                <w:rFonts w:ascii="Times New Roman" w:hAnsi="Times New Roman" w:cs="Times New Roman"/>
                <w:sz w:val="20"/>
                <w:szCs w:val="20"/>
              </w:rPr>
              <w:t>L1</w:t>
            </w:r>
            <w:r w:rsidRPr="00C372A5">
              <w:rPr>
                <w:rFonts w:ascii="Times New Roman" w:hAnsi="Times New Roman" w:cs="Times New Roman"/>
                <w:sz w:val="20"/>
                <w:szCs w:val="20"/>
              </w:rPr>
              <w:t xml:space="preserve"> in macrophages increase IL-6 and TNF-</w:t>
            </w:r>
            <w:r>
              <w:rPr>
                <w:rFonts w:ascii="Times New Roman" w:hAnsi="Times New Roman" w:cs="Times New Roman"/>
                <w:sz w:val="20"/>
                <w:szCs w:val="20"/>
              </w:rPr>
              <w:t>α</w:t>
            </w:r>
            <w:r w:rsidR="003E3D7E">
              <w:rPr>
                <w:rFonts w:ascii="Times New Roman" w:hAnsi="Times New Roman" w:cs="Times New Roman"/>
                <w:sz w:val="20"/>
                <w:szCs w:val="20"/>
              </w:rPr>
              <w:t xml:space="preserve"> </w:t>
            </w:r>
            <w:r w:rsidR="003E3D7E">
              <w:rPr>
                <w:rFonts w:ascii="Times New Roman" w:hAnsi="Times New Roman" w:cs="Times New Roman"/>
                <w:sz w:val="20"/>
                <w:szCs w:val="20"/>
              </w:rPr>
              <w:fldChar w:fldCharType="begin" w:fldLock="1"/>
            </w:r>
            <w:r w:rsidR="004E64EF">
              <w:rPr>
                <w:rFonts w:ascii="Times New Roman" w:hAnsi="Times New Roman" w:cs="Times New Roman"/>
                <w:sz w:val="20"/>
                <w:szCs w:val="20"/>
              </w:rPr>
              <w:instrText>ADDIN CSL_CITATION {"citationItems":[{"id":"ITEM-1","itemData":{"DOI":"10.1177/2058738418820760","ISSN":"03946320","PMID":"30791745","abstract":"As a chronic degenerative joint disease, osteoarthritis is among the most common diseases all over the world. In osteoarthritis, inflammation plays an important role in the generation of joint symptoms and the development of disease. When the programmed cell death-1 (PD-1)/programmed death-ligand 1 (PD-L1) immune checkpoint is blocked, the antitumor immunity will be enhanced. We aim to illustrate the function of PD-L1 in osteoarthritis. Osteoarthritis in mice was induced by the injection of collagenase or anterior cruciate ligament transection (ACLT). Anti-PD-L1 was employed to block the signal of PD-L1. Knee joints histological sections were stained by Safranin-O. The level of cytokine was checked by enzyme-linked immunosorbent assay (ELISA) and mRNA level was shown by quantitative reverse transcriptase polymerase chain reaction. The blockade of PD-L1 signal up-regulated inflammatory response and promoted the development of osteoarthritis in mice. The inflammatory cytokine interleukin-6 and tumor necrosis factor-α expression were promoted by PD-L1 blocking in macrophages. Osteoarthritis was aggravated when the expression of inflammatory cytokine is elevated in macrophages. Our results indicated that the blockade of PD-L1 signal in macrophages elevates the expression of inflammatory cytokine and promotes the development of osteoarthritis in mice, which could be utilized as a potential diagnostic and therapeutic target for osteoarthritis patients.","author":[{"dropping-particle":"","family":"Liu","given":"Shenghou","non-dropping-particle":"","parse-names":false,"suffix":""},{"dropping-particle":"","family":"Mi","given":"Jiqiang","non-dropping-particle":"","parse-names":false,"suffix":""},{"dropping-particle":"","family":"Liu","given":"Wenguang","non-dropping-particle":"","parse-names":false,"suffix":""},{"dropping-particle":"","family":"Xiao","given":"Shipeng","non-dropping-particle":"","parse-names":false,"suffix":""},{"dropping-particle":"","family":"Gao","given":"Chunzheng","non-dropping-particle":"","parse-names":false,"suffix":""}],"container-title":"International Journal of Immunopathology and Pharmacology","id":"ITEM-1","issued":{"date-parts":[["2019"]]},"title":"Blocking of checkpoint receptor PD-L1 aggravates osteoarthritis in macrophage-dependent manner in the mice model","type":"article-journal","volume":"33"},"uris":["http://www.mendeley.com/documents/?uuid=41911848-17f4-4e46-bccc-d8d5197a2120"]}],"mendeley":{"formattedCitation":"[23]","plainTextFormattedCitation":"[23]","previouslyFormattedCitation":"[23]"},"properties":{"noteIndex":0},"schema":"https://github.com/citation-style-language/schema/raw/master/csl-citation.json"}</w:instrText>
            </w:r>
            <w:r w:rsidR="003E3D7E">
              <w:rPr>
                <w:rFonts w:ascii="Times New Roman" w:hAnsi="Times New Roman" w:cs="Times New Roman"/>
                <w:sz w:val="20"/>
                <w:szCs w:val="20"/>
              </w:rPr>
              <w:fldChar w:fldCharType="separate"/>
            </w:r>
            <w:r w:rsidR="003E3D7E" w:rsidRPr="003E3D7E">
              <w:rPr>
                <w:rFonts w:ascii="Times New Roman" w:hAnsi="Times New Roman" w:cs="Times New Roman"/>
                <w:noProof/>
                <w:sz w:val="20"/>
                <w:szCs w:val="20"/>
              </w:rPr>
              <w:t>[23]</w:t>
            </w:r>
            <w:r w:rsidR="003E3D7E">
              <w:rPr>
                <w:rFonts w:ascii="Times New Roman" w:hAnsi="Times New Roman" w:cs="Times New Roman"/>
                <w:sz w:val="20"/>
                <w:szCs w:val="20"/>
              </w:rPr>
              <w:fldChar w:fldCharType="end"/>
            </w:r>
            <w:r w:rsidR="003E3D7E">
              <w:rPr>
                <w:rFonts w:ascii="Times New Roman" w:hAnsi="Times New Roman" w:cs="Times New Roman"/>
                <w:sz w:val="20"/>
                <w:szCs w:val="20"/>
              </w:rPr>
              <w:t xml:space="preserve">. </w:t>
            </w:r>
          </w:p>
        </w:tc>
      </w:tr>
      <w:tr w:rsidR="00845F5C" w:rsidRPr="009F7737" w14:paraId="1BB2F84D" w14:textId="77777777" w:rsidTr="00E960F5">
        <w:tc>
          <w:tcPr>
            <w:tcW w:w="2547" w:type="dxa"/>
          </w:tcPr>
          <w:p w14:paraId="6E922B40" w14:textId="77777777" w:rsidR="00845F5C" w:rsidRPr="009F7737" w:rsidRDefault="00845F5C" w:rsidP="00E960F5">
            <w:pPr>
              <w:rPr>
                <w:rFonts w:ascii="Times New Roman" w:hAnsi="Times New Roman" w:cs="Times New Roman"/>
                <w:sz w:val="20"/>
                <w:szCs w:val="20"/>
              </w:rPr>
            </w:pPr>
            <w:r w:rsidRPr="009F7737">
              <w:rPr>
                <w:rFonts w:ascii="Times New Roman" w:hAnsi="Times New Roman" w:cs="Times New Roman"/>
                <w:color w:val="auto"/>
                <w:sz w:val="20"/>
                <w:szCs w:val="20"/>
                <w:lang w:val="en-US"/>
              </w:rPr>
              <w:t>RANTES</w:t>
            </w:r>
          </w:p>
        </w:tc>
        <w:tc>
          <w:tcPr>
            <w:tcW w:w="6662" w:type="dxa"/>
          </w:tcPr>
          <w:p w14:paraId="789232C7" w14:textId="77777777" w:rsidR="00845F5C" w:rsidRPr="003D72E1" w:rsidRDefault="00845F5C" w:rsidP="00E960F5">
            <w:pPr>
              <w:rPr>
                <w:rFonts w:ascii="Times New Roman" w:hAnsi="Times New Roman" w:cs="Times New Roman"/>
                <w:sz w:val="20"/>
                <w:szCs w:val="20"/>
                <w:lang w:val="en-US"/>
              </w:rPr>
            </w:pPr>
            <w:r w:rsidRPr="003D72E1">
              <w:rPr>
                <w:rFonts w:ascii="Times New Roman" w:hAnsi="Times New Roman" w:cs="Times New Roman"/>
                <w:sz w:val="20"/>
                <w:szCs w:val="20"/>
              </w:rPr>
              <w:t xml:space="preserve">Proinflammatory </w:t>
            </w:r>
            <w:r>
              <w:rPr>
                <w:rFonts w:ascii="Times New Roman" w:hAnsi="Times New Roman" w:cs="Times New Roman"/>
                <w:sz w:val="20"/>
                <w:szCs w:val="20"/>
              </w:rPr>
              <w:t>c</w:t>
            </w:r>
            <w:r w:rsidRPr="003D72E1">
              <w:rPr>
                <w:rFonts w:ascii="Times New Roman" w:hAnsi="Times New Roman" w:cs="Times New Roman"/>
                <w:sz w:val="20"/>
                <w:szCs w:val="20"/>
              </w:rPr>
              <w:t>hemokine. Attract and activate</w:t>
            </w:r>
            <w:r>
              <w:rPr>
                <w:rFonts w:ascii="Times New Roman" w:hAnsi="Times New Roman" w:cs="Times New Roman"/>
                <w:sz w:val="20"/>
                <w:szCs w:val="20"/>
              </w:rPr>
              <w:t>s</w:t>
            </w:r>
            <w:r w:rsidRPr="003D72E1">
              <w:rPr>
                <w:rFonts w:ascii="Times New Roman" w:hAnsi="Times New Roman" w:cs="Times New Roman"/>
                <w:sz w:val="20"/>
                <w:szCs w:val="20"/>
              </w:rPr>
              <w:t xml:space="preserve"> leukocytes. Secreted by many cell types at inflammatory sites</w:t>
            </w:r>
            <w:r>
              <w:rPr>
                <w:rFonts w:ascii="Times New Roman" w:hAnsi="Times New Roman" w:cs="Times New Roman"/>
                <w:sz w:val="20"/>
                <w:szCs w:val="20"/>
              </w:rPr>
              <w:t xml:space="preserve"> including synovial fibroblasts in human OA. </w:t>
            </w:r>
            <w:r w:rsidRPr="003D72E1">
              <w:rPr>
                <w:rFonts w:ascii="Times New Roman" w:hAnsi="Times New Roman" w:cs="Times New Roman"/>
                <w:sz w:val="20"/>
                <w:szCs w:val="20"/>
              </w:rPr>
              <w:t xml:space="preserve">Attract proinflammatory </w:t>
            </w:r>
            <w:r>
              <w:rPr>
                <w:rFonts w:ascii="Times New Roman" w:hAnsi="Times New Roman" w:cs="Times New Roman"/>
                <w:sz w:val="20"/>
                <w:szCs w:val="20"/>
              </w:rPr>
              <w:t xml:space="preserve">(M1) </w:t>
            </w:r>
            <w:r w:rsidRPr="003D72E1">
              <w:rPr>
                <w:rFonts w:ascii="Times New Roman" w:hAnsi="Times New Roman" w:cs="Times New Roman"/>
                <w:sz w:val="20"/>
                <w:szCs w:val="20"/>
              </w:rPr>
              <w:t>macrophages. Induces expression of matrix metalloproteinases</w:t>
            </w:r>
            <w:r>
              <w:rPr>
                <w:rFonts w:ascii="Times New Roman" w:hAnsi="Times New Roman" w:cs="Times New Roman"/>
                <w:sz w:val="20"/>
                <w:szCs w:val="20"/>
              </w:rPr>
              <w:t xml:space="preserve">, collagenase and IL-6, which accelerates OA progression. Inhibits proteoglycan synthesis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{"citationItems":[{"id":"ITEM-1","itemData":{"DOI":"10.1186/s13075-023-03096-6","ISSN":"14786362","PMID":"37400871","abstract":"Osteoarthritis (OA) is a prevalent degenerative disease accompanied by the activation of innate and adaptive immune systems-associated inflammatory responses. Due to the local inflammation, the expression of various cytokines was altered in affected joints, including CC motif chemokine ligands (CCLs) and their receptors (CCRs). As essential members of chemokines, CCLs and CCRs played an important role in the pathogenesis and treatment of OA. The bindings between CCLs and CCRs on the chondrocyte membrane promoted chondrocyte apoptosis and the release of multiple matrix-degrading enzymes, which resulted in cartilage degradation. In addition, CCLs and CCRs had chemoattractant functions to attract various immune cells to osteoarthritic joints, further leading to the aggravation of local inflammation. Furthermore, in the nerve endings of joints, CCLs and CCRs, along with several cellular factors, contributed to pain hypersensitivity by releasing neurotransmitters in the spinal cord. Given this family’s diverse and complex functions, targeting the functional network of CCLs and CCRs is a promising strategy for the prognosis and treatment of OA in the future.","author":[{"dropping-particle":"","family":"Zhang","given":"Yuchen","non-dropping-particle":"","parse-names":false,"suffix":""},{"dropping-particle":"","family":"Liu","given":"Di","non-dropping-particle":"","parse-names":false,"suffix":""},{"dropping-particle":"","family":"Vithran","given":"Djandan Tadum Arthur","non-dropping-particle":"","parse-names":false,"suffix":""},{"dropping-particle":"","family":"Kwabena","given":"Bosomtwe Richmond","non-dropping-particle":"","parse-names":false,"suffix":""},{"dropping-particle":"","family":"Xiao","given":"Wenfeng","non-dropping-particle":"","parse-names":false,"suffix":""},{"dropping-particle":"","family":"Li","given":"Yusheng","non-dropping-particle":"","parse-names":false,"suffix":""}],"container-title":"Arthritis Research and Therapy","id":"ITEM-1","issue":"1","issued":{"date-parts":[["2023"]]},"page":"1-11","publisher":"BioMed Central","title":"CC chemokines and receptors in osteoarthritis: new insights and potential targets","type":"article-journal","volume":"25"},"uris":["http://www.mendeley.com/documents/?uuid=9c7d23ee-c131-4a39-bcd4-0757f3693c97"]}],"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rPr>
              <w:fldChar w:fldCharType="separate"/>
            </w:r>
            <w:r w:rsidRPr="002B2104">
              <w:rPr>
                <w:rFonts w:ascii="Times New Roman" w:hAnsi="Times New Roman" w:cs="Times New Roman"/>
                <w:noProof/>
                <w:sz w:val="20"/>
                <w:szCs w:val="20"/>
              </w:rPr>
              <w:t>[2]</w:t>
            </w:r>
            <w:r>
              <w:rPr>
                <w:rFonts w:ascii="Times New Roman" w:hAnsi="Times New Roman" w:cs="Times New Roman"/>
                <w:sz w:val="20"/>
                <w:szCs w:val="20"/>
              </w:rPr>
              <w:fldChar w:fldCharType="end"/>
            </w:r>
            <w:r w:rsidRPr="003D72E1">
              <w:rPr>
                <w:rFonts w:ascii="Times New Roman" w:hAnsi="Times New Roman" w:cs="Times New Roman"/>
                <w:sz w:val="20"/>
                <w:szCs w:val="20"/>
              </w:rPr>
              <w:t xml:space="preserve">. </w:t>
            </w:r>
          </w:p>
        </w:tc>
      </w:tr>
      <w:tr w:rsidR="00845F5C" w:rsidRPr="009F7737" w14:paraId="7C31409D" w14:textId="77777777" w:rsidTr="00E960F5">
        <w:tc>
          <w:tcPr>
            <w:tcW w:w="2547" w:type="dxa"/>
          </w:tcPr>
          <w:p w14:paraId="3BEC6D20"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Transforming growth factor (</w:t>
            </w:r>
            <w:r w:rsidRPr="009F7737">
              <w:rPr>
                <w:rFonts w:ascii="Times New Roman" w:hAnsi="Times New Roman" w:cs="Times New Roman"/>
                <w:color w:val="auto"/>
                <w:sz w:val="20"/>
                <w:szCs w:val="20"/>
                <w:lang w:val="en-US"/>
              </w:rPr>
              <w:t>TGF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-α</w:t>
            </w:r>
          </w:p>
        </w:tc>
        <w:tc>
          <w:tcPr>
            <w:tcW w:w="6662" w:type="dxa"/>
          </w:tcPr>
          <w:p w14:paraId="78234594" w14:textId="301E2987" w:rsidR="00845F5C" w:rsidRPr="00E7758C" w:rsidRDefault="00845F5C" w:rsidP="00E960F5">
            <w:pPr>
              <w:rPr>
                <w:rFonts w:ascii="Times New Roman" w:hAnsi="Times New Roman" w:cs="Times New Roman"/>
                <w:sz w:val="20"/>
                <w:szCs w:val="20"/>
              </w:rPr>
            </w:pPr>
            <w:r>
              <w:rPr>
                <w:rFonts w:ascii="Times New Roman" w:hAnsi="Times New Roman" w:cs="Times New Roman"/>
                <w:sz w:val="20"/>
                <w:szCs w:val="20"/>
              </w:rPr>
              <w:t>A</w:t>
            </w:r>
            <w:r w:rsidRPr="0017709B">
              <w:rPr>
                <w:rFonts w:ascii="Times New Roman" w:hAnsi="Times New Roman" w:cs="Times New Roman"/>
                <w:sz w:val="20"/>
                <w:szCs w:val="20"/>
              </w:rPr>
              <w:t xml:space="preserve"> growth factor</w:t>
            </w:r>
            <w:r>
              <w:rPr>
                <w:rFonts w:ascii="Times New Roman" w:hAnsi="Times New Roman" w:cs="Times New Roman"/>
                <w:sz w:val="20"/>
                <w:szCs w:val="20"/>
              </w:rPr>
              <w:t xml:space="preserve"> important for transition of hypertrophic cartilage to bone during endochondral ossification</w:t>
            </w:r>
            <w:r w:rsidRPr="0017709B">
              <w:rPr>
                <w:rFonts w:ascii="Times New Roman" w:hAnsi="Times New Roman" w:cs="Times New Roman"/>
                <w:sz w:val="20"/>
                <w:szCs w:val="20"/>
              </w:rPr>
              <w:t xml:space="preserve">. </w:t>
            </w:r>
            <w:r>
              <w:rPr>
                <w:rFonts w:ascii="Times New Roman" w:hAnsi="Times New Roman" w:cs="Times New Roman"/>
                <w:sz w:val="20"/>
                <w:szCs w:val="20"/>
              </w:rPr>
              <w:t xml:space="preserve">Part of the EGF family. Stimulates cell proliferation, differentiation, and survival. Can contribute to mature articular cartilage breakdown and enhance inflammation in synovial fibroblasts during </w:t>
            </w:r>
            <w:proofErr w:type="gramStart"/>
            <w:r>
              <w:rPr>
                <w:rFonts w:ascii="Times New Roman" w:hAnsi="Times New Roman" w:cs="Times New Roman"/>
                <w:sz w:val="20"/>
                <w:szCs w:val="20"/>
              </w:rPr>
              <w:t>OA</w:t>
            </w:r>
            <w:r w:rsidR="004E64EF">
              <w:rPr>
                <w:rFonts w:ascii="Times New Roman" w:hAnsi="Times New Roman" w:cs="Times New Roman"/>
                <w:sz w:val="20"/>
                <w:szCs w:val="20"/>
              </w:rPr>
              <w:t xml:space="preserve"> </w:t>
            </w:r>
            <w:r w:rsidR="004E64EF">
              <w:rPr>
                <w:rFonts w:ascii="Times New Roman" w:hAnsi="Times New Roman" w:cs="Times New Roman"/>
                <w:sz w:val="20"/>
                <w:szCs w:val="20"/>
              </w:rPr>
              <w:fldChar w:fldCharType="begin" w:fldLock="1"/>
            </w:r>
            <w:r w:rsidR="004E64EF">
              <w:rPr>
                <w:rFonts w:ascii="Times New Roman" w:hAnsi="Times New Roman" w:cs="Times New Roman"/>
                <w:sz w:val="20"/>
                <w:szCs w:val="20"/>
              </w:rPr>
              <w:instrText>ADDIN CSL_CITATION {"citationItems":[{"id":"ITEM-1","itemData":{"DOI":"https://doi.org/10.1016/j.bone.2012.04.012","author":[{"dropping-particle":"","family":"Usmani","given":"SE.","non-dropping-particle":"","parse-names":false,"suffix":""},{"dropping-particle":"","family":"Pest","given":"MA.","non-dropping-particle":"","parse-names":false,"suffix":""},{"dropping-particle":"","family":"Kim","given":"G.","non-dropping-particle":"","parse-names":false,"suffix":""},{"dropping-particle":"","family":"Ohora","given":"SN.","non-dropping-particle":"","parse-names":false,"suffix":""},{"dropping-particle":"","family":"Quin","given":"L.","non-dropping-particle":"","parse-names":false,"suffix":""},{"dropping-particle":"","family":"Beier","given":"F.","non-dropping-particle":"","parse-names":false,"suffix":""}],"container-title":"Bone","id":"ITEM-1","issue":"1","issued":{"date-parts":[["2012"]]},"page":"131-141","title":"Transforming growth factor alpha controls the transition from hypertrophic cartilage to bone during endochondral bone growth","type":"article-journal","volume":"51"},"uris":["http://www.mendeley.com/documents/?uuid=839a80cc-d516-4b40-97b6-64befe8318a0"]}],"mendeley":{"formattedCitation":"[24]","plainTextFormattedCitation":"[24]"},"properties":{"noteIndex":0},"schema":"https://github.com/citation-style-language/schema/raw/master/csl-citation.json"}</w:instrText>
            </w:r>
            <w:r w:rsidR="004E64EF">
              <w:rPr>
                <w:rFonts w:ascii="Times New Roman" w:hAnsi="Times New Roman" w:cs="Times New Roman"/>
                <w:sz w:val="20"/>
                <w:szCs w:val="20"/>
              </w:rPr>
              <w:fldChar w:fldCharType="separate"/>
            </w:r>
            <w:r w:rsidR="004E64EF" w:rsidRPr="004E64EF">
              <w:rPr>
                <w:rFonts w:ascii="Times New Roman" w:hAnsi="Times New Roman" w:cs="Times New Roman"/>
                <w:noProof/>
                <w:sz w:val="20"/>
                <w:szCs w:val="20"/>
              </w:rPr>
              <w:t>[24]</w:t>
            </w:r>
            <w:r w:rsidR="004E64EF">
              <w:rPr>
                <w:rFonts w:ascii="Times New Roman" w:hAnsi="Times New Roman" w:cs="Times New Roman"/>
                <w:sz w:val="20"/>
                <w:szCs w:val="20"/>
              </w:rPr>
              <w:fldChar w:fldCharType="end"/>
            </w:r>
            <w:r>
              <w:rPr>
                <w:rFonts w:ascii="Times New Roman" w:hAnsi="Times New Roman" w:cs="Times New Roman"/>
                <w:sz w:val="20"/>
                <w:szCs w:val="20"/>
              </w:rPr>
              <w:t>.</w:t>
            </w:r>
            <w:proofErr w:type="gramEnd"/>
            <w:r>
              <w:rPr>
                <w:rFonts w:ascii="Times New Roman" w:hAnsi="Times New Roman" w:cs="Times New Roman"/>
                <w:sz w:val="20"/>
                <w:szCs w:val="20"/>
              </w:rPr>
              <w:t xml:space="preserve"> </w:t>
            </w:r>
          </w:p>
        </w:tc>
      </w:tr>
      <w:tr w:rsidR="00845F5C" w:rsidRPr="009F7737" w14:paraId="799564AA" w14:textId="77777777" w:rsidTr="00E960F5">
        <w:tc>
          <w:tcPr>
            <w:tcW w:w="2547" w:type="dxa"/>
          </w:tcPr>
          <w:p w14:paraId="0888BF00"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Transforming growth factor (</w:t>
            </w:r>
            <w:r w:rsidRPr="009F7737">
              <w:rPr>
                <w:rFonts w:ascii="Times New Roman" w:hAnsi="Times New Roman" w:cs="Times New Roman"/>
                <w:color w:val="auto"/>
                <w:sz w:val="20"/>
                <w:szCs w:val="20"/>
                <w:lang w:val="en-US"/>
              </w:rPr>
              <w:t>TGF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-β1</w:t>
            </w:r>
          </w:p>
        </w:tc>
        <w:tc>
          <w:tcPr>
            <w:tcW w:w="6662" w:type="dxa"/>
          </w:tcPr>
          <w:p w14:paraId="01140F23" w14:textId="2C540F3E" w:rsidR="00845F5C" w:rsidRPr="00E7758C" w:rsidRDefault="00845F5C" w:rsidP="00E960F5">
            <w:pPr>
              <w:rPr>
                <w:rFonts w:ascii="Times New Roman" w:hAnsi="Times New Roman" w:cs="Times New Roman"/>
                <w:sz w:val="20"/>
                <w:szCs w:val="20"/>
                <w:lang w:val="en-US"/>
              </w:rPr>
            </w:pPr>
            <w:r>
              <w:rPr>
                <w:rFonts w:ascii="Times New Roman" w:hAnsi="Times New Roman" w:cs="Times New Roman"/>
                <w:sz w:val="20"/>
                <w:szCs w:val="20"/>
              </w:rPr>
              <w:t xml:space="preserve">A pro-chondrogenic growth factor essential for cartilage maintenance and repair. </w:t>
            </w:r>
            <w:r w:rsidRPr="00E7758C">
              <w:rPr>
                <w:rFonts w:ascii="Times New Roman" w:hAnsi="Times New Roman" w:cs="Times New Roman"/>
                <w:sz w:val="20"/>
                <w:szCs w:val="20"/>
              </w:rPr>
              <w:t>Promotes chondrogenic differentiation of MSCs</w:t>
            </w:r>
            <w:r>
              <w:rPr>
                <w:rFonts w:ascii="Times New Roman" w:hAnsi="Times New Roman" w:cs="Times New Roman"/>
                <w:sz w:val="20"/>
                <w:szCs w:val="20"/>
              </w:rPr>
              <w:t xml:space="preserve"> and chondrogenic progenitor cells into chondrocytes. </w:t>
            </w:r>
            <w:r w:rsidRPr="00E7758C">
              <w:rPr>
                <w:rFonts w:ascii="Times New Roman" w:hAnsi="Times New Roman" w:cs="Times New Roman"/>
                <w:sz w:val="20"/>
                <w:szCs w:val="20"/>
              </w:rPr>
              <w:t>Stimulate the production of cartilage matrix components</w:t>
            </w:r>
            <w:r>
              <w:rPr>
                <w:rFonts w:ascii="Times New Roman" w:hAnsi="Times New Roman" w:cs="Times New Roman"/>
                <w:sz w:val="20"/>
                <w:szCs w:val="20"/>
              </w:rPr>
              <w:t xml:space="preserve"> like collagen type II and aggrecan and promotes cartilage health and repair </w:t>
            </w:r>
            <w:r>
              <w:rPr>
                <w:rFonts w:ascii="Times New Roman" w:hAnsi="Times New Roman" w:cs="Times New Roman"/>
                <w:sz w:val="20"/>
                <w:szCs w:val="20"/>
              </w:rPr>
              <w:fldChar w:fldCharType="begin" w:fldLock="1"/>
            </w:r>
            <w:r w:rsidR="004E64EF">
              <w:rPr>
                <w:rFonts w:ascii="Times New Roman" w:hAnsi="Times New Roman" w:cs="Times New Roman"/>
                <w:sz w:val="20"/>
                <w:szCs w:val="20"/>
              </w:rPr>
              <w:instrText>ADDIN CSL_CITATION {"citationItems":[{"id":"ITEM-1","itemData":{"DOI":"10.1002/bdrc.21058","ISBN":"6176321972","ISSN":"15378276","PMID":"1000000221","author":[{"dropping-particle":"","family":"Wang","given":"W.","non-dropping-particle":"","parse-names":false,"suffix":""},{"dropping-particle":"","family":"Rigueur","given":"D.","non-dropping-particle":"","parse-names":false,"suffix":""},{"dropping-particle":"","family":"Lyons","given":"KM.","non-dropping-particle":"","parse-names":false,"suffix":""}],"container-title":"Birth Defects Res C Embryo Today","id":"ITEM-1","issue":"1","issued":{"date-parts":[["2014"]]},"page":"37-51","title":"TGFβ Signaling in Cartilage Development and Maintenance Weiguang","type":"article-journal","volume":"102"},"uris":["http://www.mendeley.com/documents/?uuid=500f2051-4cf9-4238-9166-0e207b927015"]}],"mendeley":{"formattedCitation":"[25]","plainTextFormattedCitation":"[25]","previouslyFormattedCitation":"[24]"},"properties":{"noteIndex":0},"schema":"https://github.com/citation-style-language/schema/raw/master/csl-citation.json"}</w:instrText>
            </w:r>
            <w:r>
              <w:rPr>
                <w:rFonts w:ascii="Times New Roman" w:hAnsi="Times New Roman" w:cs="Times New Roman"/>
                <w:sz w:val="20"/>
                <w:szCs w:val="20"/>
              </w:rPr>
              <w:fldChar w:fldCharType="separate"/>
            </w:r>
            <w:r w:rsidR="004E64EF" w:rsidRPr="004E64EF">
              <w:rPr>
                <w:rFonts w:ascii="Times New Roman" w:hAnsi="Times New Roman" w:cs="Times New Roman"/>
                <w:noProof/>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r>
      <w:tr w:rsidR="00845F5C" w:rsidRPr="009F7737" w14:paraId="0B30D82C" w14:textId="77777777" w:rsidTr="00E960F5">
        <w:tc>
          <w:tcPr>
            <w:tcW w:w="2547" w:type="dxa"/>
          </w:tcPr>
          <w:p w14:paraId="7343BB60"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Tumor necrosis factor (</w:t>
            </w:r>
            <w:r w:rsidRPr="009F7737">
              <w:rPr>
                <w:rFonts w:ascii="Times New Roman" w:hAnsi="Times New Roman" w:cs="Times New Roman"/>
                <w:color w:val="auto"/>
                <w:sz w:val="20"/>
                <w:szCs w:val="20"/>
                <w:lang w:val="en-US"/>
              </w:rPr>
              <w:t>TNF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-α</w:t>
            </w:r>
          </w:p>
        </w:tc>
        <w:tc>
          <w:tcPr>
            <w:tcW w:w="6662" w:type="dxa"/>
          </w:tcPr>
          <w:p w14:paraId="087853BB" w14:textId="324578EF" w:rsidR="00845F5C" w:rsidRPr="0013718D" w:rsidRDefault="00845F5C" w:rsidP="00E960F5">
            <w:pPr>
              <w:rPr>
                <w:rFonts w:ascii="Times New Roman" w:hAnsi="Times New Roman" w:cs="Times New Roman"/>
                <w:sz w:val="20"/>
                <w:szCs w:val="20"/>
                <w:lang w:val="en-US"/>
              </w:rPr>
            </w:pPr>
            <w:r w:rsidRPr="0013718D">
              <w:rPr>
                <w:rFonts w:ascii="Times New Roman" w:hAnsi="Times New Roman" w:cs="Times New Roman"/>
                <w:sz w:val="20"/>
                <w:szCs w:val="20"/>
              </w:rPr>
              <w:t>Inducer of cartilage degradation an</w:t>
            </w:r>
            <w:r>
              <w:rPr>
                <w:rFonts w:ascii="Times New Roman" w:hAnsi="Times New Roman" w:cs="Times New Roman"/>
                <w:sz w:val="20"/>
                <w:szCs w:val="20"/>
              </w:rPr>
              <w:t>d</w:t>
            </w:r>
            <w:r w:rsidRPr="0013718D">
              <w:rPr>
                <w:rFonts w:ascii="Times New Roman" w:hAnsi="Times New Roman" w:cs="Times New Roman"/>
                <w:sz w:val="20"/>
                <w:szCs w:val="20"/>
              </w:rPr>
              <w:t xml:space="preserve"> bone re</w:t>
            </w:r>
            <w:r>
              <w:rPr>
                <w:rFonts w:ascii="Times New Roman" w:hAnsi="Times New Roman" w:cs="Times New Roman"/>
                <w:sz w:val="20"/>
                <w:szCs w:val="20"/>
              </w:rPr>
              <w:t>s</w:t>
            </w:r>
            <w:r w:rsidRPr="0013718D">
              <w:rPr>
                <w:rFonts w:ascii="Times New Roman" w:hAnsi="Times New Roman" w:cs="Times New Roman"/>
                <w:sz w:val="20"/>
                <w:szCs w:val="20"/>
              </w:rPr>
              <w:t>orption (less potent than IL-1</w:t>
            </w:r>
            <w:r>
              <w:rPr>
                <w:rFonts w:ascii="Times New Roman" w:hAnsi="Times New Roman" w:cs="Times New Roman"/>
                <w:sz w:val="20"/>
                <w:szCs w:val="20"/>
              </w:rPr>
              <w:t>β</w:t>
            </w:r>
            <w:r w:rsidRPr="0013718D">
              <w:rPr>
                <w:rFonts w:ascii="Times New Roman" w:hAnsi="Times New Roman" w:cs="Times New Roman"/>
                <w:sz w:val="20"/>
                <w:szCs w:val="20"/>
              </w:rPr>
              <w:t>). Enhanced in OA</w:t>
            </w:r>
            <w:r>
              <w:rPr>
                <w:rFonts w:ascii="Times New Roman" w:hAnsi="Times New Roman" w:cs="Times New Roman"/>
                <w:sz w:val="20"/>
                <w:szCs w:val="20"/>
              </w:rPr>
              <w:t xml:space="preserve"> and a primary driver of OA development and progression</w:t>
            </w:r>
            <w:r w:rsidRPr="0013718D">
              <w:rPr>
                <w:rFonts w:ascii="Times New Roman" w:hAnsi="Times New Roman" w:cs="Times New Roman"/>
                <w:sz w:val="20"/>
                <w:szCs w:val="20"/>
              </w:rPr>
              <w:t xml:space="preserve">. </w:t>
            </w:r>
            <w:r>
              <w:rPr>
                <w:rFonts w:ascii="Times New Roman" w:hAnsi="Times New Roman" w:cs="Times New Roman"/>
                <w:sz w:val="20"/>
                <w:szCs w:val="20"/>
              </w:rPr>
              <w:t xml:space="preserve">Can increase expression of inflammatory factors during OA </w:t>
            </w:r>
            <w:r>
              <w:rPr>
                <w:rFonts w:ascii="Times New Roman" w:hAnsi="Times New Roman" w:cs="Times New Roman"/>
                <w:sz w:val="20"/>
                <w:szCs w:val="20"/>
              </w:rPr>
              <w:fldChar w:fldCharType="begin" w:fldLock="1"/>
            </w:r>
            <w:r w:rsidR="00823EC4">
              <w:rPr>
                <w:rFonts w:ascii="Times New Roman" w:hAnsi="Times New Roman" w:cs="Times New Roman"/>
                <w:sz w:val="20"/>
                <w:szCs w:val="20"/>
              </w:rPr>
              <w:instrText>ADDIN CSL_CITATION {"citationItems":[{"id":"ITEM-1","itemData":{"DOI":"10.3892/MMR.2022.12615","ISSN":"17913004","PMID":"35088882","abstract":"Osteoarthritis (oa), one of the most common joint diseases, is characterized by fibrosis, rhagadia, ulcers and attrition of articular cartilage due to a number of factors. The etiology of oa remains unclear, but its occurrence has been associated with age, obesity, inflammation, trauma and genetic factors. Inflammatory cytokines are crucial for the occurrence and progression of OA. The intra-articular proinflammatory and anti-inflammatory cytokines jointly maintain a dynamic balance, in accordance with the physiological metabolism of articular cartilage. However, dynamic imbalance between proinflammatory and anti-inflammatory cytokines can cause abnormal metabolism in knee articular cartilage, which leads to deformation, loss and abnormal regeneration, and ultimately destroys the normal structure of the knee joint. The ability of articular cartilage to self-repair once damaged is limited, due to its inability to obtain nutrients from blood vessels, nerves and lymphatic vessels, as well as limitations in the extracellular matrix. There are several disadvantages inherent to conventional repair methods, while cartilage tissue engineering (CTE), which combines proinflammatory and anti-inflammatory cytokines, offers a new therapeutic approach for oa. The aim of the present review was to examine the proinflammatory factors implicated in oa, including il-1β, TnF-α, il-6, il-15, il-17 and il-18, as well as the key anti-inflammatory factors reducing OA-related articular damage, including IL-4, insulin-like growth factor and TGF-β. The predominance of proinflammatory over anti-inflammatory cytokine effects ultimately leads to the development of OA. cTe, which employs mesenchymal stem cells and scaffolding technology, may prevent oa by maintaining the homeostasis of pro- and anti-inflammatory factors.","author":[{"dropping-particle":"","family":"Liu","given":"Shuyu","non-dropping-particle":"","parse-names":false,"suffix":""},{"dropping-particle":"","family":"Deng","given":"Zhenhan","non-dropping-particle":"","parse-names":false,"suffix":""},{"dropping-particle":"","family":"Chen","given":"Kang","non-dropping-particle":"","parse-names":false,"suffix":""},{"dropping-particle":"","family":"Jian","given":"Shengsheng","non-dropping-particle":"","parse-names":false,"suffix":""},{"dropping-particle":"","family":"Zhou","given":"Feifei","non-dropping-particle":"","parse-names":false,"suffix":""},{"dropping-particle":"","family":"Yang","given":"Yuan","non-dropping-particle":"","parse-names":false,"suffix":""},{"dropping-particle":"","family":"Fu","given":"Zicai","non-dropping-particle":"","parse-names":false,"suffix":""},{"dropping-particle":"","family":"Xie","given":"Huanyu","non-dropping-particle":"","parse-names":false,"suffix":""},{"dropping-particle":"","family":"Xiong","given":"Jianyi","non-dropping-particle":"","parse-names":false,"suffix":""},{"dropping-particle":"","family":"Zhu","given":"Weimin","non-dropping-particle":"","parse-names":false,"suffix":""}],"container-title":"Molecular Medicine Reports","id":"ITEM-1","issue":"3","issued":{"date-parts":[["2022"]]},"page":"1-15","title":"Cartilage tissue engineering: From proinflammatory and anti-inflammatory cytokines to osteoarthritis treatments (Review)","type":"article-journal","volume":"25"},"uris":["http://www.mendeley.com/documents/?uuid=6c2f99f4-59d1-4a39-b090-b43bcf31955d"]}],"mendeley":{"formattedCitation":"[14]","plainTextFormattedCitation":"[14]","previouslyFormattedCitation":"[14]"},"properties":{"noteIndex":0},"schema":"https://github.com/citation-style-language/schema/raw/master/csl-citation.json"}</w:instrText>
            </w:r>
            <w:r>
              <w:rPr>
                <w:rFonts w:ascii="Times New Roman" w:hAnsi="Times New Roman" w:cs="Times New Roman"/>
                <w:sz w:val="20"/>
                <w:szCs w:val="20"/>
              </w:rPr>
              <w:fldChar w:fldCharType="separate"/>
            </w:r>
            <w:r w:rsidR="00C963C8" w:rsidRPr="00C963C8">
              <w:rPr>
                <w:rFonts w:ascii="Times New Roman" w:hAnsi="Times New Roman" w:cs="Times New Roman"/>
                <w:noProof/>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r>
      <w:tr w:rsidR="00845F5C" w:rsidRPr="009F7737" w14:paraId="35342F6C" w14:textId="77777777" w:rsidTr="00E960F5">
        <w:tc>
          <w:tcPr>
            <w:tcW w:w="2547" w:type="dxa"/>
          </w:tcPr>
          <w:p w14:paraId="6BE1BC0A" w14:textId="77777777" w:rsidR="00845F5C" w:rsidRPr="009F7737" w:rsidRDefault="00845F5C" w:rsidP="00E960F5">
            <w:pPr>
              <w:rPr>
                <w:rFonts w:ascii="Times New Roman" w:hAnsi="Times New Roman" w:cs="Times New Roman"/>
                <w:sz w:val="20"/>
                <w:szCs w:val="20"/>
              </w:rPr>
            </w:pPr>
            <w:r>
              <w:rPr>
                <w:rFonts w:ascii="Times New Roman" w:hAnsi="Times New Roman" w:cs="Times New Roman"/>
                <w:color w:val="auto"/>
                <w:sz w:val="20"/>
                <w:szCs w:val="20"/>
                <w:lang w:val="en-US"/>
              </w:rPr>
              <w:t>Tumor necrosis factor (</w:t>
            </w:r>
            <w:r w:rsidRPr="009F7737">
              <w:rPr>
                <w:rFonts w:ascii="Times New Roman" w:hAnsi="Times New Roman" w:cs="Times New Roman"/>
                <w:color w:val="auto"/>
                <w:sz w:val="20"/>
                <w:szCs w:val="20"/>
                <w:lang w:val="en-US"/>
              </w:rPr>
              <w:t>TNF</w:t>
            </w:r>
            <w:r>
              <w:rPr>
                <w:rFonts w:ascii="Times New Roman" w:hAnsi="Times New Roman" w:cs="Times New Roman"/>
                <w:color w:val="auto"/>
                <w:sz w:val="20"/>
                <w:szCs w:val="20"/>
                <w:lang w:val="en-US"/>
              </w:rPr>
              <w:t>)</w:t>
            </w:r>
            <w:r w:rsidRPr="009F7737">
              <w:rPr>
                <w:rFonts w:ascii="Times New Roman" w:hAnsi="Times New Roman" w:cs="Times New Roman"/>
                <w:color w:val="auto"/>
                <w:sz w:val="20"/>
                <w:szCs w:val="20"/>
                <w:lang w:val="en-US"/>
              </w:rPr>
              <w:t>-β</w:t>
            </w:r>
          </w:p>
        </w:tc>
        <w:tc>
          <w:tcPr>
            <w:tcW w:w="6662" w:type="dxa"/>
          </w:tcPr>
          <w:p w14:paraId="4DF7C457" w14:textId="3E5AF8C1" w:rsidR="00845F5C" w:rsidRPr="009B0A3D" w:rsidRDefault="00845F5C" w:rsidP="00E960F5">
            <w:pPr>
              <w:rPr>
                <w:rFonts w:ascii="Times New Roman" w:hAnsi="Times New Roman" w:cs="Times New Roman"/>
                <w:sz w:val="20"/>
                <w:szCs w:val="20"/>
                <w:lang w:val="en-US"/>
              </w:rPr>
            </w:pPr>
            <w:r>
              <w:rPr>
                <w:rFonts w:ascii="Times New Roman" w:hAnsi="Times New Roman" w:cs="Times New Roman"/>
                <w:sz w:val="20"/>
                <w:szCs w:val="20"/>
              </w:rPr>
              <w:t xml:space="preserve">Pro-inflammatory. </w:t>
            </w:r>
            <w:r w:rsidRPr="009B0A3D">
              <w:rPr>
                <w:rFonts w:ascii="Times New Roman" w:hAnsi="Times New Roman" w:cs="Times New Roman"/>
                <w:sz w:val="20"/>
                <w:szCs w:val="20"/>
              </w:rPr>
              <w:t xml:space="preserve">TNF-β (lymphotoxin α) can activate </w:t>
            </w:r>
            <w:r>
              <w:rPr>
                <w:rFonts w:ascii="Times New Roman" w:hAnsi="Times New Roman" w:cs="Times New Roman"/>
                <w:sz w:val="20"/>
                <w:szCs w:val="20"/>
              </w:rPr>
              <w:t xml:space="preserve">release of </w:t>
            </w:r>
            <w:r w:rsidRPr="009B0A3D">
              <w:rPr>
                <w:rFonts w:ascii="Times New Roman" w:hAnsi="Times New Roman" w:cs="Times New Roman"/>
                <w:sz w:val="20"/>
                <w:szCs w:val="20"/>
              </w:rPr>
              <w:t>inflammatory</w:t>
            </w:r>
            <w:r>
              <w:rPr>
                <w:rFonts w:ascii="Times New Roman" w:hAnsi="Times New Roman" w:cs="Times New Roman"/>
                <w:sz w:val="20"/>
                <w:szCs w:val="20"/>
              </w:rPr>
              <w:t xml:space="preserve"> factors and matrix metalloproteinases</w:t>
            </w:r>
            <w:r w:rsidRPr="009B0A3D">
              <w:rPr>
                <w:rFonts w:ascii="Times New Roman" w:hAnsi="Times New Roman" w:cs="Times New Roman"/>
                <w:sz w:val="20"/>
                <w:szCs w:val="20"/>
              </w:rPr>
              <w:t xml:space="preserve"> in human chondrocytes</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4E64EF">
              <w:rPr>
                <w:rFonts w:ascii="Times New Roman" w:hAnsi="Times New Roman" w:cs="Times New Roman"/>
                <w:sz w:val="20"/>
                <w:szCs w:val="20"/>
              </w:rPr>
              <w:instrText>ADDIN CSL_CITATION {"citationItems":[{"id":"ITEM-1","itemData":{"DOI":"10.1186/ar4393","ISSN":"14786354","PMID":"24283517","abstract":"Introduction: Inflammatory cytokines play a key role in the pathogenesis of joint diseases such as rheumatoid arthritis (RA). Current therapies target mainly tumor necrosis factor α (TNF-α) as this has proven benefits. However, a large number of patients do not respond to or become resistant to anti-TNF-α therapy. While the role of TNF-α in RA is quite evident, the role of TNF-β, also called lymphotoxin-α (LT-α), is unclear. In this study we investigated whether TNF-β and its receptor play a role in chondrocytes in the inflammatory environment.Methods: An in vitro model of primary human chondrocytes was used to study TNF-β-mediated inflammatory signaling.Results: Cytokine-induced inflammation enhances TNF-β and TNF-β-receptor expression in primary human chondrocytes accompanied by the up-regulation of inflammatory (cyclooxygenase-2), matrix degrading (matrix metalloproteinase-9 and -13) and apoptotic (p53, cleaved caspase-3) signaling pathways, all known to be regulated by NF-κB. In contrast, anti-TNF-β, similar to the natural NF-κB inhibitor (curcumin, diferuloylmethane) or the knockdown of NF-κB by using antisense oligonucleotides (ASO), suppressed IL-1β-induced NF-κB activation and its translocation to the nucleus, and abolished the pro-inflammatory and apoptotic effects of IL-1β. This highlights, at least in part, the crucial role of NF-κB in TNF-β-induced-inflammation in cartilage, similar to that expected for TNF-α. Finally, the adhesiveness between TNF-β-expressing T-lymphocytes and the responding chondrocytes was significantly enhanced through a TNF-β-induced inflammatory microenvironment.Conclusions: These results suggest for the first time that TNF-β is involved in microenvironment inflammation in chondrocytes during RA parallel to TNF-α, resulting in the up-regulation of NF-κB signaling and activation of pro-inflammatory activity. © 2013 Buhrmann et al.; licensee BioMed Central Ltd.","author":[{"dropping-particle":"","family":"Buhrmann","given":"Constanze","non-dropping-particle":"","parse-names":false,"suffix":""},{"dropping-particle":"","family":"Shayan","given":"Parviz","non-dropping-particle":"","parse-names":false,"suffix":""},{"dropping-particle":"","family":"Aggarwal","given":"Bharat B.","non-dropping-particle":"","parse-names":false,"suffix":""},{"dropping-particle":"","family":"Shakibaei","given":"Mehdi","non-dropping-particle":"","parse-names":false,"suffix":""}],"container-title":"Arthritis Research and Therapy","id":"ITEM-1","issue":"6","issued":{"date-parts":[["2013"]]},"page":"1-14","title":"Evidence that TNF-β (lymphotoxin α) can activate the inflammatory environment in human chondrocytes","type":"article-journal","volume":"15"},"uris":["http://www.mendeley.com/documents/?uuid=3b214b93-f70f-4c91-83dc-53822c8c81ea"]}],"mendeley":{"formattedCitation":"[26]","plainTextFormattedCitation":"[26]","previouslyFormattedCitation":"[25]"},"properties":{"noteIndex":0},"schema":"https://github.com/citation-style-language/schema/raw/master/csl-citation.json"}</w:instrText>
            </w:r>
            <w:r>
              <w:rPr>
                <w:rFonts w:ascii="Times New Roman" w:hAnsi="Times New Roman" w:cs="Times New Roman"/>
                <w:sz w:val="20"/>
                <w:szCs w:val="20"/>
              </w:rPr>
              <w:fldChar w:fldCharType="separate"/>
            </w:r>
            <w:r w:rsidR="004E64EF" w:rsidRPr="004E64EF">
              <w:rPr>
                <w:rFonts w:ascii="Times New Roman" w:hAnsi="Times New Roman" w:cs="Times New Roman"/>
                <w:noProof/>
                <w:sz w:val="20"/>
                <w:szCs w:val="20"/>
              </w:rPr>
              <w:t>[26]</w:t>
            </w:r>
            <w:r>
              <w:rPr>
                <w:rFonts w:ascii="Times New Roman" w:hAnsi="Times New Roman" w:cs="Times New Roman"/>
                <w:sz w:val="20"/>
                <w:szCs w:val="20"/>
              </w:rPr>
              <w:fldChar w:fldCharType="end"/>
            </w:r>
            <w:r>
              <w:rPr>
                <w:rFonts w:ascii="Times New Roman" w:hAnsi="Times New Roman" w:cs="Times New Roman"/>
                <w:sz w:val="20"/>
                <w:szCs w:val="20"/>
              </w:rPr>
              <w:t>.</w:t>
            </w:r>
          </w:p>
        </w:tc>
      </w:tr>
      <w:tr w:rsidR="00845F5C" w:rsidRPr="009F7737" w14:paraId="5CDD01B6" w14:textId="77777777" w:rsidTr="00E960F5">
        <w:tc>
          <w:tcPr>
            <w:tcW w:w="2547" w:type="dxa"/>
          </w:tcPr>
          <w:p w14:paraId="2E0C18B4" w14:textId="77777777" w:rsidR="00845F5C" w:rsidRPr="009F7737" w:rsidRDefault="00845F5C" w:rsidP="00E960F5">
            <w:pPr>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TNF-related apoptosis-inducing ligand (</w:t>
            </w:r>
            <w:r w:rsidRPr="009F7737">
              <w:rPr>
                <w:rFonts w:ascii="Times New Roman" w:hAnsi="Times New Roman" w:cs="Times New Roman"/>
                <w:color w:val="auto"/>
                <w:sz w:val="20"/>
                <w:szCs w:val="20"/>
                <w:lang w:val="en-US"/>
              </w:rPr>
              <w:t>TRAIL</w:t>
            </w:r>
            <w:r>
              <w:rPr>
                <w:rFonts w:ascii="Times New Roman" w:hAnsi="Times New Roman" w:cs="Times New Roman"/>
                <w:color w:val="auto"/>
                <w:sz w:val="20"/>
                <w:szCs w:val="20"/>
                <w:lang w:val="en-US"/>
              </w:rPr>
              <w:t>)</w:t>
            </w:r>
          </w:p>
        </w:tc>
        <w:tc>
          <w:tcPr>
            <w:tcW w:w="6662" w:type="dxa"/>
          </w:tcPr>
          <w:p w14:paraId="211C7C65" w14:textId="29D7C6D4" w:rsidR="00845F5C" w:rsidRPr="00376728" w:rsidRDefault="00845F5C" w:rsidP="00E960F5">
            <w:pPr>
              <w:rPr>
                <w:rFonts w:ascii="Times New Roman" w:hAnsi="Times New Roman" w:cs="Times New Roman"/>
                <w:sz w:val="20"/>
                <w:szCs w:val="20"/>
                <w:lang w:val="en-US"/>
              </w:rPr>
            </w:pPr>
            <w:r>
              <w:rPr>
                <w:rFonts w:ascii="Times New Roman" w:hAnsi="Times New Roman" w:cs="Times New Roman"/>
                <w:sz w:val="20"/>
                <w:szCs w:val="20"/>
              </w:rPr>
              <w:t xml:space="preserve">Induce </w:t>
            </w:r>
            <w:r w:rsidRPr="00376728">
              <w:rPr>
                <w:rFonts w:ascii="Times New Roman" w:hAnsi="Times New Roman" w:cs="Times New Roman"/>
                <w:sz w:val="20"/>
                <w:szCs w:val="20"/>
              </w:rPr>
              <w:t>apoptosis of chondrocytes</w:t>
            </w:r>
            <w:r>
              <w:rPr>
                <w:rFonts w:ascii="Times New Roman" w:hAnsi="Times New Roman" w:cs="Times New Roman"/>
                <w:sz w:val="20"/>
                <w:szCs w:val="20"/>
              </w:rPr>
              <w:t xml:space="preserve">, enhance </w:t>
            </w:r>
            <w:r w:rsidRPr="00376728">
              <w:rPr>
                <w:rFonts w:ascii="Times New Roman" w:hAnsi="Times New Roman" w:cs="Times New Roman"/>
                <w:sz w:val="20"/>
                <w:szCs w:val="20"/>
              </w:rPr>
              <w:t xml:space="preserve">cartilage destruction </w:t>
            </w:r>
            <w:r>
              <w:rPr>
                <w:rFonts w:ascii="Times New Roman" w:hAnsi="Times New Roman" w:cs="Times New Roman"/>
                <w:sz w:val="20"/>
                <w:szCs w:val="20"/>
              </w:rPr>
              <w:t xml:space="preserve">and </w:t>
            </w:r>
            <w:r w:rsidRPr="00376728">
              <w:rPr>
                <w:rFonts w:ascii="Times New Roman" w:hAnsi="Times New Roman" w:cs="Times New Roman"/>
                <w:sz w:val="20"/>
                <w:szCs w:val="20"/>
              </w:rPr>
              <w:t>subchondral bone sclerosis</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4E64EF">
              <w:rPr>
                <w:rFonts w:ascii="Times New Roman" w:hAnsi="Times New Roman" w:cs="Times New Roman"/>
                <w:sz w:val="20"/>
                <w:szCs w:val="20"/>
              </w:rPr>
              <w:instrText>ADDIN CSL_CITATION {"citationItems":[{"id":"ITEM-1","itemData":{"DOI":"10.1002/art.20052","ISSN":"00043591","PMID":"14872496","abstract":"Objective. To investigate whether TRAIL influences the pathogenesis of osteoarthritis (OA). Methods. A recombinant adenoviral vector system (Ad-TRAIL) was used. Expression of TRAIL in a rat chondrocyte cell line (RCJ3.1C.18) and alterations in the expression of death and decoy receptors after Ad-TRAIL infection were measured by Western blot assay. To explore the underlying mechanism, Western blot assays (to detect caspase 8, poly [ADP-ribose] polymerase [PARP], and caspase 3 activation), mitochondrial membrane potential (ΔΨm) measurement, Hoechst staining, and DNA electrophoresis were conducted. Next, expression of TRAIL and death and decoy receptors was examined by immunochemistry in primary cultured chondrocytes and on cartilage obtained from rats with experimentally induced OA. Results. Ad-TRAIL infection induced expression of TRAIL in RCJ3.1C.18 cells, increased expression of death receptor 4 (DR4), and decreased expression of DR5 and decoy receptor 1 (DcR1). Ad-TRAIL, at doses of 10 and 100 multiplicities of infection, decreased the viability of chondrocytes 4 days after infection. Reduction of ΔΨm, cytochrome c release, nuclear condensation, activation of caspase 3 and PARP, and DNA fragmentation proved the induction of apoptosis. Activation of caspase 8 was also observed. Ad-TRAIL also induced apoptosis in primary cultured chondrocytes, in which alterations in expression of TRAIL and death receptors were similar to those observed in RCJ3.1C.18 cells. Cartilage obtained from rats with experimentally induced OA showed increased expression of TRAIL and DR4 and decreased expression of DR5 and DcR1 compared with control cartilage. Conclusion. TRAIL induces chondrocyte apoptosis, and TRAIL-induced chondrocyte apoptosis may play a role in the pathogenesis of OA.","author":[{"dropping-particle":"","family":"Lee","given":"Sung Won","non-dropping-particle":"","parse-names":false,"suffix":""},{"dropping-particle":"","family":"Lee","given":"Hye Jeong","non-dropping-particle":"","parse-names":false,"suffix":""},{"dropping-particle":"","family":"Chung","given":"Won Tae","non-dropping-particle":"","parse-names":false,"suffix":""},{"dropping-particle":"","family":"Choi","given":"Sun Mee","non-dropping-particle":"","parse-names":false,"suffix":""},{"dropping-particle":"","family":"Rhyu","given":"Seung Hoon","non-dropping-particle":"","parse-names":false,"suffix":""},{"dropping-particle":"","family":"Kim","given":"Duk K.","non-dropping-particle":"","parse-names":false,"suffix":""},{"dropping-particle":"","family":"Kim","given":"Kyung Taek","non-dropping-particle":"","parse-names":false,"suffix":""},{"dropping-particle":"","family":"Kim","given":"Ji Young","non-dropping-particle":"","parse-names":false,"suffix":""},{"dropping-particle":"","family":"Kim","given":"Jong Min","non-dropping-particle":"","parse-names":false,"suffix":""},{"dropping-particle":"","family":"Yoo","given":"Young Hyun","non-dropping-particle":"","parse-names":false,"suffix":""}],"container-title":"Arthritis and Rheumatism","id":"ITEM-1","issue":"2","issued":{"date-parts":[["2004"]]},"page":"534-542","title":"TRAIL Induces Apoptosis of Chondrocytes and Influences the Pathogenesis of Experimentally Induced Rat Osteoarthritis","type":"article-journal","volume":"50"},"uris":["http://www.mendeley.com/documents/?uuid=1a698e12-91cc-44f4-b805-68e3093e5563"]}],"mendeley":{"formattedCitation":"[27]","plainTextFormattedCitation":"[27]","previouslyFormattedCitation":"[26]"},"properties":{"noteIndex":0},"schema":"https://github.com/citation-style-language/schema/raw/master/csl-citation.json"}</w:instrText>
            </w:r>
            <w:r>
              <w:rPr>
                <w:rFonts w:ascii="Times New Roman" w:hAnsi="Times New Roman" w:cs="Times New Roman"/>
                <w:sz w:val="20"/>
                <w:szCs w:val="20"/>
              </w:rPr>
              <w:fldChar w:fldCharType="separate"/>
            </w:r>
            <w:r w:rsidR="004E64EF" w:rsidRPr="004E64EF">
              <w:rPr>
                <w:rFonts w:ascii="Times New Roman" w:hAnsi="Times New Roman" w:cs="Times New Roman"/>
                <w:noProof/>
                <w:sz w:val="20"/>
                <w:szCs w:val="20"/>
              </w:rPr>
              <w:t>[27]</w:t>
            </w:r>
            <w:r>
              <w:rPr>
                <w:rFonts w:ascii="Times New Roman" w:hAnsi="Times New Roman" w:cs="Times New Roman"/>
                <w:sz w:val="20"/>
                <w:szCs w:val="20"/>
              </w:rPr>
              <w:fldChar w:fldCharType="end"/>
            </w:r>
            <w:r w:rsidRPr="00376728">
              <w:rPr>
                <w:rFonts w:ascii="Times New Roman" w:hAnsi="Times New Roman" w:cs="Times New Roman"/>
                <w:sz w:val="20"/>
                <w:szCs w:val="20"/>
              </w:rPr>
              <w:t xml:space="preserve">. </w:t>
            </w:r>
          </w:p>
        </w:tc>
      </w:tr>
      <w:tr w:rsidR="00845F5C" w:rsidRPr="009F7737" w14:paraId="112023CF" w14:textId="77777777" w:rsidTr="00E960F5">
        <w:tc>
          <w:tcPr>
            <w:tcW w:w="2547" w:type="dxa"/>
          </w:tcPr>
          <w:p w14:paraId="259786D9" w14:textId="77777777" w:rsidR="00845F5C" w:rsidRPr="009F7737" w:rsidRDefault="00845F5C" w:rsidP="00E960F5">
            <w:pPr>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Vascular endothelial growth factor (</w:t>
            </w:r>
            <w:r w:rsidRPr="009F7737">
              <w:rPr>
                <w:rFonts w:ascii="Times New Roman" w:hAnsi="Times New Roman" w:cs="Times New Roman"/>
                <w:color w:val="auto"/>
                <w:sz w:val="20"/>
                <w:szCs w:val="20"/>
                <w:lang w:val="en-US"/>
              </w:rPr>
              <w:t>VEGF</w:t>
            </w:r>
            <w:r>
              <w:rPr>
                <w:rFonts w:ascii="Times New Roman" w:hAnsi="Times New Roman" w:cs="Times New Roman"/>
                <w:color w:val="auto"/>
                <w:sz w:val="20"/>
                <w:szCs w:val="20"/>
                <w:lang w:val="en-US"/>
              </w:rPr>
              <w:t>)</w:t>
            </w:r>
          </w:p>
        </w:tc>
        <w:tc>
          <w:tcPr>
            <w:tcW w:w="6662" w:type="dxa"/>
          </w:tcPr>
          <w:p w14:paraId="411D039B" w14:textId="70237CD7" w:rsidR="00845F5C" w:rsidRPr="004D35CB" w:rsidRDefault="00845F5C" w:rsidP="00E960F5">
            <w:pPr>
              <w:rPr>
                <w:rFonts w:ascii="Times New Roman" w:hAnsi="Times New Roman" w:cs="Times New Roman"/>
                <w:sz w:val="20"/>
                <w:szCs w:val="20"/>
                <w:lang w:val="en-US"/>
              </w:rPr>
            </w:pPr>
            <w:r>
              <w:rPr>
                <w:rFonts w:ascii="Times New Roman" w:hAnsi="Times New Roman" w:cs="Times New Roman"/>
                <w:sz w:val="20"/>
                <w:szCs w:val="20"/>
                <w:lang w:val="en-US"/>
              </w:rPr>
              <w:t xml:space="preserve">Growth factor that promotes angiogenesis. In OA, VEGF is positively associated to synovitis, pain perception, cartilage damage through new/unnormal blood vessels in the cartilage, and osteophyte formation </w:t>
            </w:r>
            <w:r>
              <w:rPr>
                <w:rFonts w:ascii="Times New Roman" w:hAnsi="Times New Roman" w:cs="Times New Roman"/>
                <w:sz w:val="20"/>
                <w:szCs w:val="20"/>
                <w:lang w:val="en-US"/>
              </w:rPr>
              <w:fldChar w:fldCharType="begin" w:fldLock="1"/>
            </w:r>
            <w:r w:rsidR="004E64EF">
              <w:rPr>
                <w:rFonts w:ascii="Times New Roman" w:hAnsi="Times New Roman" w:cs="Times New Roman"/>
                <w:sz w:val="20"/>
                <w:szCs w:val="20"/>
                <w:lang w:val="en-US"/>
              </w:rPr>
              <w:instrText>ADDIN CSL_CITATION {"citationItems":[{"id":"ITEM-1","itemData":{"DOI":"10.1002/jbmr.2828.","author":[{"dropping-particle":"","family":"Hamilton","given":"JL.","non-dropping-particle":"","parse-names":false,"suffix":""},{"dropping-particle":"","family":"Nagao","given":"M.","non-dropping-particle":"","parse-names":false,"suffix":""},{"dropping-particle":"","family":"Levine","given":"BR.","non-dropping-particle":"","parse-names":false,"suffix":""},{"dropping-particle":"","family":"Chen","given":"D.","non-dropping-particle":"","parse-names":false,"suffix":""},{"dropping-particle":"","family":"Olsen","given":"BR.","non-dropping-particle":"","parse-names":false,"suffix":""},{"dropping-particle":"","family":"Im","given":"HJ.","non-dropping-particle":"","parse-names":false,"suffix":""}],"container-title":"J Bone Miner Res.","id":"ITEM-1","issue":"5","issued":{"date-parts":[["2016"]]},"page":"911-921","title":"Targeting VEGF and its Receptors for the Treatment of Osteoarthritis and Associated Pain","type":"article-journal","volume":"31"},"uris":["http://www.mendeley.com/documents/?uuid=a1047c95-fc68-44b2-b2f1-75053997bace"]}],"mendeley":{"formattedCitation":"[28]","plainTextFormattedCitation":"[28]","previouslyFormattedCitation":"[27]"},"properties":{"noteIndex":0},"schema":"https://github.com/citation-style-language/schema/raw/master/csl-citation.json"}</w:instrText>
            </w:r>
            <w:r>
              <w:rPr>
                <w:rFonts w:ascii="Times New Roman" w:hAnsi="Times New Roman" w:cs="Times New Roman"/>
                <w:sz w:val="20"/>
                <w:szCs w:val="20"/>
                <w:lang w:val="en-US"/>
              </w:rPr>
              <w:fldChar w:fldCharType="separate"/>
            </w:r>
            <w:r w:rsidR="004E64EF" w:rsidRPr="004E64EF">
              <w:rPr>
                <w:rFonts w:ascii="Times New Roman" w:hAnsi="Times New Roman" w:cs="Times New Roman"/>
                <w:noProof/>
                <w:sz w:val="20"/>
                <w:szCs w:val="20"/>
                <w:lang w:val="en-US"/>
              </w:rPr>
              <w:t>[28]</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p>
        </w:tc>
      </w:tr>
    </w:tbl>
    <w:p w14:paraId="5C7A1302" w14:textId="6802AB5C" w:rsidR="00845F5C" w:rsidRPr="00A6134A" w:rsidRDefault="001B1E76" w:rsidP="001B1E76">
      <w:pPr>
        <w:pStyle w:val="Listeafsnit"/>
        <w:numPr>
          <w:ilvl w:val="0"/>
          <w:numId w:val="40"/>
        </w:numPr>
        <w:rPr>
          <w:rFonts w:ascii="Times New Roman" w:hAnsi="Times New Roman" w:cs="Times New Roman"/>
        </w:rPr>
      </w:pPr>
      <w:hyperlink r:id="rId10" w:history="1">
        <w:r w:rsidRPr="00A6134A">
          <w:rPr>
            <w:rStyle w:val="Hyperlink"/>
            <w:rFonts w:ascii="Times New Roman" w:hAnsi="Times New Roman" w:cs="Times New Roman"/>
          </w:rPr>
          <w:t>https://www.ncbi.nlm.nih.gov</w:t>
        </w:r>
      </w:hyperlink>
      <w:r w:rsidRPr="00A6134A">
        <w:rPr>
          <w:rFonts w:ascii="Times New Roman" w:hAnsi="Times New Roman" w:cs="Times New Roman"/>
        </w:rPr>
        <w:t xml:space="preserve"> </w:t>
      </w:r>
    </w:p>
    <w:p w14:paraId="32BCED18" w14:textId="549B0C61" w:rsidR="00FD3339" w:rsidRPr="00845F5C" w:rsidRDefault="00FD3339" w:rsidP="00FD3339">
      <w:pPr>
        <w:rPr>
          <w:rFonts w:ascii="Times New Roman" w:hAnsi="Times New Roman" w:cs="Times New Roman"/>
          <w:b/>
          <w:bCs/>
          <w:sz w:val="24"/>
          <w:szCs w:val="24"/>
        </w:rPr>
      </w:pPr>
      <w:r w:rsidRPr="00845F5C">
        <w:rPr>
          <w:rFonts w:ascii="Times New Roman" w:hAnsi="Times New Roman" w:cs="Times New Roman"/>
          <w:b/>
          <w:bCs/>
          <w:sz w:val="24"/>
          <w:szCs w:val="24"/>
        </w:rPr>
        <w:lastRenderedPageBreak/>
        <w:t>References</w:t>
      </w:r>
    </w:p>
    <w:p w14:paraId="7AA81049" w14:textId="079403C3" w:rsidR="004E64EF" w:rsidRPr="004E64EF" w:rsidRDefault="00FD3339" w:rsidP="004E64EF">
      <w:pPr>
        <w:widowControl w:val="0"/>
        <w:autoSpaceDE w:val="0"/>
        <w:autoSpaceDN w:val="0"/>
        <w:adjustRightInd w:val="0"/>
        <w:spacing w:line="240" w:lineRule="atLeast"/>
        <w:rPr>
          <w:rFonts w:ascii="Times New Roman" w:hAnsi="Times New Roman" w:cs="Times New Roman"/>
          <w:noProof/>
          <w:sz w:val="20"/>
        </w:rPr>
      </w:pPr>
      <w:r w:rsidRPr="009F7737">
        <w:rPr>
          <w:rFonts w:ascii="Times New Roman" w:hAnsi="Times New Roman" w:cs="Times New Roman"/>
          <w:b/>
          <w:bCs/>
          <w:sz w:val="20"/>
          <w:szCs w:val="20"/>
        </w:rPr>
        <w:fldChar w:fldCharType="begin" w:fldLock="1"/>
      </w:r>
      <w:r w:rsidRPr="009F7737">
        <w:rPr>
          <w:rFonts w:ascii="Times New Roman" w:hAnsi="Times New Roman" w:cs="Times New Roman"/>
          <w:b/>
          <w:bCs/>
          <w:sz w:val="20"/>
          <w:szCs w:val="20"/>
        </w:rPr>
        <w:instrText xml:space="preserve">ADDIN Mendeley Bibliography CSL_BIBLIOGRAPHY </w:instrText>
      </w:r>
      <w:r w:rsidRPr="009F7737">
        <w:rPr>
          <w:rFonts w:ascii="Times New Roman" w:hAnsi="Times New Roman" w:cs="Times New Roman"/>
          <w:b/>
          <w:bCs/>
          <w:sz w:val="20"/>
          <w:szCs w:val="20"/>
        </w:rPr>
        <w:fldChar w:fldCharType="separate"/>
      </w:r>
      <w:r w:rsidR="004E64EF" w:rsidRPr="004E64EF">
        <w:rPr>
          <w:rFonts w:ascii="Times New Roman" w:hAnsi="Times New Roman" w:cs="Times New Roman"/>
          <w:noProof/>
          <w:sz w:val="20"/>
        </w:rPr>
        <w:t xml:space="preserve">1. Qin L, Beier F. EGFR Signaling: Friend or Foe for Cartilage? JBMR Plus. 2019;3:1–9. </w:t>
      </w:r>
    </w:p>
    <w:p w14:paraId="1C85A766"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2. Zhang Y, Liu D, Vithran DTA, Kwabena BR, Xiao W, Li Y. CC chemokines and receptors in osteoarthritis: new insights and potential targets. Arthritis Res Ther [Internet]. BioMed Central; 2023;25:1–11. Available from: https://doi.org/10.1186/s13075-023-03096-6</w:t>
      </w:r>
    </w:p>
    <w:p w14:paraId="4E73B6AA"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3. Xie Y, Zinkle A, Chen L, Mohammadi M. Fibroblast growth factor signalling in osteoarthritis and cartilage repair. Nat Rev Rheumatol. 2020;16:547–64. </w:t>
      </w:r>
    </w:p>
    <w:p w14:paraId="483383F4"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4. Sasaki T, Akagi R, Akatsu Y, Fukawa T, Hoshi H, Yamamoto Y, et al. The effect of systemic administration of G-CSF on a full-thickness cartilage defect in a rabbit model MSC proliferation as presumed mechanism: G-CSF for cartilage repair. Bone Jt Res. 2017;6:123–31. </w:t>
      </w:r>
    </w:p>
    <w:p w14:paraId="7B5A0C91"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5. Truong MD, Choi BH, Kim YJ, Kim MS, Min BH. Granulocyte macrophage – colony stimulating factor (GM-CSF) significantly enhances articular cartilage repair potential by microfracture. Osteoarthr Cartil [Internet]. Elsevier Ltd; 2017;25:1345–52. Available from: http://dx.doi.org/10.1016/j.joca.2017.03.002</w:t>
      </w:r>
    </w:p>
    <w:p w14:paraId="48A10A37"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6. Hamilton J. GM-CSF in inflammation and autoimmunity. Trends Immunol. 2002;23:403–8. </w:t>
      </w:r>
    </w:p>
    <w:p w14:paraId="6511BD6A"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7. van Holten J, Reedquist K, Sattonet-Roche P, Smeets TJ, Plater-Zyberk C, Vervoordeldonk MJ, et al. Treatment with recombinant interferon-β reduces inflammation and slows cartilage destruction in the collagen-induced arthritis model of rheumatoid arthritis. Arthritis Res Ther. 2004;6:239–49. </w:t>
      </w:r>
    </w:p>
    <w:p w14:paraId="749C78C0"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8. Gilbert SJ, Blain EJ, Mason DJ. Interferon-gamma modulates articular chondrocyte and osteoblast metabolism through protein kinase R-independent and dependent mechanisms. Biochem Biophys Reports [Internet]. Elsevier B.V.; 2022;32:101323. Available from: https://doi.org/10.1016/j.bbrep.2022.101323</w:t>
      </w:r>
    </w:p>
    <w:p w14:paraId="31D15782"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9. Page CE, Smale S, Carty SM, Amos N, Lauder SN, Goodfellow RM, et al. Interferon-γ inhibits interleukin-1β-induced matrix metalloproteinase production by synovial fibroblasts and protects articular cartilage in early arthritis. Arthritis Res Ther. 2010;12. </w:t>
      </w:r>
    </w:p>
    <w:p w14:paraId="4716F682"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10. Kim JR, Hong BK, Pham THN, Kim WU, Kim HA. Interferon-gamma signaling promotes cartilage regeneration after injury. Sci Rep [Internet]. Nature Publishing Group UK; 2024;14:1–16. Available from: https://doi.org/10.1038/s41598-024-58779-0</w:t>
      </w:r>
    </w:p>
    <w:p w14:paraId="56FBC2B9"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11. Jacques C, Gosset M, Berenbaum F, Gabay C. The role of IL-1 and IL-1Ra in joint inflammation and cartilage degradation. Vitam Horm. 2006;74:371–403. </w:t>
      </w:r>
    </w:p>
    <w:p w14:paraId="136A29D2"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12. Sun H, Zhao Y, Wang K, Zhu L, Dong J, Zhao J, et al. Low dose IL-2 suppress osteoclastogenesis in collagen-induced arthritis via JNK dependent pathway. Immunity, Inflamm Dis. 2020;8:727–35. </w:t>
      </w:r>
    </w:p>
    <w:p w14:paraId="6AD3255E"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13. Collison J. A protective role for IL-3 in mouse OA. Nat Rev Rheumatol [Internet]. 2016;12:374–5. Available from: https://doi.org/10.1038/nrrheum.2016.96</w:t>
      </w:r>
    </w:p>
    <w:p w14:paraId="414D7D50"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14. Liu S, Deng Z, Chen K, Jian S, Zhou F, Yang Y, et al. Cartilage tissue engineering: From proinflammatory and anti-inflammatory cytokines to osteoarthritis treatments (Review). Mol Med Rep. 2022;25:1–15. </w:t>
      </w:r>
    </w:p>
    <w:p w14:paraId="54CD2AC5"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15. Ruan G, Xu J, Wang K, Zheng S, Wu J, Bian F, et al. Associations between serum IL-8 and knee symptoms, joint structures, and cartilage or bone biomarkers in patients with knee osteoarthritis. Clin Rheumatol. 2019;38:3609–17. </w:t>
      </w:r>
    </w:p>
    <w:p w14:paraId="5DEEB70F"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16. Yang A, Lu Y, Xing J, Li Z, Yin X, Dou C, et al. IL-8 Enhances Therapeutic Effects of BMSCs on Bone </w:t>
      </w:r>
      <w:r w:rsidRPr="004E64EF">
        <w:rPr>
          <w:rFonts w:ascii="Times New Roman" w:hAnsi="Times New Roman" w:cs="Times New Roman"/>
          <w:noProof/>
          <w:sz w:val="20"/>
        </w:rPr>
        <w:lastRenderedPageBreak/>
        <w:t>Regeneration via CXCR2-Mediated PI3k/Akt Signaling Pathway. Cell Physiol Biochem [Internet]. 2018;48:361–70. Available from: https://doi.org/10.1159/000491742</w:t>
      </w:r>
    </w:p>
    <w:p w14:paraId="29F19F14"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17. Rauber S, Luber M, Weber S, Maul L, Soare A, Lin N, et al. Resolution of inflammation by interleukin-9-producing type 2 innate lymphoid cells. Nat Med. 2017;23:938–44. </w:t>
      </w:r>
    </w:p>
    <w:p w14:paraId="357099EF"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18. Donninelli G, Saraf-Sinik I, Mazziotti V, Capone A, Grasso MG, Battistini L, et al. Interleukin-9 regulates macrophage activation in the progressive multiple sclerosis brain. J Neuroinflammation. Journal of Neuroinflammation; 2020;17:1–14. </w:t>
      </w:r>
    </w:p>
    <w:p w14:paraId="3BCE2D3B"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19. Iwaszko M, Biały S, Bogunia-Kubik K. Significance of interleukin (IL)-4 and IL-13 in inflammatory arthritis. Cells. 2021;10. </w:t>
      </w:r>
    </w:p>
    <w:p w14:paraId="6FAA0E3E"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20. Rai V, Dilisio MF, Samadi F, Agrawal DK. Counteractive Effects of IL-33 and IL-37 on Inflammation in Osteoarthritis. Int J Environ Res Public Health. 2022;19. </w:t>
      </w:r>
    </w:p>
    <w:p w14:paraId="69F14A3F"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21. Yao Z, Chen P, Wang S, Deng G, Hu Y, Lin Q, et al. Reduced PDGF-AA in subchondral bone leads to articular cartilage degeneration after strenuous running. J Cell Physiol. 2019;234:1746–58. </w:t>
      </w:r>
    </w:p>
    <w:p w14:paraId="68BA381D"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22. Suyasa IK, Lestari AAW, Setiawan IGNY. Recombinant platelet-derived growth factor-BB and hyaluronic acid stimulates knee cartilage regeneration by forming higher chondrocytes count and lower YKL-40 level in rats model. J Clin Orthop Trauma [Internet]. Elsevier Ltd; 2020;11:S76–9. Available from: https://doi.org/10.1016/j.jcot.2019.01.010</w:t>
      </w:r>
    </w:p>
    <w:p w14:paraId="4B079996"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23. Liu S, Mi J, Liu W, Xiao S, Gao C. Blocking of checkpoint receptor PD-L1 aggravates osteoarthritis in macrophage-dependent manner in the mice model. Int J Immunopathol Pharmacol. 2019;33. </w:t>
      </w:r>
    </w:p>
    <w:p w14:paraId="7D9BDC4A"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24. Usmani S, Pest M, Kim G, Ohora S, Quin L, Beier F. Transforming growth factor alpha controls the transition from hypertrophic cartilage to bone during endochondral bone growth. Bone. 2012;51:131–41. </w:t>
      </w:r>
    </w:p>
    <w:p w14:paraId="5F5F0A0D"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25. Wang W, Rigueur D, Lyons K. TGFβ Signaling in Cartilage Development and Maintenance Weiguang. Birth Defects Res C Embryo Today. 2014;102:37–51. </w:t>
      </w:r>
    </w:p>
    <w:p w14:paraId="5C1188A3"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26. Buhrmann C, Shayan P, Aggarwal BB, Shakibaei M. Evidence that TNF-β (lymphotoxin α) can activate the inflammatory environment in human chondrocytes. Arthritis Res Ther. 2013;15:1–14. </w:t>
      </w:r>
    </w:p>
    <w:p w14:paraId="27B3AEFB"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27. Lee SW, Lee HJ, Chung WT, Choi SM, Rhyu SH, Kim DK, et al. TRAIL Induces Apoptosis of Chondrocytes and Influences the Pathogenesis of Experimentally Induced Rat Osteoarthritis. Arthritis Rheum. 2004;50:534–42. </w:t>
      </w:r>
    </w:p>
    <w:p w14:paraId="334C9DE3" w14:textId="77777777" w:rsidR="004E64EF" w:rsidRPr="004E64EF" w:rsidRDefault="004E64EF" w:rsidP="004E64EF">
      <w:pPr>
        <w:widowControl w:val="0"/>
        <w:autoSpaceDE w:val="0"/>
        <w:autoSpaceDN w:val="0"/>
        <w:adjustRightInd w:val="0"/>
        <w:spacing w:line="240" w:lineRule="atLeast"/>
        <w:rPr>
          <w:rFonts w:ascii="Times New Roman" w:hAnsi="Times New Roman" w:cs="Times New Roman"/>
          <w:noProof/>
          <w:sz w:val="20"/>
        </w:rPr>
      </w:pPr>
      <w:r w:rsidRPr="004E64EF">
        <w:rPr>
          <w:rFonts w:ascii="Times New Roman" w:hAnsi="Times New Roman" w:cs="Times New Roman"/>
          <w:noProof/>
          <w:sz w:val="20"/>
        </w:rPr>
        <w:t xml:space="preserve">28. Hamilton J, Nagao M, Levine B, Chen D, Olsen B, Im H. Targeting VEGF and its Receptors for the Treatment of Osteoarthritis and Associated Pain. J Bone Min Res. 2016;31:911–21. </w:t>
      </w:r>
    </w:p>
    <w:p w14:paraId="61FC0984" w14:textId="7B198E80" w:rsidR="00FD3339" w:rsidRPr="009F7737" w:rsidRDefault="00FD3339" w:rsidP="00FD3339">
      <w:pPr>
        <w:rPr>
          <w:rFonts w:ascii="Times New Roman" w:hAnsi="Times New Roman" w:cs="Times New Roman"/>
          <w:b/>
          <w:bCs/>
          <w:sz w:val="20"/>
          <w:szCs w:val="20"/>
        </w:rPr>
      </w:pPr>
      <w:r w:rsidRPr="009F7737">
        <w:rPr>
          <w:rFonts w:ascii="Times New Roman" w:hAnsi="Times New Roman" w:cs="Times New Roman"/>
          <w:b/>
          <w:bCs/>
          <w:sz w:val="20"/>
          <w:szCs w:val="20"/>
        </w:rPr>
        <w:fldChar w:fldCharType="end"/>
      </w:r>
    </w:p>
    <w:sectPr w:rsidR="00FD3339" w:rsidRPr="009F7737" w:rsidSect="007A2774">
      <w:footerReference w:type="default" r:id="rId11"/>
      <w:headerReference w:type="first" r:id="rId12"/>
      <w:footerReference w:type="first" r:id="rId13"/>
      <w:pgSz w:w="11906" w:h="16838" w:code="9"/>
      <w:pgMar w:top="2552" w:right="1418" w:bottom="1701" w:left="1418"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587EF" w14:textId="77777777" w:rsidR="00994B97" w:rsidRDefault="00994B97" w:rsidP="009E4B94">
      <w:pPr>
        <w:spacing w:line="240" w:lineRule="auto"/>
      </w:pPr>
      <w:r>
        <w:separator/>
      </w:r>
    </w:p>
  </w:endnote>
  <w:endnote w:type="continuationSeparator" w:id="0">
    <w:p w14:paraId="106B0311" w14:textId="77777777" w:rsidR="00994B97" w:rsidRDefault="00994B97"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altName w:val="Calibri"/>
    <w:panose1 w:val="020B0506040000020004"/>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W w:w="5000" w:type="pct"/>
      <w:tblLayout w:type="fixed"/>
      <w:tblLook w:val="0600" w:firstRow="0" w:lastRow="0" w:firstColumn="0" w:lastColumn="0" w:noHBand="1" w:noVBand="1"/>
    </w:tblPr>
    <w:tblGrid>
      <w:gridCol w:w="7234"/>
      <w:gridCol w:w="1836"/>
    </w:tblGrid>
    <w:tr w:rsidR="00FC1F1B" w14:paraId="28454E9C" w14:textId="77777777" w:rsidTr="001E46F9">
      <w:trPr>
        <w:trHeight w:val="284"/>
      </w:trPr>
      <w:tc>
        <w:tcPr>
          <w:tcW w:w="6096" w:type="dxa"/>
        </w:tcPr>
        <w:p w14:paraId="6051EE32" w14:textId="77777777" w:rsidR="00FC1F1B" w:rsidRPr="00C36BB3" w:rsidRDefault="00FC1F1B" w:rsidP="001C683B">
          <w:pPr>
            <w:pStyle w:val="Sidefod"/>
          </w:pPr>
        </w:p>
      </w:tc>
      <w:tc>
        <w:tcPr>
          <w:tcW w:w="1547" w:type="dxa"/>
        </w:tcPr>
        <w:p w14:paraId="422BE036" w14:textId="77777777" w:rsidR="00FC1F1B" w:rsidRDefault="00000000" w:rsidP="001C683B">
          <w:pPr>
            <w:jc w:val="right"/>
          </w:pPr>
          <w:sdt>
            <w:sdtPr>
              <w:rPr>
                <w:rStyle w:val="Sidetal"/>
              </w:rPr>
              <w:alias w:val="Side"/>
              <w:tag w:val="{&quot;templafy&quot;:{&quot;id&quot;:&quot;6e9ee8a8-f69c-467a-a8e8-65b8caefa092&quot;}}"/>
              <w:id w:val="2132284046"/>
            </w:sdtPr>
            <w:sdtContent>
              <w:r>
                <w:rPr>
                  <w:rStyle w:val="Sidetal"/>
                </w:rPr>
                <w:t>Page</w:t>
              </w:r>
            </w:sdtContent>
          </w:sdt>
          <w:r w:rsidR="00FC1F1B" w:rsidRPr="00094ABD">
            <w:rPr>
              <w:rStyle w:val="Sidetal"/>
            </w:rPr>
            <w:t xml:space="preserve"> </w:t>
          </w:r>
          <w:r w:rsidR="00FC1F1B" w:rsidRPr="00094ABD">
            <w:rPr>
              <w:rStyle w:val="Sidetal"/>
            </w:rPr>
            <w:fldChar w:fldCharType="begin"/>
          </w:r>
          <w:r w:rsidR="00FC1F1B" w:rsidRPr="00094ABD">
            <w:rPr>
              <w:rStyle w:val="Sidetal"/>
            </w:rPr>
            <w:instrText xml:space="preserve"> PAGE  </w:instrText>
          </w:r>
          <w:r w:rsidR="00FC1F1B" w:rsidRPr="00094ABD">
            <w:rPr>
              <w:rStyle w:val="Sidetal"/>
            </w:rPr>
            <w:fldChar w:fldCharType="separate"/>
          </w:r>
          <w:r w:rsidR="00CA09BA">
            <w:rPr>
              <w:rStyle w:val="Sidetal"/>
              <w:noProof/>
            </w:rPr>
            <w:t>2</w:t>
          </w:r>
          <w:r w:rsidR="00FC1F1B" w:rsidRPr="00094ABD">
            <w:rPr>
              <w:rStyle w:val="Sidetal"/>
            </w:rPr>
            <w:fldChar w:fldCharType="end"/>
          </w:r>
        </w:p>
      </w:tc>
    </w:tr>
  </w:tbl>
  <w:p w14:paraId="05E58C18" w14:textId="77777777" w:rsidR="003D610F" w:rsidRDefault="003D610F" w:rsidP="00CA09BA">
    <w:pPr>
      <w:pStyle w:val="Sidefod"/>
      <w:spacing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86CE" w14:textId="77777777" w:rsidR="00AA67DC" w:rsidRDefault="0067674F">
    <w:pPr>
      <w:pStyle w:val="Sidefod"/>
    </w:pPr>
    <w:bookmarkStart w:id="2" w:name="_Hlk522710225"/>
    <w:bookmarkStart w:id="3" w:name="_Hlk522710226"/>
    <w:bookmarkStart w:id="4" w:name="_Hlk523305887"/>
    <w:bookmarkStart w:id="5" w:name="_Hlk523305888"/>
    <w:r>
      <w:rPr>
        <w:noProof/>
      </w:rPr>
      <mc:AlternateContent>
        <mc:Choice Requires="wps">
          <w:drawing>
            <wp:anchor distT="0" distB="0" distL="114300" distR="114300" simplePos="0" relativeHeight="251658752" behindDoc="0" locked="0" layoutInCell="1" allowOverlap="1" wp14:anchorId="02677F9B" wp14:editId="57970B17">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58914A85"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77F9B" id="EkstraLogoTekst" o:spid="_x0000_s1026" style="position:absolute;margin-left:331.5pt;margin-top:0;width:382.7pt;height:36.85pt;z-index:2516587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58914A85" w14:textId="77777777" w:rsidR="0067674F" w:rsidRDefault="0067674F" w:rsidP="0067674F"/>
                </w:txbxContent>
              </v:textbox>
              <w10:wrap anchorx="margin" anchory="page"/>
            </v:rect>
          </w:pict>
        </mc:Fallback>
      </mc:AlternateContent>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10112" w14:textId="77777777" w:rsidR="00994B97" w:rsidRDefault="00994B97" w:rsidP="009E4B94">
      <w:pPr>
        <w:spacing w:line="240" w:lineRule="auto"/>
      </w:pPr>
      <w:r>
        <w:separator/>
      </w:r>
    </w:p>
  </w:footnote>
  <w:footnote w:type="continuationSeparator" w:id="0">
    <w:p w14:paraId="53A770DA" w14:textId="77777777" w:rsidR="00994B97" w:rsidRDefault="00994B97"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532E" w14:textId="52587957" w:rsidR="00456F78" w:rsidRPr="00B827CA" w:rsidRDefault="001B1E76" w:rsidP="00456F78">
    <w:pPr>
      <w:pStyle w:val="Sidehoved"/>
    </w:pPr>
    <w:bookmarkStart w:id="0" w:name="_Hlk523315665"/>
    <w:bookmarkStart w:id="1" w:name="_Hlk523315666"/>
    <w:r>
      <w:tab/>
    </w:r>
    <w:r>
      <w:tab/>
      <w:t>Bag</w:t>
    </w:r>
    <w:r w:rsidR="0083668F">
      <w:t>ge et al.</w:t>
    </w:r>
  </w:p>
  <w:bookmarkEnd w:id="0"/>
  <w:bookmarkEnd w:id="1"/>
  <w:p w14:paraId="49F1EA32" w14:textId="3964C4EF" w:rsidR="00AA67DC" w:rsidRPr="00456F78" w:rsidRDefault="00AA67DC" w:rsidP="00456F78">
    <w:pPr>
      <w:pStyle w:val="Sidehoved"/>
    </w:pPr>
    <w:r>
      <w:rPr>
        <w:noProof/>
      </w:rPr>
      <w:drawing>
        <wp:anchor distT="0" distB="0" distL="0" distR="0" simplePos="0" relativeHeight="251655680" behindDoc="0" locked="0" layoutInCell="1" allowOverlap="1" wp14:anchorId="527B38BD" wp14:editId="5C3C8C97">
          <wp:simplePos x="0" y="0"/>
          <wp:positionH relativeFrom="page">
            <wp:posOffset>900000</wp:posOffset>
          </wp:positionH>
          <wp:positionV relativeFrom="page">
            <wp:posOffset>432000</wp:posOffset>
          </wp:positionV>
          <wp:extent cx="1415593" cy="540000"/>
          <wp:effectExtent l="0" t="0" r="0" b="0"/>
          <wp:wrapNone/>
          <wp:docPr id="484693362" name="LogoHide" hidden="1"/>
          <wp:cNvGraphicFramePr/>
          <a:graphic xmlns:a="http://schemas.openxmlformats.org/drawingml/2006/main">
            <a:graphicData uri="http://schemas.openxmlformats.org/drawingml/2006/picture">
              <pic:pic xmlns:pic="http://schemas.openxmlformats.org/drawingml/2006/picture">
                <pic:nvPicPr>
                  <pic:cNvPr id="484693362" name="LogoHide" hidden="1"/>
                  <pic:cNvPicPr/>
                </pic:nvPicPr>
                <pic:blipFill>
                  <a:blip r:embed="rId1"/>
                  <a:srcRect/>
                  <a:stretch/>
                </pic:blipFill>
                <pic:spPr>
                  <a:xfrm>
                    <a:off x="0" y="0"/>
                    <a:ext cx="1415593" cy="540000"/>
                  </a:xfrm>
                  <a:prstGeom prst="rect">
                    <a:avLst/>
                  </a:prstGeom>
                </pic:spPr>
              </pic:pic>
            </a:graphicData>
          </a:graphic>
        </wp:anchor>
      </w:drawing>
    </w:r>
    <w:r>
      <w:rPr>
        <w:noProof/>
      </w:rPr>
      <w:drawing>
        <wp:anchor distT="0" distB="0" distL="0" distR="0" simplePos="0" relativeHeight="251656704" behindDoc="0" locked="0" layoutInCell="1" allowOverlap="1" wp14:anchorId="19EA6635" wp14:editId="505FC191">
          <wp:simplePos x="0" y="0"/>
          <wp:positionH relativeFrom="page">
            <wp:posOffset>2880000</wp:posOffset>
          </wp:positionH>
          <wp:positionV relativeFrom="page">
            <wp:posOffset>9792000</wp:posOffset>
          </wp:positionV>
          <wp:extent cx="72000" cy="72000"/>
          <wp:effectExtent l="0" t="0" r="0" b="0"/>
          <wp:wrapNone/>
          <wp:docPr id="993325424" name="ExtraLogoOne_Hide" hidden="1"/>
          <wp:cNvGraphicFramePr/>
          <a:graphic xmlns:a="http://schemas.openxmlformats.org/drawingml/2006/main">
            <a:graphicData uri="http://schemas.openxmlformats.org/drawingml/2006/picture">
              <pic:pic xmlns:pic="http://schemas.openxmlformats.org/drawingml/2006/picture">
                <pic:nvPicPr>
                  <pic:cNvPr id="993325424" name="ExtraLogoOn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7728" behindDoc="0" locked="0" layoutInCell="1" allowOverlap="1" wp14:anchorId="0491A801" wp14:editId="62E6D70C">
          <wp:simplePos x="0" y="0"/>
          <wp:positionH relativeFrom="page">
            <wp:posOffset>5796000</wp:posOffset>
          </wp:positionH>
          <wp:positionV relativeFrom="page">
            <wp:posOffset>9792000</wp:posOffset>
          </wp:positionV>
          <wp:extent cx="1575946" cy="493200"/>
          <wp:effectExtent l="0" t="0" r="5715" b="2540"/>
          <wp:wrapNone/>
          <wp:docPr id="926647221" name="ExtraLogoThree_Hide" hidden="1"/>
          <wp:cNvGraphicFramePr/>
          <a:graphic xmlns:a="http://schemas.openxmlformats.org/drawingml/2006/main">
            <a:graphicData uri="http://schemas.openxmlformats.org/drawingml/2006/picture">
              <pic:pic xmlns:pic="http://schemas.openxmlformats.org/drawingml/2006/picture">
                <pic:nvPicPr>
                  <pic:cNvPr id="926647221" name="ExtraLogoThree_Hide" hidden="1"/>
                  <pic:cNvPicPr/>
                </pic:nvPicPr>
                <pic:blipFill>
                  <a:blip r:embed="rId3"/>
                  <a:srcRect/>
                  <a:stretch/>
                </pic:blipFill>
                <pic:spPr>
                  <a:xfrm>
                    <a:off x="0" y="0"/>
                    <a:ext cx="1575946" cy="493200"/>
                  </a:xfrm>
                  <a:prstGeom prst="rect">
                    <a:avLst/>
                  </a:prstGeom>
                </pic:spPr>
              </pic:pic>
            </a:graphicData>
          </a:graphic>
        </wp:anchor>
      </w:drawing>
    </w:r>
    <w:r>
      <w:rPr>
        <w:noProof/>
      </w:rPr>
      <w:drawing>
        <wp:anchor distT="0" distB="0" distL="0" distR="0" simplePos="0" relativeHeight="251659776" behindDoc="0" locked="0" layoutInCell="1" allowOverlap="1" wp14:anchorId="4CD4D966" wp14:editId="1CA5096E">
          <wp:simplePos x="0" y="0"/>
          <wp:positionH relativeFrom="page">
            <wp:posOffset>2880000</wp:posOffset>
          </wp:positionH>
          <wp:positionV relativeFrom="page">
            <wp:posOffset>9792000</wp:posOffset>
          </wp:positionV>
          <wp:extent cx="72000" cy="72000"/>
          <wp:effectExtent l="0" t="0" r="0" b="0"/>
          <wp:wrapNone/>
          <wp:docPr id="902500872" name="ExtraLogoFour_Hide" hidden="1"/>
          <wp:cNvGraphicFramePr/>
          <a:graphic xmlns:a="http://schemas.openxmlformats.org/drawingml/2006/main">
            <a:graphicData uri="http://schemas.openxmlformats.org/drawingml/2006/picture">
              <pic:pic xmlns:pic="http://schemas.openxmlformats.org/drawingml/2006/picture">
                <pic:nvPicPr>
                  <pic:cNvPr id="902500872" name="ExtraLogoFour_Hide" hidden="1"/>
                  <pic:cNvPicPr/>
                </pic:nvPicPr>
                <pic:blipFill>
                  <a:blip r:embed="rId2"/>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BF0797"/>
    <w:multiLevelType w:val="hybridMultilevel"/>
    <w:tmpl w:val="A20ADC58"/>
    <w:lvl w:ilvl="0" w:tplc="97C87B32">
      <w:start w:val="7"/>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261555C"/>
    <w:multiLevelType w:val="hybridMultilevel"/>
    <w:tmpl w:val="D716E2D6"/>
    <w:lvl w:ilvl="0" w:tplc="8ED87E62">
      <w:start w:val="7"/>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AC9372C"/>
    <w:multiLevelType w:val="hybridMultilevel"/>
    <w:tmpl w:val="BB3C614A"/>
    <w:lvl w:ilvl="0" w:tplc="3CF2776A">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E20588C"/>
    <w:multiLevelType w:val="multilevel"/>
    <w:tmpl w:val="06B46614"/>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7" w15:restartNumberingAfterBreak="0">
    <w:nsid w:val="7FB354B8"/>
    <w:multiLevelType w:val="multilevel"/>
    <w:tmpl w:val="F120D722"/>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7"/>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6"/>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6"/>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5"/>
  </w:num>
  <w:num w:numId="15" w16cid:durableId="322706912">
    <w:abstractNumId w:val="12"/>
  </w:num>
  <w:num w:numId="16" w16cid:durableId="922108117">
    <w:abstractNumId w:val="13"/>
  </w:num>
  <w:num w:numId="17" w16cid:durableId="1883517870">
    <w:abstractNumId w:val="15"/>
  </w:num>
  <w:num w:numId="18" w16cid:durableId="2146657006">
    <w:abstractNumId w:val="12"/>
  </w:num>
  <w:num w:numId="19" w16cid:durableId="43532282">
    <w:abstractNumId w:val="17"/>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6"/>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7"/>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6"/>
  </w:num>
  <w:num w:numId="35" w16cid:durableId="1461343158">
    <w:abstractNumId w:val="3"/>
  </w:num>
  <w:num w:numId="36" w16cid:durableId="1662923427">
    <w:abstractNumId w:val="2"/>
  </w:num>
  <w:num w:numId="37" w16cid:durableId="22098602">
    <w:abstractNumId w:val="1"/>
  </w:num>
  <w:num w:numId="38" w16cid:durableId="816609129">
    <w:abstractNumId w:val="11"/>
  </w:num>
  <w:num w:numId="39" w16cid:durableId="702947558">
    <w:abstractNumId w:val="10"/>
  </w:num>
  <w:num w:numId="40" w16cid:durableId="8223111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B14"/>
    <w:rsid w:val="0000253B"/>
    <w:rsid w:val="00004865"/>
    <w:rsid w:val="00004BDF"/>
    <w:rsid w:val="00004F6C"/>
    <w:rsid w:val="000160D0"/>
    <w:rsid w:val="000228A2"/>
    <w:rsid w:val="00022F0E"/>
    <w:rsid w:val="00026736"/>
    <w:rsid w:val="00030DE0"/>
    <w:rsid w:val="0003565E"/>
    <w:rsid w:val="00035C35"/>
    <w:rsid w:val="00050B19"/>
    <w:rsid w:val="00053D76"/>
    <w:rsid w:val="0005425B"/>
    <w:rsid w:val="000719E5"/>
    <w:rsid w:val="00075210"/>
    <w:rsid w:val="00075D55"/>
    <w:rsid w:val="0009128C"/>
    <w:rsid w:val="00094ABD"/>
    <w:rsid w:val="00097047"/>
    <w:rsid w:val="000A266D"/>
    <w:rsid w:val="000B2B18"/>
    <w:rsid w:val="000B2D78"/>
    <w:rsid w:val="000B6314"/>
    <w:rsid w:val="000B69C5"/>
    <w:rsid w:val="000C0718"/>
    <w:rsid w:val="000C26D6"/>
    <w:rsid w:val="000C2838"/>
    <w:rsid w:val="000C2BD1"/>
    <w:rsid w:val="000C33D2"/>
    <w:rsid w:val="000C747C"/>
    <w:rsid w:val="000C74C8"/>
    <w:rsid w:val="000D0963"/>
    <w:rsid w:val="000D3C50"/>
    <w:rsid w:val="000D65ED"/>
    <w:rsid w:val="000D7339"/>
    <w:rsid w:val="000F63A6"/>
    <w:rsid w:val="0010106A"/>
    <w:rsid w:val="0010449A"/>
    <w:rsid w:val="001220C2"/>
    <w:rsid w:val="00122270"/>
    <w:rsid w:val="00122DEF"/>
    <w:rsid w:val="0013244F"/>
    <w:rsid w:val="0013718D"/>
    <w:rsid w:val="00143C42"/>
    <w:rsid w:val="00152CA7"/>
    <w:rsid w:val="00160A4E"/>
    <w:rsid w:val="00170EA6"/>
    <w:rsid w:val="0017709B"/>
    <w:rsid w:val="00180A46"/>
    <w:rsid w:val="00182651"/>
    <w:rsid w:val="00185822"/>
    <w:rsid w:val="0018722D"/>
    <w:rsid w:val="001A4105"/>
    <w:rsid w:val="001A6950"/>
    <w:rsid w:val="001B080A"/>
    <w:rsid w:val="001B1E76"/>
    <w:rsid w:val="001C26AA"/>
    <w:rsid w:val="001C395D"/>
    <w:rsid w:val="001C423A"/>
    <w:rsid w:val="001C683B"/>
    <w:rsid w:val="001C7730"/>
    <w:rsid w:val="001D436A"/>
    <w:rsid w:val="001D653D"/>
    <w:rsid w:val="001E2DAC"/>
    <w:rsid w:val="001E3577"/>
    <w:rsid w:val="001E46F9"/>
    <w:rsid w:val="001F5824"/>
    <w:rsid w:val="001F6E3A"/>
    <w:rsid w:val="00201308"/>
    <w:rsid w:val="002077FE"/>
    <w:rsid w:val="00207B77"/>
    <w:rsid w:val="0023457D"/>
    <w:rsid w:val="002371ED"/>
    <w:rsid w:val="00242013"/>
    <w:rsid w:val="00244D70"/>
    <w:rsid w:val="00257399"/>
    <w:rsid w:val="00276E82"/>
    <w:rsid w:val="002808F1"/>
    <w:rsid w:val="00281191"/>
    <w:rsid w:val="002838A3"/>
    <w:rsid w:val="002959FB"/>
    <w:rsid w:val="0029621A"/>
    <w:rsid w:val="002A1E49"/>
    <w:rsid w:val="002A545A"/>
    <w:rsid w:val="002A6DBD"/>
    <w:rsid w:val="002B2104"/>
    <w:rsid w:val="002C2069"/>
    <w:rsid w:val="002D268C"/>
    <w:rsid w:val="002D4D2A"/>
    <w:rsid w:val="002D4FF0"/>
    <w:rsid w:val="002D5562"/>
    <w:rsid w:val="002D59D2"/>
    <w:rsid w:val="002D6CB8"/>
    <w:rsid w:val="002E1002"/>
    <w:rsid w:val="002E27B6"/>
    <w:rsid w:val="002E74A4"/>
    <w:rsid w:val="002F60E3"/>
    <w:rsid w:val="002F653D"/>
    <w:rsid w:val="002F780F"/>
    <w:rsid w:val="0030093C"/>
    <w:rsid w:val="0030770B"/>
    <w:rsid w:val="00313FB2"/>
    <w:rsid w:val="00314CA9"/>
    <w:rsid w:val="00316CBC"/>
    <w:rsid w:val="00331DC6"/>
    <w:rsid w:val="003361DB"/>
    <w:rsid w:val="00344B2B"/>
    <w:rsid w:val="003549CA"/>
    <w:rsid w:val="003614ED"/>
    <w:rsid w:val="00361571"/>
    <w:rsid w:val="0036202C"/>
    <w:rsid w:val="00363523"/>
    <w:rsid w:val="00373549"/>
    <w:rsid w:val="00376728"/>
    <w:rsid w:val="0037699C"/>
    <w:rsid w:val="00384CDD"/>
    <w:rsid w:val="0039399D"/>
    <w:rsid w:val="003A4EAB"/>
    <w:rsid w:val="003A6506"/>
    <w:rsid w:val="003A76C6"/>
    <w:rsid w:val="003B19DD"/>
    <w:rsid w:val="003B35B0"/>
    <w:rsid w:val="003B4AED"/>
    <w:rsid w:val="003B6671"/>
    <w:rsid w:val="003C1ABA"/>
    <w:rsid w:val="003C4F9F"/>
    <w:rsid w:val="003C60F1"/>
    <w:rsid w:val="003D12B8"/>
    <w:rsid w:val="003D2FE1"/>
    <w:rsid w:val="003D607E"/>
    <w:rsid w:val="003D610F"/>
    <w:rsid w:val="003D72E1"/>
    <w:rsid w:val="003E3D7E"/>
    <w:rsid w:val="003E6D00"/>
    <w:rsid w:val="003E6FC0"/>
    <w:rsid w:val="003F11C9"/>
    <w:rsid w:val="003F2CE1"/>
    <w:rsid w:val="003F74C9"/>
    <w:rsid w:val="0040253B"/>
    <w:rsid w:val="00410F22"/>
    <w:rsid w:val="004137D0"/>
    <w:rsid w:val="0041584B"/>
    <w:rsid w:val="00421B21"/>
    <w:rsid w:val="00424709"/>
    <w:rsid w:val="00424AD9"/>
    <w:rsid w:val="004259B6"/>
    <w:rsid w:val="0043594E"/>
    <w:rsid w:val="00442986"/>
    <w:rsid w:val="00444EE4"/>
    <w:rsid w:val="0044514D"/>
    <w:rsid w:val="00447DC3"/>
    <w:rsid w:val="00450D54"/>
    <w:rsid w:val="00451517"/>
    <w:rsid w:val="00456F78"/>
    <w:rsid w:val="00472A21"/>
    <w:rsid w:val="00482FA7"/>
    <w:rsid w:val="004939CF"/>
    <w:rsid w:val="00496EA5"/>
    <w:rsid w:val="004A6192"/>
    <w:rsid w:val="004C01B2"/>
    <w:rsid w:val="004C6AC3"/>
    <w:rsid w:val="004C70C1"/>
    <w:rsid w:val="004D2332"/>
    <w:rsid w:val="004D35CB"/>
    <w:rsid w:val="004E1D2E"/>
    <w:rsid w:val="004E64EF"/>
    <w:rsid w:val="004F00A5"/>
    <w:rsid w:val="004F03E3"/>
    <w:rsid w:val="004F14E6"/>
    <w:rsid w:val="004F278B"/>
    <w:rsid w:val="004F4705"/>
    <w:rsid w:val="00500E8C"/>
    <w:rsid w:val="00505068"/>
    <w:rsid w:val="00510793"/>
    <w:rsid w:val="0051610D"/>
    <w:rsid w:val="005178A7"/>
    <w:rsid w:val="00521051"/>
    <w:rsid w:val="00521999"/>
    <w:rsid w:val="005412DB"/>
    <w:rsid w:val="00543EF2"/>
    <w:rsid w:val="00566DE2"/>
    <w:rsid w:val="005808AC"/>
    <w:rsid w:val="00582AE7"/>
    <w:rsid w:val="00593D85"/>
    <w:rsid w:val="0059497E"/>
    <w:rsid w:val="00596E57"/>
    <w:rsid w:val="005A0075"/>
    <w:rsid w:val="005A28D4"/>
    <w:rsid w:val="005A7E0B"/>
    <w:rsid w:val="005B2B06"/>
    <w:rsid w:val="005B2BCF"/>
    <w:rsid w:val="005B5126"/>
    <w:rsid w:val="005B5C18"/>
    <w:rsid w:val="005C37E1"/>
    <w:rsid w:val="005C5F97"/>
    <w:rsid w:val="005D01DE"/>
    <w:rsid w:val="005D1A0B"/>
    <w:rsid w:val="005D20D8"/>
    <w:rsid w:val="005F1580"/>
    <w:rsid w:val="005F3ED8"/>
    <w:rsid w:val="005F404F"/>
    <w:rsid w:val="005F6B57"/>
    <w:rsid w:val="00620547"/>
    <w:rsid w:val="006263C1"/>
    <w:rsid w:val="00650203"/>
    <w:rsid w:val="00652248"/>
    <w:rsid w:val="00653BD2"/>
    <w:rsid w:val="00655B49"/>
    <w:rsid w:val="006566FE"/>
    <w:rsid w:val="006577AE"/>
    <w:rsid w:val="00664247"/>
    <w:rsid w:val="00676463"/>
    <w:rsid w:val="0067674F"/>
    <w:rsid w:val="00676A8F"/>
    <w:rsid w:val="006806A4"/>
    <w:rsid w:val="00681D83"/>
    <w:rsid w:val="0068204A"/>
    <w:rsid w:val="006900C2"/>
    <w:rsid w:val="006B30A9"/>
    <w:rsid w:val="006C271A"/>
    <w:rsid w:val="006D5A6F"/>
    <w:rsid w:val="006F28ED"/>
    <w:rsid w:val="006F43DF"/>
    <w:rsid w:val="006F5A00"/>
    <w:rsid w:val="0070267E"/>
    <w:rsid w:val="00706DF3"/>
    <w:rsid w:val="00706E32"/>
    <w:rsid w:val="00735C56"/>
    <w:rsid w:val="00740684"/>
    <w:rsid w:val="00741C6D"/>
    <w:rsid w:val="00743CD0"/>
    <w:rsid w:val="007546AF"/>
    <w:rsid w:val="00757310"/>
    <w:rsid w:val="00761B95"/>
    <w:rsid w:val="00763C5B"/>
    <w:rsid w:val="0076496D"/>
    <w:rsid w:val="00765934"/>
    <w:rsid w:val="00767CA5"/>
    <w:rsid w:val="00775501"/>
    <w:rsid w:val="00777F96"/>
    <w:rsid w:val="00784D8B"/>
    <w:rsid w:val="007A2774"/>
    <w:rsid w:val="007A3668"/>
    <w:rsid w:val="007A458F"/>
    <w:rsid w:val="007A48BF"/>
    <w:rsid w:val="007B0AF6"/>
    <w:rsid w:val="007B259C"/>
    <w:rsid w:val="007B6479"/>
    <w:rsid w:val="007C4B14"/>
    <w:rsid w:val="007C6FA3"/>
    <w:rsid w:val="007D2A34"/>
    <w:rsid w:val="007D5E73"/>
    <w:rsid w:val="007E373C"/>
    <w:rsid w:val="007F4E18"/>
    <w:rsid w:val="0080341D"/>
    <w:rsid w:val="008138F4"/>
    <w:rsid w:val="00823EC4"/>
    <w:rsid w:val="00825FB8"/>
    <w:rsid w:val="00830329"/>
    <w:rsid w:val="00836161"/>
    <w:rsid w:val="0083626D"/>
    <w:rsid w:val="0083668F"/>
    <w:rsid w:val="00845F5C"/>
    <w:rsid w:val="00854350"/>
    <w:rsid w:val="00857176"/>
    <w:rsid w:val="0086095F"/>
    <w:rsid w:val="00874FA1"/>
    <w:rsid w:val="00875F4A"/>
    <w:rsid w:val="008809A2"/>
    <w:rsid w:val="00890260"/>
    <w:rsid w:val="00892D08"/>
    <w:rsid w:val="00893791"/>
    <w:rsid w:val="008972EE"/>
    <w:rsid w:val="008A731D"/>
    <w:rsid w:val="008D018A"/>
    <w:rsid w:val="008D0D61"/>
    <w:rsid w:val="008D23D7"/>
    <w:rsid w:val="008D584D"/>
    <w:rsid w:val="008D5C7A"/>
    <w:rsid w:val="008E2A94"/>
    <w:rsid w:val="008E5A6D"/>
    <w:rsid w:val="008F32DF"/>
    <w:rsid w:val="008F338D"/>
    <w:rsid w:val="008F4D20"/>
    <w:rsid w:val="00907B76"/>
    <w:rsid w:val="009177D5"/>
    <w:rsid w:val="00917BCB"/>
    <w:rsid w:val="0092635F"/>
    <w:rsid w:val="00931771"/>
    <w:rsid w:val="00944943"/>
    <w:rsid w:val="0094757D"/>
    <w:rsid w:val="00951B25"/>
    <w:rsid w:val="00952FAD"/>
    <w:rsid w:val="00953486"/>
    <w:rsid w:val="009567EC"/>
    <w:rsid w:val="00966F54"/>
    <w:rsid w:val="00967651"/>
    <w:rsid w:val="00970F68"/>
    <w:rsid w:val="009737E4"/>
    <w:rsid w:val="00983B74"/>
    <w:rsid w:val="00985FE7"/>
    <w:rsid w:val="00990263"/>
    <w:rsid w:val="00994B97"/>
    <w:rsid w:val="00997A95"/>
    <w:rsid w:val="009A321D"/>
    <w:rsid w:val="009A4CCC"/>
    <w:rsid w:val="009A5A4F"/>
    <w:rsid w:val="009B0A3D"/>
    <w:rsid w:val="009B7982"/>
    <w:rsid w:val="009D095A"/>
    <w:rsid w:val="009D0B60"/>
    <w:rsid w:val="009D1E80"/>
    <w:rsid w:val="009E4B94"/>
    <w:rsid w:val="009E6027"/>
    <w:rsid w:val="009E6376"/>
    <w:rsid w:val="009F29B9"/>
    <w:rsid w:val="009F4297"/>
    <w:rsid w:val="009F7737"/>
    <w:rsid w:val="00A01890"/>
    <w:rsid w:val="00A10CCF"/>
    <w:rsid w:val="00A21315"/>
    <w:rsid w:val="00A3189C"/>
    <w:rsid w:val="00A34ACF"/>
    <w:rsid w:val="00A36A42"/>
    <w:rsid w:val="00A43E2A"/>
    <w:rsid w:val="00A451EF"/>
    <w:rsid w:val="00A55865"/>
    <w:rsid w:val="00A5675A"/>
    <w:rsid w:val="00A6134A"/>
    <w:rsid w:val="00A63942"/>
    <w:rsid w:val="00A71E7B"/>
    <w:rsid w:val="00A7379D"/>
    <w:rsid w:val="00A77DEE"/>
    <w:rsid w:val="00A81CDE"/>
    <w:rsid w:val="00A91DA5"/>
    <w:rsid w:val="00AA67DC"/>
    <w:rsid w:val="00AB097E"/>
    <w:rsid w:val="00AB4582"/>
    <w:rsid w:val="00AC2729"/>
    <w:rsid w:val="00AD4E1D"/>
    <w:rsid w:val="00AE3CF4"/>
    <w:rsid w:val="00AF1D02"/>
    <w:rsid w:val="00AF35B8"/>
    <w:rsid w:val="00B00D92"/>
    <w:rsid w:val="00B0422A"/>
    <w:rsid w:val="00B06465"/>
    <w:rsid w:val="00B1588A"/>
    <w:rsid w:val="00B21736"/>
    <w:rsid w:val="00B22969"/>
    <w:rsid w:val="00B24E70"/>
    <w:rsid w:val="00B271A2"/>
    <w:rsid w:val="00B27C8B"/>
    <w:rsid w:val="00B41CAE"/>
    <w:rsid w:val="00B557ED"/>
    <w:rsid w:val="00B653A8"/>
    <w:rsid w:val="00B803B4"/>
    <w:rsid w:val="00B80C2B"/>
    <w:rsid w:val="00B827CA"/>
    <w:rsid w:val="00B91DEB"/>
    <w:rsid w:val="00B9483E"/>
    <w:rsid w:val="00BA58D4"/>
    <w:rsid w:val="00BA671D"/>
    <w:rsid w:val="00BB321D"/>
    <w:rsid w:val="00BB4255"/>
    <w:rsid w:val="00BC0D26"/>
    <w:rsid w:val="00BC5249"/>
    <w:rsid w:val="00BC7117"/>
    <w:rsid w:val="00BD637C"/>
    <w:rsid w:val="00BE6E47"/>
    <w:rsid w:val="00BF430F"/>
    <w:rsid w:val="00C211F9"/>
    <w:rsid w:val="00C23141"/>
    <w:rsid w:val="00C236C8"/>
    <w:rsid w:val="00C23B63"/>
    <w:rsid w:val="00C26C3C"/>
    <w:rsid w:val="00C317C2"/>
    <w:rsid w:val="00C353FB"/>
    <w:rsid w:val="00C357EF"/>
    <w:rsid w:val="00C36BB3"/>
    <w:rsid w:val="00C372A5"/>
    <w:rsid w:val="00C450BD"/>
    <w:rsid w:val="00C46D7C"/>
    <w:rsid w:val="00C47630"/>
    <w:rsid w:val="00C53E7C"/>
    <w:rsid w:val="00C60AB8"/>
    <w:rsid w:val="00C65401"/>
    <w:rsid w:val="00C66E70"/>
    <w:rsid w:val="00C67AA2"/>
    <w:rsid w:val="00C77C4F"/>
    <w:rsid w:val="00C823E5"/>
    <w:rsid w:val="00C95A13"/>
    <w:rsid w:val="00C963C8"/>
    <w:rsid w:val="00CA09BA"/>
    <w:rsid w:val="00CA0A7D"/>
    <w:rsid w:val="00CB0048"/>
    <w:rsid w:val="00CB32AD"/>
    <w:rsid w:val="00CB43EC"/>
    <w:rsid w:val="00CC516F"/>
    <w:rsid w:val="00CC6322"/>
    <w:rsid w:val="00CD39EE"/>
    <w:rsid w:val="00CD541E"/>
    <w:rsid w:val="00CD7DB3"/>
    <w:rsid w:val="00CE6D9A"/>
    <w:rsid w:val="00CF05D4"/>
    <w:rsid w:val="00CF1F65"/>
    <w:rsid w:val="00CF4C50"/>
    <w:rsid w:val="00D02F0A"/>
    <w:rsid w:val="00D11BDF"/>
    <w:rsid w:val="00D1329F"/>
    <w:rsid w:val="00D13FAC"/>
    <w:rsid w:val="00D21557"/>
    <w:rsid w:val="00D27D0E"/>
    <w:rsid w:val="00D317A7"/>
    <w:rsid w:val="00D3752F"/>
    <w:rsid w:val="00D41FB4"/>
    <w:rsid w:val="00D431AA"/>
    <w:rsid w:val="00D451E7"/>
    <w:rsid w:val="00D45217"/>
    <w:rsid w:val="00D50DCA"/>
    <w:rsid w:val="00D52EAC"/>
    <w:rsid w:val="00D53670"/>
    <w:rsid w:val="00D7003B"/>
    <w:rsid w:val="00D71F2B"/>
    <w:rsid w:val="00D80D8F"/>
    <w:rsid w:val="00D8117E"/>
    <w:rsid w:val="00D92522"/>
    <w:rsid w:val="00D9274F"/>
    <w:rsid w:val="00D96141"/>
    <w:rsid w:val="00D9620F"/>
    <w:rsid w:val="00DA225E"/>
    <w:rsid w:val="00DA4202"/>
    <w:rsid w:val="00DA51BC"/>
    <w:rsid w:val="00DB31AF"/>
    <w:rsid w:val="00DB6705"/>
    <w:rsid w:val="00DC573A"/>
    <w:rsid w:val="00DC61BD"/>
    <w:rsid w:val="00DD1936"/>
    <w:rsid w:val="00DE2497"/>
    <w:rsid w:val="00DE2B28"/>
    <w:rsid w:val="00DE6831"/>
    <w:rsid w:val="00DF0FCD"/>
    <w:rsid w:val="00E070EB"/>
    <w:rsid w:val="00E146D0"/>
    <w:rsid w:val="00E321C8"/>
    <w:rsid w:val="00E3443E"/>
    <w:rsid w:val="00E53EE9"/>
    <w:rsid w:val="00E57A1C"/>
    <w:rsid w:val="00E6091D"/>
    <w:rsid w:val="00E61D8F"/>
    <w:rsid w:val="00E63CAE"/>
    <w:rsid w:val="00E66451"/>
    <w:rsid w:val="00E67152"/>
    <w:rsid w:val="00E7758C"/>
    <w:rsid w:val="00E81E8C"/>
    <w:rsid w:val="00E84206"/>
    <w:rsid w:val="00E95714"/>
    <w:rsid w:val="00EA40C1"/>
    <w:rsid w:val="00EA7CC0"/>
    <w:rsid w:val="00EC0E8C"/>
    <w:rsid w:val="00EC16C6"/>
    <w:rsid w:val="00ED169B"/>
    <w:rsid w:val="00ED2236"/>
    <w:rsid w:val="00ED3B17"/>
    <w:rsid w:val="00ED5338"/>
    <w:rsid w:val="00ED5DA7"/>
    <w:rsid w:val="00EE7625"/>
    <w:rsid w:val="00EF0B35"/>
    <w:rsid w:val="00EF17A2"/>
    <w:rsid w:val="00EF5F5A"/>
    <w:rsid w:val="00EF7304"/>
    <w:rsid w:val="00F04788"/>
    <w:rsid w:val="00F070C8"/>
    <w:rsid w:val="00F173E4"/>
    <w:rsid w:val="00F233E7"/>
    <w:rsid w:val="00F353AE"/>
    <w:rsid w:val="00F466E4"/>
    <w:rsid w:val="00F4689F"/>
    <w:rsid w:val="00F4702A"/>
    <w:rsid w:val="00F50257"/>
    <w:rsid w:val="00F60678"/>
    <w:rsid w:val="00F710A5"/>
    <w:rsid w:val="00F73354"/>
    <w:rsid w:val="00F80260"/>
    <w:rsid w:val="00F822CA"/>
    <w:rsid w:val="00F87517"/>
    <w:rsid w:val="00F97603"/>
    <w:rsid w:val="00F97B05"/>
    <w:rsid w:val="00FC1F1B"/>
    <w:rsid w:val="00FC763A"/>
    <w:rsid w:val="00FD3339"/>
    <w:rsid w:val="00FD5793"/>
    <w:rsid w:val="00FE2C9C"/>
    <w:rsid w:val="00FE5338"/>
    <w:rsid w:val="00FE71C8"/>
    <w:rsid w:val="00FE73B9"/>
    <w:rsid w:val="00FF5FD8"/>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366B"/>
  <w15:docId w15:val="{69770980-E5AB-45FA-BE18-6D9EE1DD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95D"/>
    <w:rPr>
      <w:lang w:val="en-GB"/>
    </w:rPr>
  </w:style>
  <w:style w:type="paragraph" w:styleId="Overskrift1">
    <w:name w:val="heading 1"/>
    <w:basedOn w:val="Normal"/>
    <w:next w:val="Normal"/>
    <w:link w:val="Overskrift1Tegn"/>
    <w:uiPriority w:val="1"/>
    <w:qFormat/>
    <w:rsid w:val="00BC5249"/>
    <w:pPr>
      <w:keepNext/>
      <w:keepLines/>
      <w:spacing w:after="480" w:line="480" w:lineRule="atLeast"/>
      <w:contextualSpacing/>
      <w:outlineLvl w:val="0"/>
    </w:pPr>
    <w:rPr>
      <w:rFonts w:eastAsiaTheme="majorEastAsia" w:cstheme="majorBidi"/>
      <w:bCs/>
      <w:sz w:val="48"/>
      <w:szCs w:val="28"/>
    </w:rPr>
  </w:style>
  <w:style w:type="paragraph" w:styleId="Overskrift2">
    <w:name w:val="heading 2"/>
    <w:basedOn w:val="Normal"/>
    <w:next w:val="Normal"/>
    <w:link w:val="Overskrift2Tegn"/>
    <w:uiPriority w:val="1"/>
    <w:qFormat/>
    <w:rsid w:val="00BC5249"/>
    <w:pPr>
      <w:keepNext/>
      <w:keepLines/>
      <w:spacing w:before="480" w:after="240" w:line="420" w:lineRule="atLeast"/>
      <w:contextualSpacing/>
      <w:outlineLvl w:val="1"/>
    </w:pPr>
    <w:rPr>
      <w:rFonts w:eastAsiaTheme="majorEastAsia" w:cstheme="majorBidi"/>
      <w:b/>
      <w:bCs/>
      <w:sz w:val="36"/>
      <w:szCs w:val="26"/>
    </w:rPr>
  </w:style>
  <w:style w:type="paragraph" w:styleId="Overskrift3">
    <w:name w:val="heading 3"/>
    <w:basedOn w:val="Normal"/>
    <w:next w:val="Normal"/>
    <w:link w:val="Overskrift3Tegn"/>
    <w:uiPriority w:val="1"/>
    <w:qFormat/>
    <w:rsid w:val="00BC5249"/>
    <w:pPr>
      <w:keepNext/>
      <w:keepLines/>
      <w:spacing w:before="280" w:after="0"/>
      <w:contextualSpacing/>
      <w:outlineLvl w:val="2"/>
    </w:pPr>
    <w:rPr>
      <w:rFonts w:eastAsiaTheme="majorEastAsia" w:cstheme="majorBidi"/>
      <w:b/>
      <w:bCs/>
    </w:rPr>
  </w:style>
  <w:style w:type="paragraph" w:styleId="Overskrift4">
    <w:name w:val="heading 4"/>
    <w:basedOn w:val="Normal"/>
    <w:next w:val="Normal"/>
    <w:link w:val="Overskrift4Tegn"/>
    <w:uiPriority w:val="1"/>
    <w:semiHidden/>
    <w:rsid w:val="00BC5249"/>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BC5249"/>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BC5249"/>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BC5249"/>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BC5249"/>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BC5249"/>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BC5249"/>
    <w:pPr>
      <w:tabs>
        <w:tab w:val="center" w:pos="4819"/>
        <w:tab w:val="right" w:pos="9638"/>
      </w:tabs>
      <w:spacing w:after="0" w:line="240" w:lineRule="atLeast"/>
    </w:pPr>
    <w:rPr>
      <w:sz w:val="16"/>
    </w:rPr>
  </w:style>
  <w:style w:type="character" w:customStyle="1" w:styleId="SidehovedTegn">
    <w:name w:val="Sidehoved Tegn"/>
    <w:basedOn w:val="Standardskrifttypeiafsnit"/>
    <w:link w:val="Sidehoved"/>
    <w:uiPriority w:val="99"/>
    <w:semiHidden/>
    <w:rsid w:val="00BC5249"/>
    <w:rPr>
      <w:sz w:val="16"/>
      <w:lang w:val="en-GB"/>
    </w:rPr>
  </w:style>
  <w:style w:type="paragraph" w:styleId="Sidefod">
    <w:name w:val="footer"/>
    <w:basedOn w:val="Normal"/>
    <w:link w:val="SidefodTegn"/>
    <w:uiPriority w:val="99"/>
    <w:semiHidden/>
    <w:rsid w:val="00BC5249"/>
    <w:pPr>
      <w:tabs>
        <w:tab w:val="center" w:pos="4819"/>
        <w:tab w:val="right" w:pos="9638"/>
      </w:tabs>
      <w:spacing w:after="0" w:line="240" w:lineRule="atLeast"/>
    </w:pPr>
    <w:rPr>
      <w:sz w:val="16"/>
    </w:rPr>
  </w:style>
  <w:style w:type="character" w:customStyle="1" w:styleId="SidefodTegn">
    <w:name w:val="Sidefod Tegn"/>
    <w:basedOn w:val="Standardskrifttypeiafsnit"/>
    <w:link w:val="Sidefod"/>
    <w:uiPriority w:val="99"/>
    <w:semiHidden/>
    <w:rsid w:val="00BC5249"/>
    <w:rPr>
      <w:sz w:val="16"/>
      <w:lang w:val="en-GB"/>
    </w:rPr>
  </w:style>
  <w:style w:type="character" w:customStyle="1" w:styleId="Overskrift1Tegn">
    <w:name w:val="Overskrift 1 Tegn"/>
    <w:basedOn w:val="Standardskrifttypeiafsnit"/>
    <w:link w:val="Overskrift1"/>
    <w:uiPriority w:val="1"/>
    <w:rsid w:val="00BC5249"/>
    <w:rPr>
      <w:rFonts w:eastAsiaTheme="majorEastAsia" w:cstheme="majorBidi"/>
      <w:bCs/>
      <w:sz w:val="48"/>
      <w:szCs w:val="28"/>
      <w:lang w:val="en-GB"/>
    </w:rPr>
  </w:style>
  <w:style w:type="character" w:customStyle="1" w:styleId="Overskrift2Tegn">
    <w:name w:val="Overskrift 2 Tegn"/>
    <w:basedOn w:val="Standardskrifttypeiafsnit"/>
    <w:link w:val="Overskrift2"/>
    <w:uiPriority w:val="1"/>
    <w:rsid w:val="00BC5249"/>
    <w:rPr>
      <w:rFonts w:eastAsiaTheme="majorEastAsia" w:cstheme="majorBidi"/>
      <w:b/>
      <w:bCs/>
      <w:sz w:val="36"/>
      <w:szCs w:val="26"/>
      <w:lang w:val="en-GB"/>
    </w:rPr>
  </w:style>
  <w:style w:type="character" w:customStyle="1" w:styleId="Overskrift3Tegn">
    <w:name w:val="Overskrift 3 Tegn"/>
    <w:basedOn w:val="Standardskrifttypeiafsnit"/>
    <w:link w:val="Overskrift3"/>
    <w:uiPriority w:val="1"/>
    <w:rsid w:val="00BC5249"/>
    <w:rPr>
      <w:rFonts w:eastAsiaTheme="majorEastAsia" w:cstheme="majorBidi"/>
      <w:b/>
      <w:bCs/>
      <w:lang w:val="en-GB"/>
    </w:rPr>
  </w:style>
  <w:style w:type="character" w:customStyle="1" w:styleId="Overskrift4Tegn">
    <w:name w:val="Overskrift 4 Tegn"/>
    <w:basedOn w:val="Standardskrifttypeiafsnit"/>
    <w:link w:val="Overskrift4"/>
    <w:uiPriority w:val="1"/>
    <w:semiHidden/>
    <w:rsid w:val="00BC5249"/>
    <w:rPr>
      <w:rFonts w:eastAsiaTheme="majorEastAsia" w:cstheme="majorBidi"/>
      <w:b/>
      <w:bCs/>
      <w:iCs/>
      <w:lang w:val="en-GB"/>
    </w:rPr>
  </w:style>
  <w:style w:type="character" w:customStyle="1" w:styleId="Overskrift5Tegn">
    <w:name w:val="Overskrift 5 Tegn"/>
    <w:basedOn w:val="Standardskrifttypeiafsnit"/>
    <w:link w:val="Overskrift5"/>
    <w:uiPriority w:val="1"/>
    <w:semiHidden/>
    <w:rsid w:val="00BC5249"/>
    <w:rPr>
      <w:rFonts w:eastAsiaTheme="majorEastAsia" w:cstheme="majorBidi"/>
      <w:b/>
      <w:lang w:val="en-GB"/>
    </w:rPr>
  </w:style>
  <w:style w:type="character" w:customStyle="1" w:styleId="Overskrift6Tegn">
    <w:name w:val="Overskrift 6 Tegn"/>
    <w:basedOn w:val="Standardskrifttypeiafsnit"/>
    <w:link w:val="Overskrift6"/>
    <w:uiPriority w:val="1"/>
    <w:semiHidden/>
    <w:rsid w:val="00BC5249"/>
    <w:rPr>
      <w:rFonts w:eastAsiaTheme="majorEastAsia" w:cstheme="majorBidi"/>
      <w:b/>
      <w:iCs/>
      <w:lang w:val="en-GB"/>
    </w:rPr>
  </w:style>
  <w:style w:type="character" w:customStyle="1" w:styleId="Overskrift7Tegn">
    <w:name w:val="Overskrift 7 Tegn"/>
    <w:basedOn w:val="Standardskrifttypeiafsnit"/>
    <w:link w:val="Overskrift7"/>
    <w:uiPriority w:val="1"/>
    <w:semiHidden/>
    <w:rsid w:val="00BC5249"/>
    <w:rPr>
      <w:rFonts w:eastAsiaTheme="majorEastAsia" w:cstheme="majorBidi"/>
      <w:b/>
      <w:iCs/>
      <w:lang w:val="en-GB"/>
    </w:rPr>
  </w:style>
  <w:style w:type="character" w:customStyle="1" w:styleId="Overskrift8Tegn">
    <w:name w:val="Overskrift 8 Tegn"/>
    <w:basedOn w:val="Standardskrifttypeiafsnit"/>
    <w:link w:val="Overskrift8"/>
    <w:uiPriority w:val="1"/>
    <w:semiHidden/>
    <w:rsid w:val="00BC5249"/>
    <w:rPr>
      <w:rFonts w:eastAsiaTheme="majorEastAsia" w:cstheme="majorBidi"/>
      <w:b/>
      <w:szCs w:val="20"/>
      <w:lang w:val="en-GB"/>
    </w:rPr>
  </w:style>
  <w:style w:type="character" w:customStyle="1" w:styleId="Overskrift9Tegn">
    <w:name w:val="Overskrift 9 Tegn"/>
    <w:basedOn w:val="Standardskrifttypeiafsnit"/>
    <w:link w:val="Overskrift9"/>
    <w:uiPriority w:val="1"/>
    <w:semiHidden/>
    <w:rsid w:val="00BC5249"/>
    <w:rPr>
      <w:rFonts w:eastAsiaTheme="majorEastAsia" w:cstheme="majorBidi"/>
      <w:b/>
      <w:iCs/>
      <w:szCs w:val="20"/>
      <w:lang w:val="en-GB"/>
    </w:rPr>
  </w:style>
  <w:style w:type="paragraph" w:styleId="Titel">
    <w:name w:val="Title"/>
    <w:basedOn w:val="Normal"/>
    <w:next w:val="Normal"/>
    <w:link w:val="TitelTegn"/>
    <w:uiPriority w:val="99"/>
    <w:semiHidden/>
    <w:rsid w:val="00BC5249"/>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99"/>
    <w:semiHidden/>
    <w:rsid w:val="00BC5249"/>
    <w:rPr>
      <w:rFonts w:eastAsiaTheme="majorEastAsia" w:cstheme="majorBidi"/>
      <w:b/>
      <w:kern w:val="28"/>
      <w:sz w:val="40"/>
      <w:szCs w:val="52"/>
      <w:lang w:val="en-GB"/>
    </w:rPr>
  </w:style>
  <w:style w:type="paragraph" w:styleId="Undertitel">
    <w:name w:val="Subtitle"/>
    <w:basedOn w:val="Normal"/>
    <w:next w:val="Normal"/>
    <w:link w:val="UndertitelTegn"/>
    <w:uiPriority w:val="99"/>
    <w:semiHidden/>
    <w:rsid w:val="00BC5249"/>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99"/>
    <w:semiHidden/>
    <w:rsid w:val="00BC5249"/>
    <w:rPr>
      <w:rFonts w:eastAsiaTheme="majorEastAsia" w:cstheme="majorBidi"/>
      <w:b/>
      <w:iCs/>
      <w:sz w:val="36"/>
      <w:szCs w:val="24"/>
      <w:lang w:val="en-GB"/>
    </w:rPr>
  </w:style>
  <w:style w:type="character" w:styleId="Svagfremhvning">
    <w:name w:val="Subtle Emphasis"/>
    <w:basedOn w:val="Standardskrifttypeiafsnit"/>
    <w:uiPriority w:val="99"/>
    <w:semiHidden/>
    <w:qFormat/>
    <w:rsid w:val="00BC5249"/>
    <w:rPr>
      <w:i/>
      <w:iCs/>
      <w:color w:val="999999" w:themeColor="text1" w:themeTint="7F"/>
      <w:lang w:val="en-GB"/>
    </w:rPr>
  </w:style>
  <w:style w:type="character" w:styleId="Kraftigfremhvning">
    <w:name w:val="Intense Emphasis"/>
    <w:basedOn w:val="Standardskrifttypeiafsnit"/>
    <w:uiPriority w:val="99"/>
    <w:semiHidden/>
    <w:rsid w:val="00BC5249"/>
    <w:rPr>
      <w:b/>
      <w:bCs/>
      <w:i/>
      <w:iCs/>
      <w:color w:val="auto"/>
      <w:lang w:val="en-GB"/>
    </w:rPr>
  </w:style>
  <w:style w:type="character" w:styleId="Strk">
    <w:name w:val="Strong"/>
    <w:basedOn w:val="Standardskrifttypeiafsnit"/>
    <w:uiPriority w:val="99"/>
    <w:semiHidden/>
    <w:rsid w:val="00BC5249"/>
    <w:rPr>
      <w:b/>
      <w:bCs/>
      <w:lang w:val="en-GB"/>
    </w:rPr>
  </w:style>
  <w:style w:type="paragraph" w:styleId="Strktcitat">
    <w:name w:val="Intense Quote"/>
    <w:basedOn w:val="Normal"/>
    <w:next w:val="Normal"/>
    <w:link w:val="StrktcitatTegn"/>
    <w:uiPriority w:val="99"/>
    <w:semiHidden/>
    <w:rsid w:val="00BC5249"/>
    <w:pPr>
      <w:spacing w:before="260" w:after="260"/>
      <w:ind w:left="851" w:right="851"/>
    </w:pPr>
    <w:rPr>
      <w:b/>
      <w:bCs/>
      <w:i/>
      <w:iCs/>
    </w:rPr>
  </w:style>
  <w:style w:type="character" w:customStyle="1" w:styleId="StrktcitatTegn">
    <w:name w:val="Stærkt citat Tegn"/>
    <w:basedOn w:val="Standardskrifttypeiafsnit"/>
    <w:link w:val="Strktcitat"/>
    <w:uiPriority w:val="99"/>
    <w:semiHidden/>
    <w:rsid w:val="00BC5249"/>
    <w:rPr>
      <w:b/>
      <w:bCs/>
      <w:i/>
      <w:iCs/>
      <w:lang w:val="en-GB"/>
    </w:rPr>
  </w:style>
  <w:style w:type="character" w:styleId="Svaghenvisning">
    <w:name w:val="Subtle Reference"/>
    <w:basedOn w:val="Standardskrifttypeiafsnit"/>
    <w:uiPriority w:val="99"/>
    <w:semiHidden/>
    <w:qFormat/>
    <w:rsid w:val="00BC5249"/>
    <w:rPr>
      <w:caps w:val="0"/>
      <w:smallCaps w:val="0"/>
      <w:color w:val="auto"/>
      <w:u w:val="single"/>
      <w:lang w:val="en-GB"/>
    </w:rPr>
  </w:style>
  <w:style w:type="character" w:styleId="Kraftighenvisning">
    <w:name w:val="Intense Reference"/>
    <w:basedOn w:val="Standardskrifttypeiafsnit"/>
    <w:uiPriority w:val="99"/>
    <w:semiHidden/>
    <w:qFormat/>
    <w:rsid w:val="00BC5249"/>
    <w:rPr>
      <w:b/>
      <w:bCs/>
      <w:caps w:val="0"/>
      <w:smallCaps w:val="0"/>
      <w:color w:val="auto"/>
      <w:spacing w:val="5"/>
      <w:u w:val="single"/>
      <w:lang w:val="en-GB"/>
    </w:rPr>
  </w:style>
  <w:style w:type="paragraph" w:styleId="Billedtekst">
    <w:name w:val="caption"/>
    <w:basedOn w:val="Normal"/>
    <w:next w:val="Normal"/>
    <w:uiPriority w:val="3"/>
    <w:semiHidden/>
    <w:qFormat/>
    <w:rsid w:val="00BC5249"/>
    <w:rPr>
      <w:b/>
      <w:bCs/>
      <w:sz w:val="16"/>
    </w:rPr>
  </w:style>
  <w:style w:type="paragraph" w:styleId="Indholdsfortegnelse1">
    <w:name w:val="toc 1"/>
    <w:basedOn w:val="Normal"/>
    <w:next w:val="Normal"/>
    <w:uiPriority w:val="10"/>
    <w:semiHidden/>
    <w:rsid w:val="00BC5249"/>
    <w:pPr>
      <w:ind w:right="567"/>
    </w:pPr>
    <w:rPr>
      <w:b/>
    </w:rPr>
  </w:style>
  <w:style w:type="paragraph" w:styleId="Indholdsfortegnelse2">
    <w:name w:val="toc 2"/>
    <w:basedOn w:val="Normal"/>
    <w:next w:val="Normal"/>
    <w:uiPriority w:val="10"/>
    <w:semiHidden/>
    <w:rsid w:val="00BC5249"/>
    <w:pPr>
      <w:ind w:right="567"/>
    </w:pPr>
  </w:style>
  <w:style w:type="paragraph" w:styleId="Indholdsfortegnelse3">
    <w:name w:val="toc 3"/>
    <w:basedOn w:val="Normal"/>
    <w:next w:val="Normal"/>
    <w:uiPriority w:val="10"/>
    <w:semiHidden/>
    <w:rsid w:val="00BC5249"/>
    <w:pPr>
      <w:ind w:right="567"/>
    </w:pPr>
  </w:style>
  <w:style w:type="paragraph" w:styleId="Indholdsfortegnelse4">
    <w:name w:val="toc 4"/>
    <w:basedOn w:val="Normal"/>
    <w:next w:val="Normal"/>
    <w:uiPriority w:val="10"/>
    <w:semiHidden/>
    <w:rsid w:val="00BC5249"/>
    <w:pPr>
      <w:ind w:right="567"/>
    </w:pPr>
  </w:style>
  <w:style w:type="paragraph" w:styleId="Indholdsfortegnelse5">
    <w:name w:val="toc 5"/>
    <w:basedOn w:val="Normal"/>
    <w:next w:val="Normal"/>
    <w:uiPriority w:val="10"/>
    <w:semiHidden/>
    <w:rsid w:val="00BC5249"/>
    <w:pPr>
      <w:ind w:right="567"/>
    </w:pPr>
  </w:style>
  <w:style w:type="paragraph" w:styleId="Indholdsfortegnelse6">
    <w:name w:val="toc 6"/>
    <w:basedOn w:val="Normal"/>
    <w:next w:val="Normal"/>
    <w:uiPriority w:val="10"/>
    <w:semiHidden/>
    <w:rsid w:val="00BC5249"/>
    <w:pPr>
      <w:ind w:right="567"/>
    </w:pPr>
  </w:style>
  <w:style w:type="paragraph" w:styleId="Indholdsfortegnelse7">
    <w:name w:val="toc 7"/>
    <w:basedOn w:val="Normal"/>
    <w:next w:val="Normal"/>
    <w:uiPriority w:val="10"/>
    <w:semiHidden/>
    <w:rsid w:val="00BC5249"/>
    <w:pPr>
      <w:ind w:right="567"/>
    </w:pPr>
  </w:style>
  <w:style w:type="paragraph" w:styleId="Indholdsfortegnelse8">
    <w:name w:val="toc 8"/>
    <w:basedOn w:val="Normal"/>
    <w:next w:val="Normal"/>
    <w:uiPriority w:val="10"/>
    <w:semiHidden/>
    <w:rsid w:val="00BC5249"/>
    <w:pPr>
      <w:ind w:right="567"/>
    </w:pPr>
  </w:style>
  <w:style w:type="paragraph" w:styleId="Indholdsfortegnelse9">
    <w:name w:val="toc 9"/>
    <w:basedOn w:val="Normal"/>
    <w:next w:val="Normal"/>
    <w:uiPriority w:val="10"/>
    <w:semiHidden/>
    <w:rsid w:val="00BC5249"/>
    <w:pPr>
      <w:ind w:right="567"/>
    </w:pPr>
  </w:style>
  <w:style w:type="paragraph" w:styleId="Overskrift">
    <w:name w:val="TOC Heading"/>
    <w:basedOn w:val="Normal"/>
    <w:next w:val="Normal"/>
    <w:uiPriority w:val="99"/>
    <w:semiHidden/>
    <w:rsid w:val="00BC5249"/>
    <w:pPr>
      <w:spacing w:after="520" w:line="360" w:lineRule="atLeast"/>
    </w:pPr>
    <w:rPr>
      <w:sz w:val="28"/>
    </w:rPr>
  </w:style>
  <w:style w:type="paragraph" w:styleId="Blokteks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rPr>
  </w:style>
  <w:style w:type="paragraph" w:styleId="Slutnotetekst">
    <w:name w:val="endnote text"/>
    <w:basedOn w:val="Normal"/>
    <w:link w:val="SlutnotetekstTegn"/>
    <w:uiPriority w:val="8"/>
    <w:semiHidden/>
    <w:qFormat/>
    <w:rsid w:val="00BC5249"/>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8"/>
    <w:semiHidden/>
    <w:rsid w:val="00BC5249"/>
    <w:rPr>
      <w:sz w:val="16"/>
      <w:szCs w:val="20"/>
      <w:lang w:val="en-GB"/>
    </w:rPr>
  </w:style>
  <w:style w:type="character" w:styleId="Slutnotehenvisning">
    <w:name w:val="endnote reference"/>
    <w:basedOn w:val="Standardskrifttypeiafsnit"/>
    <w:uiPriority w:val="99"/>
    <w:semiHidden/>
    <w:rsid w:val="00BC5249"/>
    <w:rPr>
      <w:vertAlign w:val="superscript"/>
      <w:lang w:val="en-GB"/>
    </w:rPr>
  </w:style>
  <w:style w:type="paragraph" w:styleId="Fodnotetekst">
    <w:name w:val="footnote text"/>
    <w:basedOn w:val="Normal"/>
    <w:link w:val="FodnotetekstTegn"/>
    <w:uiPriority w:val="8"/>
    <w:semiHidden/>
    <w:qFormat/>
    <w:rsid w:val="00BC5249"/>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8"/>
    <w:semiHidden/>
    <w:rsid w:val="00BC5249"/>
    <w:rPr>
      <w:sz w:val="16"/>
      <w:szCs w:val="20"/>
      <w:lang w:val="en-GB"/>
    </w:rPr>
  </w:style>
  <w:style w:type="paragraph" w:styleId="Opstilling-punkttegn">
    <w:name w:val="List Bullet"/>
    <w:basedOn w:val="Normal"/>
    <w:uiPriority w:val="2"/>
    <w:qFormat/>
    <w:rsid w:val="00BC5249"/>
    <w:pPr>
      <w:numPr>
        <w:numId w:val="29"/>
      </w:numPr>
      <w:contextualSpacing/>
    </w:pPr>
  </w:style>
  <w:style w:type="paragraph" w:styleId="Opstilling-talellerbogst">
    <w:name w:val="List Number"/>
    <w:basedOn w:val="Normal"/>
    <w:uiPriority w:val="2"/>
    <w:qFormat/>
    <w:rsid w:val="00BC5249"/>
    <w:pPr>
      <w:numPr>
        <w:numId w:val="34"/>
      </w:numPr>
      <w:contextualSpacing/>
    </w:pPr>
  </w:style>
  <w:style w:type="character" w:styleId="Sidetal">
    <w:name w:val="page number"/>
    <w:basedOn w:val="Standardskrifttypeiafsnit"/>
    <w:uiPriority w:val="99"/>
    <w:semiHidden/>
    <w:rsid w:val="00BC5249"/>
    <w:rPr>
      <w:sz w:val="16"/>
      <w:lang w:val="en-GB"/>
    </w:rPr>
  </w:style>
  <w:style w:type="paragraph" w:customStyle="1" w:styleId="Template">
    <w:name w:val="Template"/>
    <w:uiPriority w:val="9"/>
    <w:semiHidden/>
    <w:rsid w:val="00BC5249"/>
    <w:rPr>
      <w:noProof/>
      <w:sz w:val="16"/>
      <w:lang w:val="en-GB"/>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Citatoverskrift">
    <w:name w:val="toa heading"/>
    <w:basedOn w:val="Normal"/>
    <w:next w:val="Normal"/>
    <w:uiPriority w:val="99"/>
    <w:semiHidden/>
    <w:rsid w:val="00BC5249"/>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BC5249"/>
    <w:pPr>
      <w:ind w:right="567"/>
    </w:pPr>
  </w:style>
  <w:style w:type="paragraph" w:styleId="Underskrift">
    <w:name w:val="Signature"/>
    <w:basedOn w:val="Normal"/>
    <w:link w:val="UnderskriftTegn"/>
    <w:uiPriority w:val="99"/>
    <w:semiHidden/>
    <w:rsid w:val="00BC5249"/>
    <w:pPr>
      <w:spacing w:line="240" w:lineRule="auto"/>
      <w:ind w:left="4252"/>
    </w:pPr>
  </w:style>
  <w:style w:type="character" w:customStyle="1" w:styleId="UnderskriftTegn">
    <w:name w:val="Underskrift Tegn"/>
    <w:basedOn w:val="Standardskrifttypeiafsnit"/>
    <w:link w:val="Underskrift"/>
    <w:uiPriority w:val="99"/>
    <w:semiHidden/>
    <w:rsid w:val="00BC5249"/>
    <w:rPr>
      <w:lang w:val="en-GB"/>
    </w:rPr>
  </w:style>
  <w:style w:type="character" w:styleId="Pladsholdertekst">
    <w:name w:val="Placeholder Text"/>
    <w:basedOn w:val="Standardskrifttypeiafsnit"/>
    <w:uiPriority w:val="99"/>
    <w:semiHidden/>
    <w:rsid w:val="00BC5249"/>
    <w:rPr>
      <w:color w:val="auto"/>
      <w:lang w:val="en-GB"/>
    </w:rPr>
  </w:style>
  <w:style w:type="paragraph" w:customStyle="1" w:styleId="Tabel">
    <w:name w:val="Tabel"/>
    <w:uiPriority w:val="4"/>
    <w:semiHidden/>
    <w:rsid w:val="00BC5249"/>
    <w:pPr>
      <w:spacing w:before="60" w:after="60"/>
      <w:ind w:left="113" w:right="113"/>
    </w:pPr>
    <w:rPr>
      <w:rFonts w:cs="Verdana"/>
      <w:color w:val="333333" w:themeColor="accent2"/>
      <w:sz w:val="18"/>
      <w:szCs w:val="18"/>
      <w:lang w:val="en-GB"/>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Citat">
    <w:name w:val="Quote"/>
    <w:basedOn w:val="Normal"/>
    <w:next w:val="Normal"/>
    <w:link w:val="CitatTegn"/>
    <w:uiPriority w:val="3"/>
    <w:qFormat/>
    <w:rsid w:val="00BC5249"/>
    <w:pPr>
      <w:spacing w:after="280"/>
    </w:pPr>
    <w:rPr>
      <w:iCs/>
      <w:color w:val="333333" w:themeColor="text1"/>
    </w:rPr>
  </w:style>
  <w:style w:type="character" w:customStyle="1" w:styleId="CitatTegn">
    <w:name w:val="Citat Tegn"/>
    <w:basedOn w:val="Standardskrifttypeiafsnit"/>
    <w:link w:val="Citat"/>
    <w:uiPriority w:val="3"/>
    <w:rsid w:val="00BC5249"/>
    <w:rPr>
      <w:iCs/>
      <w:color w:val="333333" w:themeColor="text1"/>
      <w:lang w:val="en-GB"/>
    </w:rPr>
  </w:style>
  <w:style w:type="character" w:styleId="Bogenstitel">
    <w:name w:val="Book Title"/>
    <w:basedOn w:val="Standardskrifttypeiafsnit"/>
    <w:uiPriority w:val="99"/>
    <w:semiHidden/>
    <w:qFormat/>
    <w:rsid w:val="00BC5249"/>
    <w:rPr>
      <w:b/>
      <w:bCs/>
      <w:caps w:val="0"/>
      <w:smallCaps w:val="0"/>
      <w:spacing w:val="5"/>
      <w:lang w:val="en-GB"/>
    </w:rPr>
  </w:style>
  <w:style w:type="paragraph" w:styleId="Citatsamling">
    <w:name w:val="table of authorities"/>
    <w:basedOn w:val="Normal"/>
    <w:next w:val="Normal"/>
    <w:uiPriority w:val="99"/>
    <w:semiHidden/>
    <w:rsid w:val="00BC5249"/>
    <w:pPr>
      <w:ind w:right="567"/>
    </w:pPr>
  </w:style>
  <w:style w:type="paragraph" w:styleId="Normalindrykning">
    <w:name w:val="Normal Indent"/>
    <w:basedOn w:val="Normal"/>
    <w:uiPriority w:val="99"/>
    <w:semiHidden/>
    <w:rsid w:val="00BC5249"/>
    <w:pPr>
      <w:ind w:left="1134"/>
    </w:pPr>
  </w:style>
  <w:style w:type="table" w:styleId="Tabel-Gitter">
    <w:name w:val="Table Grid"/>
    <w:basedOn w:val="Tabel-Normal"/>
    <w:uiPriority w:val="9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rPr>
  </w:style>
  <w:style w:type="paragraph" w:customStyle="1" w:styleId="Template-Dato">
    <w:name w:val="Template - Dato"/>
    <w:basedOn w:val="Template"/>
    <w:uiPriority w:val="9"/>
    <w:semiHidden/>
    <w:rsid w:val="00BC5249"/>
  </w:style>
  <w:style w:type="table" w:customStyle="1" w:styleId="Blank">
    <w:name w:val="Blank"/>
    <w:basedOn w:val="Tabel-Normal"/>
    <w:uiPriority w:val="99"/>
    <w:rsid w:val="00BC5249"/>
    <w:pPr>
      <w:spacing w:after="0"/>
    </w:pPr>
    <w:tblPr>
      <w:tblCellMar>
        <w:left w:w="0" w:type="dxa"/>
        <w:right w:w="0" w:type="dxa"/>
      </w:tblCellMar>
    </w:tblPr>
  </w:style>
  <w:style w:type="paragraph" w:styleId="Ingenafstand">
    <w:name w:val="No Spacing"/>
    <w:qFormat/>
    <w:rsid w:val="00BC5249"/>
    <w:pPr>
      <w:spacing w:after="0" w:line="240" w:lineRule="atLeast"/>
    </w:pPr>
    <w:rPr>
      <w:lang w:val="en-GB"/>
    </w:r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el"/>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rPr>
  </w:style>
  <w:style w:type="numbering" w:styleId="111111">
    <w:name w:val="Outline List 2"/>
    <w:basedOn w:val="Ingenoversigt"/>
    <w:uiPriority w:val="99"/>
    <w:semiHidden/>
    <w:rsid w:val="001C683B"/>
    <w:pPr>
      <w:numPr>
        <w:numId w:val="16"/>
      </w:numPr>
    </w:pPr>
  </w:style>
  <w:style w:type="numbering" w:styleId="1ai">
    <w:name w:val="Outline List 1"/>
    <w:basedOn w:val="Ingenoversigt"/>
    <w:uiPriority w:val="99"/>
    <w:semiHidden/>
    <w:rsid w:val="001C683B"/>
    <w:pPr>
      <w:numPr>
        <w:numId w:val="14"/>
      </w:numPr>
    </w:pPr>
  </w:style>
  <w:style w:type="numbering" w:styleId="ArtikelSektion">
    <w:name w:val="Outline List 3"/>
    <w:basedOn w:val="Ingenoversigt"/>
    <w:uiPriority w:val="99"/>
    <w:semiHidden/>
    <w:rsid w:val="001C683B"/>
    <w:pPr>
      <w:numPr>
        <w:numId w:val="15"/>
      </w:numPr>
    </w:pPr>
  </w:style>
  <w:style w:type="paragraph" w:styleId="Markeringsbobletekst">
    <w:name w:val="Balloon Text"/>
    <w:basedOn w:val="Normal"/>
    <w:link w:val="MarkeringsbobletekstTegn"/>
    <w:uiPriority w:val="99"/>
    <w:semiHidden/>
    <w:rsid w:val="00BC5249"/>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C5249"/>
    <w:rPr>
      <w:rFonts w:ascii="Segoe UI" w:hAnsi="Segoe UI" w:cs="Segoe UI"/>
      <w:sz w:val="18"/>
      <w:szCs w:val="18"/>
      <w:lang w:val="en-GB"/>
    </w:rPr>
  </w:style>
  <w:style w:type="paragraph" w:styleId="Bibliografi">
    <w:name w:val="Bibliography"/>
    <w:basedOn w:val="Normal"/>
    <w:next w:val="Normal"/>
    <w:uiPriority w:val="99"/>
    <w:semiHidden/>
    <w:rsid w:val="00BC5249"/>
  </w:style>
  <w:style w:type="paragraph" w:styleId="Brdtekst">
    <w:name w:val="Body Text"/>
    <w:basedOn w:val="Normal"/>
    <w:link w:val="BrdtekstTegn"/>
    <w:uiPriority w:val="99"/>
    <w:semiHidden/>
    <w:rsid w:val="00BC5249"/>
    <w:pPr>
      <w:spacing w:after="120"/>
    </w:pPr>
  </w:style>
  <w:style w:type="character" w:customStyle="1" w:styleId="BrdtekstTegn">
    <w:name w:val="Brødtekst Tegn"/>
    <w:basedOn w:val="Standardskrifttypeiafsnit"/>
    <w:link w:val="Brdtekst"/>
    <w:uiPriority w:val="99"/>
    <w:semiHidden/>
    <w:rsid w:val="00BC5249"/>
    <w:rPr>
      <w:lang w:val="en-GB"/>
    </w:rPr>
  </w:style>
  <w:style w:type="paragraph" w:styleId="Brdtekst2">
    <w:name w:val="Body Text 2"/>
    <w:basedOn w:val="Normal"/>
    <w:link w:val="Brdtekst2Tegn"/>
    <w:uiPriority w:val="99"/>
    <w:semiHidden/>
    <w:rsid w:val="00BC5249"/>
    <w:pPr>
      <w:spacing w:after="120" w:line="480" w:lineRule="auto"/>
    </w:pPr>
  </w:style>
  <w:style w:type="character" w:customStyle="1" w:styleId="Brdtekst2Tegn">
    <w:name w:val="Brødtekst 2 Tegn"/>
    <w:basedOn w:val="Standardskrifttypeiafsnit"/>
    <w:link w:val="Brdtekst2"/>
    <w:uiPriority w:val="99"/>
    <w:semiHidden/>
    <w:rsid w:val="00BC5249"/>
    <w:rPr>
      <w:lang w:val="en-GB"/>
    </w:rPr>
  </w:style>
  <w:style w:type="paragraph" w:styleId="Brdtekst3">
    <w:name w:val="Body Text 3"/>
    <w:basedOn w:val="Normal"/>
    <w:link w:val="Brdtekst3Tegn"/>
    <w:uiPriority w:val="99"/>
    <w:semiHidden/>
    <w:rsid w:val="00BC5249"/>
    <w:pPr>
      <w:spacing w:after="120"/>
    </w:pPr>
    <w:rPr>
      <w:sz w:val="16"/>
      <w:szCs w:val="16"/>
    </w:rPr>
  </w:style>
  <w:style w:type="character" w:customStyle="1" w:styleId="Brdtekst3Tegn">
    <w:name w:val="Brødtekst 3 Tegn"/>
    <w:basedOn w:val="Standardskrifttypeiafsnit"/>
    <w:link w:val="Brdtekst3"/>
    <w:uiPriority w:val="99"/>
    <w:semiHidden/>
    <w:rsid w:val="00BC5249"/>
    <w:rPr>
      <w:sz w:val="16"/>
      <w:szCs w:val="16"/>
      <w:lang w:val="en-GB"/>
    </w:rPr>
  </w:style>
  <w:style w:type="paragraph" w:styleId="Brdtekst-frstelinjeindrykning1">
    <w:name w:val="Body Text First Indent"/>
    <w:basedOn w:val="Brdtekst"/>
    <w:link w:val="Brdtekst-frstelinjeindrykning1Tegn"/>
    <w:uiPriority w:val="99"/>
    <w:semiHidden/>
    <w:rsid w:val="00BC524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BC5249"/>
    <w:rPr>
      <w:lang w:val="en-GB"/>
    </w:rPr>
  </w:style>
  <w:style w:type="paragraph" w:styleId="Brdtekstindrykning">
    <w:name w:val="Body Text Indent"/>
    <w:basedOn w:val="Normal"/>
    <w:link w:val="BrdtekstindrykningTegn"/>
    <w:uiPriority w:val="99"/>
    <w:semiHidden/>
    <w:rsid w:val="00BC5249"/>
    <w:pPr>
      <w:spacing w:after="120"/>
      <w:ind w:left="283"/>
    </w:pPr>
  </w:style>
  <w:style w:type="character" w:customStyle="1" w:styleId="BrdtekstindrykningTegn">
    <w:name w:val="Brødtekstindrykning Tegn"/>
    <w:basedOn w:val="Standardskrifttypeiafsnit"/>
    <w:link w:val="Brdtekstindrykning"/>
    <w:uiPriority w:val="99"/>
    <w:semiHidden/>
    <w:rsid w:val="00BC5249"/>
    <w:rPr>
      <w:lang w:val="en-GB"/>
    </w:rPr>
  </w:style>
  <w:style w:type="paragraph" w:styleId="Brdtekst-frstelinjeindrykning2">
    <w:name w:val="Body Text First Indent 2"/>
    <w:basedOn w:val="Brdtekstindrykning"/>
    <w:link w:val="Brdtekst-frstelinjeindrykning2Tegn"/>
    <w:uiPriority w:val="99"/>
    <w:semiHidden/>
    <w:rsid w:val="00BC524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BC5249"/>
    <w:rPr>
      <w:lang w:val="en-GB"/>
    </w:rPr>
  </w:style>
  <w:style w:type="paragraph" w:styleId="Brdtekstindrykning2">
    <w:name w:val="Body Text Indent 2"/>
    <w:basedOn w:val="Normal"/>
    <w:link w:val="Brdtekstindrykning2Tegn"/>
    <w:uiPriority w:val="99"/>
    <w:semiHidden/>
    <w:rsid w:val="00BC524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BC5249"/>
    <w:rPr>
      <w:lang w:val="en-GB"/>
    </w:rPr>
  </w:style>
  <w:style w:type="paragraph" w:styleId="Brdtekstindrykning3">
    <w:name w:val="Body Text Indent 3"/>
    <w:basedOn w:val="Normal"/>
    <w:link w:val="Brdtekstindrykning3Tegn"/>
    <w:uiPriority w:val="99"/>
    <w:semiHidden/>
    <w:rsid w:val="00BC524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BC5249"/>
    <w:rPr>
      <w:sz w:val="16"/>
      <w:szCs w:val="16"/>
      <w:lang w:val="en-GB"/>
    </w:rPr>
  </w:style>
  <w:style w:type="paragraph" w:styleId="Sluthilsen">
    <w:name w:val="Closing"/>
    <w:basedOn w:val="Normal"/>
    <w:link w:val="SluthilsenTegn"/>
    <w:uiPriority w:val="99"/>
    <w:semiHidden/>
    <w:rsid w:val="00BC5249"/>
    <w:pPr>
      <w:spacing w:line="240" w:lineRule="auto"/>
      <w:ind w:left="4252"/>
    </w:pPr>
  </w:style>
  <w:style w:type="character" w:customStyle="1" w:styleId="SluthilsenTegn">
    <w:name w:val="Sluthilsen Tegn"/>
    <w:basedOn w:val="Standardskrifttypeiafsnit"/>
    <w:link w:val="Sluthilsen"/>
    <w:uiPriority w:val="99"/>
    <w:semiHidden/>
    <w:rsid w:val="00BC5249"/>
    <w:rPr>
      <w:lang w:val="en-GB"/>
    </w:rPr>
  </w:style>
  <w:style w:type="table" w:styleId="Farvetgitter">
    <w:name w:val="Colorful Grid"/>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Farvetgitter-fremhvningsfarve2">
    <w:name w:val="Colorful Grid Accent 2"/>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Farvetgitter-fremhvningsfarve4">
    <w:name w:val="Colorful Grid Accent 4"/>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Farvetgitter-fremhvningsfarve6">
    <w:name w:val="Colorful Grid Accent 6"/>
    <w:basedOn w:val="Tabel-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Farvetliste-fremhvningsfarve2">
    <w:name w:val="Colorful List Accent 2"/>
    <w:basedOn w:val="Tabel-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Farvetliste-fremhvningsfarve4">
    <w:name w:val="Colorful List Accent 4"/>
    <w:basedOn w:val="Tabel-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Farvetliste-fremhvningsfarve6">
    <w:name w:val="Colorful List Accent 6"/>
    <w:basedOn w:val="Tabel-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Farvetskygge-fremhvningsfarve4">
    <w:name w:val="Colorful Shading Accent 4"/>
    <w:basedOn w:val="Tabel-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uiPriority w:val="99"/>
    <w:semiHidden/>
    <w:rsid w:val="00BC5249"/>
    <w:rPr>
      <w:sz w:val="16"/>
      <w:szCs w:val="16"/>
      <w:lang w:val="en-GB"/>
    </w:rPr>
  </w:style>
  <w:style w:type="paragraph" w:styleId="Kommentartekst">
    <w:name w:val="annotation text"/>
    <w:basedOn w:val="Normal"/>
    <w:link w:val="KommentartekstTegn"/>
    <w:uiPriority w:val="99"/>
    <w:semiHidden/>
    <w:rsid w:val="00BC524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BC5249"/>
    <w:rPr>
      <w:sz w:val="20"/>
      <w:szCs w:val="20"/>
      <w:lang w:val="en-GB"/>
    </w:rPr>
  </w:style>
  <w:style w:type="paragraph" w:styleId="Kommentaremne">
    <w:name w:val="annotation subject"/>
    <w:basedOn w:val="Kommentartekst"/>
    <w:next w:val="Kommentartekst"/>
    <w:link w:val="KommentaremneTegn"/>
    <w:uiPriority w:val="99"/>
    <w:semiHidden/>
    <w:rsid w:val="00BC5249"/>
    <w:rPr>
      <w:b/>
      <w:bCs/>
    </w:rPr>
  </w:style>
  <w:style w:type="character" w:customStyle="1" w:styleId="KommentaremneTegn">
    <w:name w:val="Kommentaremne Tegn"/>
    <w:basedOn w:val="KommentartekstTegn"/>
    <w:link w:val="Kommentaremne"/>
    <w:uiPriority w:val="99"/>
    <w:semiHidden/>
    <w:rsid w:val="00BC5249"/>
    <w:rPr>
      <w:b/>
      <w:bCs/>
      <w:sz w:val="20"/>
      <w:szCs w:val="20"/>
      <w:lang w:val="en-GB"/>
    </w:rPr>
  </w:style>
  <w:style w:type="table" w:styleId="Mrkliste">
    <w:name w:val="Dark List"/>
    <w:basedOn w:val="Tabel-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Mrkliste-fremhvningsfarve2">
    <w:name w:val="Dark List Accent 2"/>
    <w:basedOn w:val="Tabel-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Mrkliste-fremhvningsfarve4">
    <w:name w:val="Dark List Accent 4"/>
    <w:basedOn w:val="Tabel-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Mrkliste-fremhvningsfarve6">
    <w:name w:val="Dark List Accent 6"/>
    <w:basedOn w:val="Tabel-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o">
    <w:name w:val="Date"/>
    <w:basedOn w:val="Normal"/>
    <w:next w:val="Normal"/>
    <w:link w:val="DatoTegn"/>
    <w:uiPriority w:val="99"/>
    <w:semiHidden/>
    <w:rsid w:val="00BC5249"/>
  </w:style>
  <w:style w:type="character" w:customStyle="1" w:styleId="DatoTegn">
    <w:name w:val="Dato Tegn"/>
    <w:basedOn w:val="Standardskrifttypeiafsnit"/>
    <w:link w:val="Dato"/>
    <w:uiPriority w:val="99"/>
    <w:semiHidden/>
    <w:rsid w:val="00BC5249"/>
    <w:rPr>
      <w:lang w:val="en-GB"/>
    </w:rPr>
  </w:style>
  <w:style w:type="paragraph" w:styleId="Dokumentoversigt">
    <w:name w:val="Document Map"/>
    <w:basedOn w:val="Normal"/>
    <w:link w:val="DokumentoversigtTegn"/>
    <w:uiPriority w:val="99"/>
    <w:semiHidden/>
    <w:rsid w:val="00BC524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BC5249"/>
    <w:rPr>
      <w:rFonts w:ascii="Segoe UI" w:hAnsi="Segoe UI" w:cs="Segoe UI"/>
      <w:sz w:val="16"/>
      <w:szCs w:val="16"/>
      <w:lang w:val="en-GB"/>
    </w:rPr>
  </w:style>
  <w:style w:type="paragraph" w:styleId="Mailsignatur">
    <w:name w:val="E-mail Signature"/>
    <w:basedOn w:val="Normal"/>
    <w:link w:val="MailsignaturTegn"/>
    <w:uiPriority w:val="99"/>
    <w:semiHidden/>
    <w:rsid w:val="00BC5249"/>
    <w:pPr>
      <w:spacing w:line="240" w:lineRule="auto"/>
    </w:pPr>
  </w:style>
  <w:style w:type="character" w:customStyle="1" w:styleId="MailsignaturTegn">
    <w:name w:val="Mailsignatur Tegn"/>
    <w:basedOn w:val="Standardskrifttypeiafsnit"/>
    <w:link w:val="Mailsignatur"/>
    <w:uiPriority w:val="99"/>
    <w:semiHidden/>
    <w:rsid w:val="00BC5249"/>
    <w:rPr>
      <w:lang w:val="en-GB"/>
    </w:rPr>
  </w:style>
  <w:style w:type="character" w:styleId="Fremhv">
    <w:name w:val="Emphasis"/>
    <w:basedOn w:val="Standardskrifttypeiafsnit"/>
    <w:uiPriority w:val="4"/>
    <w:rsid w:val="00BC5249"/>
    <w:rPr>
      <w:i/>
      <w:iCs/>
      <w:lang w:val="en-GB"/>
    </w:rPr>
  </w:style>
  <w:style w:type="paragraph" w:styleId="Modtageradresse">
    <w:name w:val="envelope address"/>
    <w:basedOn w:val="Normal"/>
    <w:uiPriority w:val="99"/>
    <w:semiHidden/>
    <w:rsid w:val="00BC524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BC524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99"/>
    <w:semiHidden/>
    <w:rsid w:val="00BC5249"/>
    <w:rPr>
      <w:color w:val="808080" w:themeColor="followedHyperlink"/>
      <w:u w:val="single"/>
      <w:lang w:val="en-GB"/>
    </w:rPr>
  </w:style>
  <w:style w:type="character" w:styleId="Fodnotehenvisning">
    <w:name w:val="footnote reference"/>
    <w:basedOn w:val="Standardskrifttypeiafsnit"/>
    <w:uiPriority w:val="99"/>
    <w:semiHidden/>
    <w:rsid w:val="00BC5249"/>
    <w:rPr>
      <w:vertAlign w:val="superscript"/>
      <w:lang w:val="en-GB"/>
    </w:rPr>
  </w:style>
  <w:style w:type="table" w:styleId="Gittertabel1-lys">
    <w:name w:val="Grid Table 1 Light"/>
    <w:basedOn w:val="Tabel-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2-farve2">
    <w:name w:val="Grid Table 2 Accent 2"/>
    <w:basedOn w:val="Tabel-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2-farve4">
    <w:name w:val="Grid Table 2 Accent 4"/>
    <w:basedOn w:val="Tabel-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2-farve6">
    <w:name w:val="Grid Table 2 Accent 6"/>
    <w:basedOn w:val="Tabel-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3-farve2">
    <w:name w:val="Grid Table 3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3-farve4">
    <w:name w:val="Grid Table 3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3-farve6">
    <w:name w:val="Grid Table 3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4-farve2">
    <w:name w:val="Grid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4-farve4">
    <w:name w:val="Grid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4-farve6">
    <w:name w:val="Grid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ittertabel5-mrk-farve2">
    <w:name w:val="Grid Table 5 Dark Accent 2"/>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ittertabel5-mrk-farve4">
    <w:name w:val="Grid Table 5 Dark Accent 4"/>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ittertabel5-mrk-farve6">
    <w:name w:val="Grid Table 5 Dark Accent 6"/>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6-farverig-farve2">
    <w:name w:val="Grid Table 6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6-farverig-farve4">
    <w:name w:val="Grid Table 6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6-farverig-farve6">
    <w:name w:val="Grid Table 6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7-farverig-farve2">
    <w:name w:val="Grid Table 7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7-farverig-farve4">
    <w:name w:val="Grid Table 7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7-farverig-farve6">
    <w:name w:val="Grid Table 7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kronym">
    <w:name w:val="HTML Acronym"/>
    <w:basedOn w:val="Standardskrifttypeiafsnit"/>
    <w:uiPriority w:val="99"/>
    <w:semiHidden/>
    <w:rsid w:val="00BC5249"/>
    <w:rPr>
      <w:lang w:val="en-GB"/>
    </w:rPr>
  </w:style>
  <w:style w:type="paragraph" w:styleId="HTML-adresse">
    <w:name w:val="HTML Address"/>
    <w:basedOn w:val="Normal"/>
    <w:link w:val="HTML-adresseTegn"/>
    <w:uiPriority w:val="99"/>
    <w:semiHidden/>
    <w:rsid w:val="00BC5249"/>
    <w:pPr>
      <w:spacing w:line="240" w:lineRule="auto"/>
    </w:pPr>
    <w:rPr>
      <w:i/>
      <w:iCs/>
    </w:rPr>
  </w:style>
  <w:style w:type="character" w:customStyle="1" w:styleId="HTML-adresseTegn">
    <w:name w:val="HTML-adresse Tegn"/>
    <w:basedOn w:val="Standardskrifttypeiafsnit"/>
    <w:link w:val="HTML-adresse"/>
    <w:uiPriority w:val="99"/>
    <w:semiHidden/>
    <w:rsid w:val="00BC5249"/>
    <w:rPr>
      <w:i/>
      <w:iCs/>
      <w:lang w:val="en-GB"/>
    </w:rPr>
  </w:style>
  <w:style w:type="character" w:styleId="HTML-citat">
    <w:name w:val="HTML Cite"/>
    <w:basedOn w:val="Standardskrifttypeiafsnit"/>
    <w:uiPriority w:val="99"/>
    <w:semiHidden/>
    <w:rsid w:val="00BC5249"/>
    <w:rPr>
      <w:i/>
      <w:iCs/>
      <w:lang w:val="en-GB"/>
    </w:rPr>
  </w:style>
  <w:style w:type="character" w:styleId="HTML-kode">
    <w:name w:val="HTML Code"/>
    <w:basedOn w:val="Standardskrifttypeiafsnit"/>
    <w:uiPriority w:val="99"/>
    <w:semiHidden/>
    <w:rsid w:val="00BC5249"/>
    <w:rPr>
      <w:rFonts w:ascii="Consolas" w:hAnsi="Consolas" w:cs="Consolas"/>
      <w:sz w:val="20"/>
      <w:szCs w:val="20"/>
      <w:lang w:val="en-GB"/>
    </w:rPr>
  </w:style>
  <w:style w:type="character" w:styleId="HTML-definition">
    <w:name w:val="HTML Definition"/>
    <w:basedOn w:val="Standardskrifttypeiafsnit"/>
    <w:uiPriority w:val="99"/>
    <w:semiHidden/>
    <w:rsid w:val="00BC5249"/>
    <w:rPr>
      <w:i/>
      <w:iCs/>
      <w:lang w:val="en-GB"/>
    </w:rPr>
  </w:style>
  <w:style w:type="character" w:styleId="HTML-tastatur">
    <w:name w:val="HTML Keyboard"/>
    <w:basedOn w:val="Standardskrifttypeiafsnit"/>
    <w:uiPriority w:val="99"/>
    <w:semiHidden/>
    <w:rsid w:val="00BC5249"/>
    <w:rPr>
      <w:rFonts w:ascii="Consolas" w:hAnsi="Consolas" w:cs="Consolas"/>
      <w:sz w:val="20"/>
      <w:szCs w:val="20"/>
      <w:lang w:val="en-GB"/>
    </w:rPr>
  </w:style>
  <w:style w:type="paragraph" w:styleId="FormateretHTML">
    <w:name w:val="HTML Preformatted"/>
    <w:basedOn w:val="Normal"/>
    <w:link w:val="FormateretHTMLTegn"/>
    <w:uiPriority w:val="99"/>
    <w:semiHidden/>
    <w:rsid w:val="00BC5249"/>
    <w:pPr>
      <w:spacing w:line="240" w:lineRule="auto"/>
    </w:pPr>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BC5249"/>
    <w:rPr>
      <w:rFonts w:ascii="Consolas" w:hAnsi="Consolas" w:cs="Consolas"/>
      <w:sz w:val="20"/>
      <w:szCs w:val="20"/>
      <w:lang w:val="en-GB"/>
    </w:rPr>
  </w:style>
  <w:style w:type="character" w:styleId="HTML-eksempel">
    <w:name w:val="HTML Sample"/>
    <w:basedOn w:val="Standardskrifttypeiafsnit"/>
    <w:uiPriority w:val="99"/>
    <w:semiHidden/>
    <w:rsid w:val="00BC5249"/>
    <w:rPr>
      <w:rFonts w:ascii="Consolas" w:hAnsi="Consolas" w:cs="Consolas"/>
      <w:sz w:val="24"/>
      <w:szCs w:val="24"/>
      <w:lang w:val="en-GB"/>
    </w:rPr>
  </w:style>
  <w:style w:type="character" w:styleId="HTML-skrivemaskine">
    <w:name w:val="HTML Typewriter"/>
    <w:basedOn w:val="Standardskrifttypeiafsnit"/>
    <w:uiPriority w:val="99"/>
    <w:semiHidden/>
    <w:rsid w:val="00BC5249"/>
    <w:rPr>
      <w:rFonts w:ascii="Consolas" w:hAnsi="Consolas" w:cs="Consolas"/>
      <w:sz w:val="20"/>
      <w:szCs w:val="20"/>
      <w:lang w:val="en-GB"/>
    </w:rPr>
  </w:style>
  <w:style w:type="character" w:styleId="HTML-variabel">
    <w:name w:val="HTML Variable"/>
    <w:basedOn w:val="Standardskrifttypeiafsnit"/>
    <w:uiPriority w:val="99"/>
    <w:semiHidden/>
    <w:rsid w:val="00BC5249"/>
    <w:rPr>
      <w:i/>
      <w:iCs/>
      <w:lang w:val="en-GB"/>
    </w:rPr>
  </w:style>
  <w:style w:type="character" w:styleId="Hyperlink">
    <w:name w:val="Hyperlink"/>
    <w:basedOn w:val="Standardskrifttypeiafsnit"/>
    <w:uiPriority w:val="8"/>
    <w:semiHidden/>
    <w:qFormat/>
    <w:rsid w:val="00BC5249"/>
    <w:rPr>
      <w:color w:val="007DBB" w:themeColor="hyperlink"/>
      <w:u w:val="single"/>
      <w:lang w:val="en-GB"/>
    </w:rPr>
  </w:style>
  <w:style w:type="paragraph" w:styleId="Indeks1">
    <w:name w:val="index 1"/>
    <w:basedOn w:val="Normal"/>
    <w:next w:val="Normal"/>
    <w:autoRedefine/>
    <w:uiPriority w:val="99"/>
    <w:semiHidden/>
    <w:rsid w:val="00BC5249"/>
    <w:pPr>
      <w:spacing w:line="240" w:lineRule="auto"/>
      <w:ind w:left="220" w:hanging="220"/>
    </w:pPr>
  </w:style>
  <w:style w:type="paragraph" w:styleId="Indeks2">
    <w:name w:val="index 2"/>
    <w:basedOn w:val="Normal"/>
    <w:next w:val="Normal"/>
    <w:autoRedefine/>
    <w:uiPriority w:val="99"/>
    <w:semiHidden/>
    <w:rsid w:val="00BC5249"/>
    <w:pPr>
      <w:spacing w:line="240" w:lineRule="auto"/>
      <w:ind w:left="440" w:hanging="220"/>
    </w:pPr>
  </w:style>
  <w:style w:type="paragraph" w:styleId="Indeks3">
    <w:name w:val="index 3"/>
    <w:basedOn w:val="Normal"/>
    <w:next w:val="Normal"/>
    <w:autoRedefine/>
    <w:uiPriority w:val="99"/>
    <w:semiHidden/>
    <w:rsid w:val="00BC5249"/>
    <w:pPr>
      <w:spacing w:line="240" w:lineRule="auto"/>
      <w:ind w:left="660" w:hanging="220"/>
    </w:pPr>
  </w:style>
  <w:style w:type="paragraph" w:styleId="Indeks4">
    <w:name w:val="index 4"/>
    <w:basedOn w:val="Normal"/>
    <w:next w:val="Normal"/>
    <w:autoRedefine/>
    <w:uiPriority w:val="99"/>
    <w:semiHidden/>
    <w:rsid w:val="00BC5249"/>
    <w:pPr>
      <w:spacing w:line="240" w:lineRule="auto"/>
      <w:ind w:left="880" w:hanging="220"/>
    </w:pPr>
  </w:style>
  <w:style w:type="paragraph" w:styleId="Indeks5">
    <w:name w:val="index 5"/>
    <w:basedOn w:val="Normal"/>
    <w:next w:val="Normal"/>
    <w:autoRedefine/>
    <w:uiPriority w:val="99"/>
    <w:semiHidden/>
    <w:rsid w:val="00BC5249"/>
    <w:pPr>
      <w:spacing w:line="240" w:lineRule="auto"/>
      <w:ind w:left="1100" w:hanging="220"/>
    </w:pPr>
  </w:style>
  <w:style w:type="paragraph" w:styleId="Indeks6">
    <w:name w:val="index 6"/>
    <w:basedOn w:val="Normal"/>
    <w:next w:val="Normal"/>
    <w:autoRedefine/>
    <w:uiPriority w:val="99"/>
    <w:semiHidden/>
    <w:rsid w:val="00BC5249"/>
    <w:pPr>
      <w:spacing w:line="240" w:lineRule="auto"/>
      <w:ind w:left="1320" w:hanging="220"/>
    </w:pPr>
  </w:style>
  <w:style w:type="paragraph" w:styleId="Indeks7">
    <w:name w:val="index 7"/>
    <w:basedOn w:val="Normal"/>
    <w:next w:val="Normal"/>
    <w:autoRedefine/>
    <w:uiPriority w:val="99"/>
    <w:semiHidden/>
    <w:rsid w:val="00BC5249"/>
    <w:pPr>
      <w:spacing w:line="240" w:lineRule="auto"/>
      <w:ind w:left="1540" w:hanging="220"/>
    </w:pPr>
  </w:style>
  <w:style w:type="paragraph" w:styleId="Indeks8">
    <w:name w:val="index 8"/>
    <w:basedOn w:val="Normal"/>
    <w:next w:val="Normal"/>
    <w:autoRedefine/>
    <w:uiPriority w:val="99"/>
    <w:semiHidden/>
    <w:rsid w:val="00BC5249"/>
    <w:pPr>
      <w:spacing w:line="240" w:lineRule="auto"/>
      <w:ind w:left="1760" w:hanging="220"/>
    </w:pPr>
  </w:style>
  <w:style w:type="paragraph" w:styleId="Indeks9">
    <w:name w:val="index 9"/>
    <w:basedOn w:val="Normal"/>
    <w:next w:val="Normal"/>
    <w:autoRedefine/>
    <w:uiPriority w:val="99"/>
    <w:semiHidden/>
    <w:rsid w:val="00BC5249"/>
    <w:pPr>
      <w:spacing w:line="240" w:lineRule="auto"/>
      <w:ind w:left="1980" w:hanging="220"/>
    </w:pPr>
  </w:style>
  <w:style w:type="paragraph" w:styleId="Indeksoverskrift">
    <w:name w:val="index heading"/>
    <w:basedOn w:val="Normal"/>
    <w:next w:val="Indeks1"/>
    <w:uiPriority w:val="99"/>
    <w:semiHidden/>
    <w:rsid w:val="00BC5249"/>
    <w:rPr>
      <w:rFonts w:asciiTheme="majorHAnsi" w:eastAsiaTheme="majorEastAsia" w:hAnsiTheme="majorHAnsi" w:cstheme="majorBidi"/>
      <w:b/>
      <w:bCs/>
    </w:rPr>
  </w:style>
  <w:style w:type="table" w:styleId="Lystgitter">
    <w:name w:val="Light Grid"/>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ystgitter-fremhvningsfarve2">
    <w:name w:val="Light Grid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ystgitter-fremhvningsfarve4">
    <w:name w:val="Light Grid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ystgitter-fremhvningsfarve6">
    <w:name w:val="Light Grid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ysliste-fremhvningsfarve2">
    <w:name w:val="Light List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ysliste-fremhvningsfarve4">
    <w:name w:val="Light List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ysliste-fremhvningsfarve6">
    <w:name w:val="Light List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ysskygge-fremhvningsfarve2">
    <w:name w:val="Light Shading Accent 2"/>
    <w:basedOn w:val="Tabel-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ysskygge-fremhvningsfarve4">
    <w:name w:val="Light Shading Accent 4"/>
    <w:basedOn w:val="Tabel-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ysskygge-fremhvningsfarve6">
    <w:name w:val="Light Shading Accent 6"/>
    <w:basedOn w:val="Tabel-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BC5249"/>
    <w:rPr>
      <w:lang w:val="en-GB"/>
    </w:rPr>
  </w:style>
  <w:style w:type="paragraph" w:styleId="Liste">
    <w:name w:val="List"/>
    <w:basedOn w:val="Normal"/>
    <w:uiPriority w:val="99"/>
    <w:semiHidden/>
    <w:rsid w:val="00BC5249"/>
    <w:pPr>
      <w:ind w:left="283" w:hanging="283"/>
      <w:contextualSpacing/>
    </w:pPr>
  </w:style>
  <w:style w:type="paragraph" w:styleId="Liste2">
    <w:name w:val="List 2"/>
    <w:basedOn w:val="Normal"/>
    <w:uiPriority w:val="99"/>
    <w:semiHidden/>
    <w:rsid w:val="00BC5249"/>
    <w:pPr>
      <w:ind w:left="566" w:hanging="283"/>
      <w:contextualSpacing/>
    </w:pPr>
  </w:style>
  <w:style w:type="paragraph" w:styleId="Liste3">
    <w:name w:val="List 3"/>
    <w:basedOn w:val="Normal"/>
    <w:uiPriority w:val="99"/>
    <w:semiHidden/>
    <w:rsid w:val="00BC5249"/>
    <w:pPr>
      <w:ind w:left="849" w:hanging="283"/>
      <w:contextualSpacing/>
    </w:pPr>
  </w:style>
  <w:style w:type="paragraph" w:styleId="Liste4">
    <w:name w:val="List 4"/>
    <w:basedOn w:val="Normal"/>
    <w:uiPriority w:val="99"/>
    <w:semiHidden/>
    <w:rsid w:val="00BC5249"/>
    <w:pPr>
      <w:ind w:left="1132" w:hanging="283"/>
      <w:contextualSpacing/>
    </w:pPr>
  </w:style>
  <w:style w:type="paragraph" w:styleId="Liste5">
    <w:name w:val="List 5"/>
    <w:basedOn w:val="Normal"/>
    <w:uiPriority w:val="99"/>
    <w:semiHidden/>
    <w:rsid w:val="00BC5249"/>
    <w:pPr>
      <w:ind w:left="1415" w:hanging="283"/>
      <w:contextualSpacing/>
    </w:pPr>
  </w:style>
  <w:style w:type="paragraph" w:styleId="Opstilling-punkttegn2">
    <w:name w:val="List Bullet 2"/>
    <w:basedOn w:val="Normal"/>
    <w:uiPriority w:val="99"/>
    <w:semiHidden/>
    <w:rsid w:val="00BC5249"/>
    <w:pPr>
      <w:numPr>
        <w:numId w:val="30"/>
      </w:numPr>
      <w:contextualSpacing/>
    </w:pPr>
  </w:style>
  <w:style w:type="paragraph" w:styleId="Opstilling-punkttegn3">
    <w:name w:val="List Bullet 3"/>
    <w:basedOn w:val="Normal"/>
    <w:uiPriority w:val="99"/>
    <w:semiHidden/>
    <w:rsid w:val="00BC5249"/>
    <w:pPr>
      <w:numPr>
        <w:numId w:val="31"/>
      </w:numPr>
      <w:contextualSpacing/>
    </w:pPr>
  </w:style>
  <w:style w:type="paragraph" w:styleId="Opstilling-punkttegn4">
    <w:name w:val="List Bullet 4"/>
    <w:basedOn w:val="Normal"/>
    <w:uiPriority w:val="99"/>
    <w:semiHidden/>
    <w:rsid w:val="00BC5249"/>
    <w:pPr>
      <w:numPr>
        <w:numId w:val="32"/>
      </w:numPr>
      <w:contextualSpacing/>
    </w:pPr>
  </w:style>
  <w:style w:type="paragraph" w:styleId="Opstilling-punkttegn5">
    <w:name w:val="List Bullet 5"/>
    <w:basedOn w:val="Normal"/>
    <w:uiPriority w:val="99"/>
    <w:semiHidden/>
    <w:rsid w:val="00BC5249"/>
    <w:pPr>
      <w:numPr>
        <w:numId w:val="33"/>
      </w:numPr>
      <w:contextualSpacing/>
    </w:pPr>
  </w:style>
  <w:style w:type="paragraph" w:styleId="Opstilling-forts">
    <w:name w:val="List Continue"/>
    <w:basedOn w:val="Normal"/>
    <w:uiPriority w:val="99"/>
    <w:semiHidden/>
    <w:rsid w:val="00BC5249"/>
    <w:pPr>
      <w:spacing w:after="120"/>
      <w:ind w:left="283"/>
      <w:contextualSpacing/>
    </w:pPr>
  </w:style>
  <w:style w:type="paragraph" w:styleId="Opstilling-forts2">
    <w:name w:val="List Continue 2"/>
    <w:basedOn w:val="Normal"/>
    <w:uiPriority w:val="99"/>
    <w:semiHidden/>
    <w:rsid w:val="00BC5249"/>
    <w:pPr>
      <w:spacing w:after="120"/>
      <w:ind w:left="566"/>
      <w:contextualSpacing/>
    </w:pPr>
  </w:style>
  <w:style w:type="paragraph" w:styleId="Opstilling-forts3">
    <w:name w:val="List Continue 3"/>
    <w:basedOn w:val="Normal"/>
    <w:uiPriority w:val="99"/>
    <w:semiHidden/>
    <w:rsid w:val="00BC5249"/>
    <w:pPr>
      <w:spacing w:after="120"/>
      <w:ind w:left="849"/>
      <w:contextualSpacing/>
    </w:pPr>
  </w:style>
  <w:style w:type="paragraph" w:styleId="Opstilling-forts4">
    <w:name w:val="List Continue 4"/>
    <w:basedOn w:val="Normal"/>
    <w:uiPriority w:val="99"/>
    <w:semiHidden/>
    <w:rsid w:val="00BC5249"/>
    <w:pPr>
      <w:spacing w:after="120"/>
      <w:ind w:left="1132"/>
      <w:contextualSpacing/>
    </w:pPr>
  </w:style>
  <w:style w:type="paragraph" w:styleId="Opstilling-forts5">
    <w:name w:val="List Continue 5"/>
    <w:basedOn w:val="Normal"/>
    <w:uiPriority w:val="99"/>
    <w:semiHidden/>
    <w:rsid w:val="00BC5249"/>
    <w:pPr>
      <w:spacing w:after="120"/>
      <w:ind w:left="1415"/>
      <w:contextualSpacing/>
    </w:pPr>
  </w:style>
  <w:style w:type="paragraph" w:styleId="Opstilling-talellerbogst2">
    <w:name w:val="List Number 2"/>
    <w:basedOn w:val="Normal"/>
    <w:uiPriority w:val="99"/>
    <w:semiHidden/>
    <w:rsid w:val="00BC5249"/>
    <w:pPr>
      <w:numPr>
        <w:numId w:val="35"/>
      </w:numPr>
      <w:contextualSpacing/>
    </w:pPr>
  </w:style>
  <w:style w:type="paragraph" w:styleId="Opstilling-talellerbogst3">
    <w:name w:val="List Number 3"/>
    <w:basedOn w:val="Normal"/>
    <w:uiPriority w:val="99"/>
    <w:semiHidden/>
    <w:rsid w:val="00BC5249"/>
    <w:pPr>
      <w:numPr>
        <w:numId w:val="36"/>
      </w:numPr>
      <w:contextualSpacing/>
    </w:pPr>
  </w:style>
  <w:style w:type="paragraph" w:styleId="Opstilling-talellerbogst4">
    <w:name w:val="List Number 4"/>
    <w:basedOn w:val="Normal"/>
    <w:uiPriority w:val="99"/>
    <w:semiHidden/>
    <w:rsid w:val="00BC5249"/>
    <w:pPr>
      <w:numPr>
        <w:numId w:val="37"/>
      </w:numPr>
      <w:contextualSpacing/>
    </w:pPr>
  </w:style>
  <w:style w:type="paragraph" w:styleId="Opstilling-talellerbogst5">
    <w:name w:val="List Number 5"/>
    <w:basedOn w:val="Normal"/>
    <w:uiPriority w:val="99"/>
    <w:semiHidden/>
    <w:rsid w:val="00BC5249"/>
    <w:pPr>
      <w:contextualSpacing/>
    </w:pPr>
  </w:style>
  <w:style w:type="paragraph" w:styleId="Listeafsnit">
    <w:name w:val="List Paragraph"/>
    <w:basedOn w:val="Normal"/>
    <w:uiPriority w:val="99"/>
    <w:semiHidden/>
    <w:rsid w:val="00BC5249"/>
    <w:pPr>
      <w:ind w:left="720"/>
      <w:contextualSpacing/>
    </w:pPr>
  </w:style>
  <w:style w:type="table" w:styleId="Listetabel1-lys">
    <w:name w:val="List Table 1 Light"/>
    <w:basedOn w:val="Tabel-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1-lys-farve2">
    <w:name w:val="List Table 1 Light Accent 2"/>
    <w:basedOn w:val="Tabel-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1-lys-farve4">
    <w:name w:val="List Table 1 Light Accent 4"/>
    <w:basedOn w:val="Tabel-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1-lys-farve6">
    <w:name w:val="List Table 1 Light Accent 6"/>
    <w:basedOn w:val="Tabel-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2-farve2">
    <w:name w:val="List Table 2 Accent 2"/>
    <w:basedOn w:val="Tabel-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2-farve4">
    <w:name w:val="List Table 2 Accent 4"/>
    <w:basedOn w:val="Tabel-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2-farve6">
    <w:name w:val="List Table 2 Accent 6"/>
    <w:basedOn w:val="Tabel-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etabel3-farve2">
    <w:name w:val="List Table 3 Accent 2"/>
    <w:basedOn w:val="Tabel-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etabel3-farve4">
    <w:name w:val="List Table 3 Accent 4"/>
    <w:basedOn w:val="Tabel-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etabel3-farve6">
    <w:name w:val="List Table 3 Accent 6"/>
    <w:basedOn w:val="Tabel-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4-farve2">
    <w:name w:val="List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4-farve4">
    <w:name w:val="List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4-farve6">
    <w:name w:val="List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6-farverig-farve2">
    <w:name w:val="List Table 6 Colorful Accent 2"/>
    <w:basedOn w:val="Tabel-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6-farverig-farve4">
    <w:name w:val="List Table 6 Colorful Accent 4"/>
    <w:basedOn w:val="Tabel-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6-farverig-farve6">
    <w:name w:val="List Table 6 Colorful Accent 6"/>
    <w:basedOn w:val="Tabel-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GB"/>
    </w:rPr>
  </w:style>
  <w:style w:type="character" w:customStyle="1" w:styleId="MakrotekstTegn">
    <w:name w:val="Makrotekst Tegn"/>
    <w:basedOn w:val="Standardskrifttypeiafsnit"/>
    <w:link w:val="Makrotekst"/>
    <w:uiPriority w:val="99"/>
    <w:semiHidden/>
    <w:rsid w:val="00BC5249"/>
    <w:rPr>
      <w:rFonts w:ascii="Consolas" w:hAnsi="Consolas" w:cs="Consolas"/>
      <w:lang w:val="en-GB"/>
    </w:rPr>
  </w:style>
  <w:style w:type="table" w:styleId="Mediumgitter1">
    <w:name w:val="Medium Grid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itter1-fremhvningsfarve2">
    <w:name w:val="Medium Grid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itter1-fremhvningsfarve4">
    <w:name w:val="Medium Grid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itter1-fremhvningsfarve6">
    <w:name w:val="Medium Grid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itter3-fremhvningsfarve2">
    <w:name w:val="Medium Grid 3 Accent 2"/>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itter3-fremhvningsfarve4">
    <w:name w:val="Medium Grid 3 Accent 4"/>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itter3-fremhvningsfarve6">
    <w:name w:val="Medium Grid 3 Accent 6"/>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e1-fremhvningsfarve2">
    <w:name w:val="Medium List 1 Accent 2"/>
    <w:basedOn w:val="Tabel-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e1-fremhvningsfarve4">
    <w:name w:val="Medium List 1 Accent 4"/>
    <w:basedOn w:val="Tabel-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e1-fremhvningsfarve6">
    <w:name w:val="Medium List 1 Accent 6"/>
    <w:basedOn w:val="Tabel-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BC524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BC524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C5249"/>
    <w:rPr>
      <w:sz w:val="24"/>
      <w:szCs w:val="24"/>
    </w:rPr>
  </w:style>
  <w:style w:type="paragraph" w:styleId="Noteoverskrift">
    <w:name w:val="Note Heading"/>
    <w:basedOn w:val="Normal"/>
    <w:next w:val="Normal"/>
    <w:link w:val="NoteoverskriftTegn"/>
    <w:uiPriority w:val="99"/>
    <w:semiHidden/>
    <w:rsid w:val="00BC5249"/>
    <w:pPr>
      <w:spacing w:line="240" w:lineRule="auto"/>
    </w:pPr>
  </w:style>
  <w:style w:type="character" w:customStyle="1" w:styleId="NoteoverskriftTegn">
    <w:name w:val="Noteoverskrift Tegn"/>
    <w:basedOn w:val="Standardskrifttypeiafsnit"/>
    <w:link w:val="Noteoverskrift"/>
    <w:uiPriority w:val="99"/>
    <w:semiHidden/>
    <w:rsid w:val="00BC5249"/>
    <w:rPr>
      <w:lang w:val="en-GB"/>
    </w:rPr>
  </w:style>
  <w:style w:type="table" w:styleId="Almindeligtabel1">
    <w:name w:val="Plain Table 1"/>
    <w:basedOn w:val="Tabel-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BC5249"/>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BC5249"/>
    <w:rPr>
      <w:rFonts w:ascii="Consolas" w:hAnsi="Consolas" w:cs="Consolas"/>
      <w:sz w:val="21"/>
      <w:szCs w:val="21"/>
      <w:lang w:val="en-GB"/>
    </w:rPr>
  </w:style>
  <w:style w:type="paragraph" w:styleId="Starthilsen">
    <w:name w:val="Salutation"/>
    <w:basedOn w:val="Normal"/>
    <w:next w:val="Normal"/>
    <w:link w:val="StarthilsenTegn"/>
    <w:uiPriority w:val="99"/>
    <w:semiHidden/>
    <w:rsid w:val="00BC5249"/>
  </w:style>
  <w:style w:type="character" w:customStyle="1" w:styleId="StarthilsenTegn">
    <w:name w:val="Starthilsen Tegn"/>
    <w:basedOn w:val="Standardskrifttypeiafsnit"/>
    <w:link w:val="Starthilsen"/>
    <w:uiPriority w:val="99"/>
    <w:semiHidden/>
    <w:rsid w:val="00BC5249"/>
    <w:rPr>
      <w:lang w:val="en-GB"/>
    </w:rPr>
  </w:style>
  <w:style w:type="table" w:styleId="Tabel-3D-effekter1">
    <w:name w:val="Table 3D effects 1"/>
    <w:basedOn w:val="Tabel-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after="0" w:line="14" w:lineRule="exact"/>
    </w:pPr>
    <w:rPr>
      <w:rFonts w:eastAsia="Times New Roman" w:cs="Times New Roman"/>
      <w:noProof/>
      <w:sz w:val="16"/>
      <w:szCs w:val="24"/>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el-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Standardskrifttypeiafsnit"/>
    <w:uiPriority w:val="99"/>
    <w:semiHidden/>
    <w:rsid w:val="00BC5249"/>
    <w:rPr>
      <w:color w:val="2B579A"/>
      <w:shd w:val="clear" w:color="auto" w:fill="E6E6E6"/>
      <w:lang w:val="en-GB"/>
    </w:rPr>
  </w:style>
  <w:style w:type="character" w:styleId="Omtal">
    <w:name w:val="Mention"/>
    <w:basedOn w:val="Standardskrifttypeiafsnit"/>
    <w:uiPriority w:val="99"/>
    <w:semiHidden/>
    <w:rsid w:val="00BC5249"/>
    <w:rPr>
      <w:color w:val="2B579A"/>
      <w:shd w:val="clear" w:color="auto" w:fill="E6E6E6"/>
      <w:lang w:val="en-GB"/>
    </w:rPr>
  </w:style>
  <w:style w:type="character" w:styleId="SmartHyperlink">
    <w:name w:val="Smart Hyperlink"/>
    <w:basedOn w:val="Standardskrifttypeiafsnit"/>
    <w:uiPriority w:val="99"/>
    <w:semiHidden/>
    <w:rsid w:val="00BC5249"/>
    <w:rPr>
      <w:u w:val="dotted"/>
      <w:lang w:val="en-GB"/>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lstomtale">
    <w:name w:val="Unresolved Mention"/>
    <w:basedOn w:val="Standardskrifttypeiafsnit"/>
    <w:uiPriority w:val="99"/>
    <w:semiHidden/>
    <w:unhideWhenUsed/>
    <w:rsid w:val="001C683B"/>
    <w:rPr>
      <w:color w:val="808080"/>
      <w:shd w:val="clear" w:color="auto" w:fill="E6E6E6"/>
      <w:lang w:val="en-GB"/>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0">
    <w:name w:val="Modtager adresse"/>
    <w:basedOn w:val="Normal"/>
    <w:uiPriority w:val="9"/>
    <w:semiHidden/>
    <w:rsid w:val="00BC5249"/>
    <w:pPr>
      <w:spacing w:after="0"/>
    </w:pPr>
  </w:style>
  <w:style w:type="table" w:customStyle="1" w:styleId="RegionH-Tabelsimpel">
    <w:name w:val="Region H - Tabel simpel"/>
    <w:basedOn w:val="Tabel-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Ingenafstand"/>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after="0" w:line="200" w:lineRule="atLeast"/>
      <w:contextualSpacing/>
    </w:pPr>
    <w:rPr>
      <w:rFonts w:ascii="Mari Office Book" w:eastAsia="Times New Roman" w:hAnsi="Mari Office Book" w:cs="Times New Roman"/>
      <w:noProof/>
      <w:sz w:val="14"/>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style>
  <w:style w:type="character" w:customStyle="1" w:styleId="FaktaboksfarvetbaggrundbrugikketiltekstmedlinksTegn">
    <w:name w:val="Faktaboks farvet baggrund (brug ikke til tekst med links) Tegn"/>
    <w:basedOn w:val="Standardskrifttypeiafsnit"/>
    <w:link w:val="Faktaboksfarvetbaggrundbrugikketiltekstmedlinks"/>
    <w:uiPriority w:val="8"/>
    <w:rsid w:val="000C74C8"/>
    <w:rPr>
      <w:shd w:val="clear" w:color="auto" w:fill="CCEBFA" w:themeFill="background2"/>
      <w:lang w:val="en-GB"/>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ind w:left="284"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94569">
      <w:bodyDiv w:val="1"/>
      <w:marLeft w:val="0"/>
      <w:marRight w:val="0"/>
      <w:marTop w:val="0"/>
      <w:marBottom w:val="0"/>
      <w:divBdr>
        <w:top w:val="none" w:sz="0" w:space="0" w:color="auto"/>
        <w:left w:val="none" w:sz="0" w:space="0" w:color="auto"/>
        <w:bottom w:val="none" w:sz="0" w:space="0" w:color="auto"/>
        <w:right w:val="none" w:sz="0" w:space="0" w:color="auto"/>
      </w:divBdr>
    </w:div>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383333921">
      <w:bodyDiv w:val="1"/>
      <w:marLeft w:val="0"/>
      <w:marRight w:val="0"/>
      <w:marTop w:val="0"/>
      <w:marBottom w:val="0"/>
      <w:divBdr>
        <w:top w:val="none" w:sz="0" w:space="0" w:color="auto"/>
        <w:left w:val="none" w:sz="0" w:space="0" w:color="auto"/>
        <w:bottom w:val="none" w:sz="0" w:space="0" w:color="auto"/>
        <w:right w:val="none" w:sz="0" w:space="0" w:color="auto"/>
      </w:divBdr>
    </w:div>
    <w:div w:id="387072016">
      <w:bodyDiv w:val="1"/>
      <w:marLeft w:val="0"/>
      <w:marRight w:val="0"/>
      <w:marTop w:val="0"/>
      <w:marBottom w:val="0"/>
      <w:divBdr>
        <w:top w:val="none" w:sz="0" w:space="0" w:color="auto"/>
        <w:left w:val="none" w:sz="0" w:space="0" w:color="auto"/>
        <w:bottom w:val="none" w:sz="0" w:space="0" w:color="auto"/>
        <w:right w:val="none" w:sz="0" w:space="0" w:color="auto"/>
      </w:divBdr>
    </w:div>
    <w:div w:id="669798117">
      <w:bodyDiv w:val="1"/>
      <w:marLeft w:val="0"/>
      <w:marRight w:val="0"/>
      <w:marTop w:val="0"/>
      <w:marBottom w:val="0"/>
      <w:divBdr>
        <w:top w:val="none" w:sz="0" w:space="0" w:color="auto"/>
        <w:left w:val="none" w:sz="0" w:space="0" w:color="auto"/>
        <w:bottom w:val="none" w:sz="0" w:space="0" w:color="auto"/>
        <w:right w:val="none" w:sz="0" w:space="0" w:color="auto"/>
      </w:divBdr>
    </w:div>
    <w:div w:id="806624067">
      <w:bodyDiv w:val="1"/>
      <w:marLeft w:val="0"/>
      <w:marRight w:val="0"/>
      <w:marTop w:val="0"/>
      <w:marBottom w:val="0"/>
      <w:divBdr>
        <w:top w:val="none" w:sz="0" w:space="0" w:color="auto"/>
        <w:left w:val="none" w:sz="0" w:space="0" w:color="auto"/>
        <w:bottom w:val="none" w:sz="0" w:space="0" w:color="auto"/>
        <w:right w:val="none" w:sz="0" w:space="0" w:color="auto"/>
      </w:divBdr>
    </w:div>
    <w:div w:id="824781426">
      <w:bodyDiv w:val="1"/>
      <w:marLeft w:val="0"/>
      <w:marRight w:val="0"/>
      <w:marTop w:val="0"/>
      <w:marBottom w:val="0"/>
      <w:divBdr>
        <w:top w:val="none" w:sz="0" w:space="0" w:color="auto"/>
        <w:left w:val="none" w:sz="0" w:space="0" w:color="auto"/>
        <w:bottom w:val="none" w:sz="0" w:space="0" w:color="auto"/>
        <w:right w:val="none" w:sz="0" w:space="0" w:color="auto"/>
      </w:divBdr>
    </w:div>
    <w:div w:id="828325295">
      <w:bodyDiv w:val="1"/>
      <w:marLeft w:val="0"/>
      <w:marRight w:val="0"/>
      <w:marTop w:val="0"/>
      <w:marBottom w:val="0"/>
      <w:divBdr>
        <w:top w:val="none" w:sz="0" w:space="0" w:color="auto"/>
        <w:left w:val="none" w:sz="0" w:space="0" w:color="auto"/>
        <w:bottom w:val="none" w:sz="0" w:space="0" w:color="auto"/>
        <w:right w:val="none" w:sz="0" w:space="0" w:color="auto"/>
      </w:divBdr>
    </w:div>
    <w:div w:id="850147365">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 w:id="1079597979">
      <w:bodyDiv w:val="1"/>
      <w:marLeft w:val="0"/>
      <w:marRight w:val="0"/>
      <w:marTop w:val="0"/>
      <w:marBottom w:val="0"/>
      <w:divBdr>
        <w:top w:val="none" w:sz="0" w:space="0" w:color="auto"/>
        <w:left w:val="none" w:sz="0" w:space="0" w:color="auto"/>
        <w:bottom w:val="none" w:sz="0" w:space="0" w:color="auto"/>
        <w:right w:val="none" w:sz="0" w:space="0" w:color="auto"/>
      </w:divBdr>
    </w:div>
    <w:div w:id="1104114376">
      <w:bodyDiv w:val="1"/>
      <w:marLeft w:val="0"/>
      <w:marRight w:val="0"/>
      <w:marTop w:val="0"/>
      <w:marBottom w:val="0"/>
      <w:divBdr>
        <w:top w:val="none" w:sz="0" w:space="0" w:color="auto"/>
        <w:left w:val="none" w:sz="0" w:space="0" w:color="auto"/>
        <w:bottom w:val="none" w:sz="0" w:space="0" w:color="auto"/>
        <w:right w:val="none" w:sz="0" w:space="0" w:color="auto"/>
      </w:divBdr>
    </w:div>
    <w:div w:id="1331761025">
      <w:bodyDiv w:val="1"/>
      <w:marLeft w:val="0"/>
      <w:marRight w:val="0"/>
      <w:marTop w:val="0"/>
      <w:marBottom w:val="0"/>
      <w:divBdr>
        <w:top w:val="none" w:sz="0" w:space="0" w:color="auto"/>
        <w:left w:val="none" w:sz="0" w:space="0" w:color="auto"/>
        <w:bottom w:val="none" w:sz="0" w:space="0" w:color="auto"/>
        <w:right w:val="none" w:sz="0" w:space="0" w:color="auto"/>
      </w:divBdr>
    </w:div>
    <w:div w:id="1354188637">
      <w:bodyDiv w:val="1"/>
      <w:marLeft w:val="0"/>
      <w:marRight w:val="0"/>
      <w:marTop w:val="0"/>
      <w:marBottom w:val="0"/>
      <w:divBdr>
        <w:top w:val="none" w:sz="0" w:space="0" w:color="auto"/>
        <w:left w:val="none" w:sz="0" w:space="0" w:color="auto"/>
        <w:bottom w:val="none" w:sz="0" w:space="0" w:color="auto"/>
        <w:right w:val="none" w:sz="0" w:space="0" w:color="auto"/>
      </w:divBdr>
    </w:div>
    <w:div w:id="1378778797">
      <w:bodyDiv w:val="1"/>
      <w:marLeft w:val="0"/>
      <w:marRight w:val="0"/>
      <w:marTop w:val="0"/>
      <w:marBottom w:val="0"/>
      <w:divBdr>
        <w:top w:val="none" w:sz="0" w:space="0" w:color="auto"/>
        <w:left w:val="none" w:sz="0" w:space="0" w:color="auto"/>
        <w:bottom w:val="none" w:sz="0" w:space="0" w:color="auto"/>
        <w:right w:val="none" w:sz="0" w:space="0" w:color="auto"/>
      </w:divBdr>
    </w:div>
    <w:div w:id="1421442248">
      <w:bodyDiv w:val="1"/>
      <w:marLeft w:val="0"/>
      <w:marRight w:val="0"/>
      <w:marTop w:val="0"/>
      <w:marBottom w:val="0"/>
      <w:divBdr>
        <w:top w:val="none" w:sz="0" w:space="0" w:color="auto"/>
        <w:left w:val="none" w:sz="0" w:space="0" w:color="auto"/>
        <w:bottom w:val="none" w:sz="0" w:space="0" w:color="auto"/>
        <w:right w:val="none" w:sz="0" w:space="0" w:color="auto"/>
      </w:divBdr>
    </w:div>
    <w:div w:id="1534466713">
      <w:bodyDiv w:val="1"/>
      <w:marLeft w:val="0"/>
      <w:marRight w:val="0"/>
      <w:marTop w:val="0"/>
      <w:marBottom w:val="0"/>
      <w:divBdr>
        <w:top w:val="none" w:sz="0" w:space="0" w:color="auto"/>
        <w:left w:val="none" w:sz="0" w:space="0" w:color="auto"/>
        <w:bottom w:val="none" w:sz="0" w:space="0" w:color="auto"/>
        <w:right w:val="none" w:sz="0" w:space="0" w:color="auto"/>
      </w:divBdr>
    </w:div>
    <w:div w:id="1593002641">
      <w:bodyDiv w:val="1"/>
      <w:marLeft w:val="0"/>
      <w:marRight w:val="0"/>
      <w:marTop w:val="0"/>
      <w:marBottom w:val="0"/>
      <w:divBdr>
        <w:top w:val="none" w:sz="0" w:space="0" w:color="auto"/>
        <w:left w:val="none" w:sz="0" w:space="0" w:color="auto"/>
        <w:bottom w:val="none" w:sz="0" w:space="0" w:color="auto"/>
        <w:right w:val="none" w:sz="0" w:space="0" w:color="auto"/>
      </w:divBdr>
    </w:div>
    <w:div w:id="1647932987">
      <w:bodyDiv w:val="1"/>
      <w:marLeft w:val="0"/>
      <w:marRight w:val="0"/>
      <w:marTop w:val="0"/>
      <w:marBottom w:val="0"/>
      <w:divBdr>
        <w:top w:val="none" w:sz="0" w:space="0" w:color="auto"/>
        <w:left w:val="none" w:sz="0" w:space="0" w:color="auto"/>
        <w:bottom w:val="none" w:sz="0" w:space="0" w:color="auto"/>
        <w:right w:val="none" w:sz="0" w:space="0" w:color="auto"/>
      </w:divBdr>
    </w:div>
    <w:div w:id="1758935841">
      <w:bodyDiv w:val="1"/>
      <w:marLeft w:val="0"/>
      <w:marRight w:val="0"/>
      <w:marTop w:val="0"/>
      <w:marBottom w:val="0"/>
      <w:divBdr>
        <w:top w:val="none" w:sz="0" w:space="0" w:color="auto"/>
        <w:left w:val="none" w:sz="0" w:space="0" w:color="auto"/>
        <w:bottom w:val="none" w:sz="0" w:space="0" w:color="auto"/>
        <w:right w:val="none" w:sz="0" w:space="0" w:color="auto"/>
      </w:divBdr>
    </w:div>
    <w:div w:id="1935547276">
      <w:bodyDiv w:val="1"/>
      <w:marLeft w:val="0"/>
      <w:marRight w:val="0"/>
      <w:marTop w:val="0"/>
      <w:marBottom w:val="0"/>
      <w:divBdr>
        <w:top w:val="none" w:sz="0" w:space="0" w:color="auto"/>
        <w:left w:val="none" w:sz="0" w:space="0" w:color="auto"/>
        <w:bottom w:val="none" w:sz="0" w:space="0" w:color="auto"/>
        <w:right w:val="none" w:sz="0" w:space="0" w:color="auto"/>
      </w:divBdr>
    </w:div>
    <w:div w:id="1965039058">
      <w:bodyDiv w:val="1"/>
      <w:marLeft w:val="0"/>
      <w:marRight w:val="0"/>
      <w:marTop w:val="0"/>
      <w:marBottom w:val="0"/>
      <w:divBdr>
        <w:top w:val="none" w:sz="0" w:space="0" w:color="auto"/>
        <w:left w:val="none" w:sz="0" w:space="0" w:color="auto"/>
        <w:bottom w:val="none" w:sz="0" w:space="0" w:color="auto"/>
        <w:right w:val="none" w:sz="0" w:space="0" w:color="auto"/>
      </w:divBdr>
    </w:div>
    <w:div w:id="2022664551">
      <w:bodyDiv w:val="1"/>
      <w:marLeft w:val="0"/>
      <w:marRight w:val="0"/>
      <w:marTop w:val="0"/>
      <w:marBottom w:val="0"/>
      <w:divBdr>
        <w:top w:val="none" w:sz="0" w:space="0" w:color="auto"/>
        <w:left w:val="none" w:sz="0" w:space="0" w:color="auto"/>
        <w:bottom w:val="none" w:sz="0" w:space="0" w:color="auto"/>
        <w:right w:val="none" w:sz="0" w:space="0" w:color="auto"/>
      </w:divBdr>
    </w:div>
    <w:div w:id="2070222737">
      <w:bodyDiv w:val="1"/>
      <w:marLeft w:val="0"/>
      <w:marRight w:val="0"/>
      <w:marTop w:val="0"/>
      <w:marBottom w:val="0"/>
      <w:divBdr>
        <w:top w:val="none" w:sz="0" w:space="0" w:color="auto"/>
        <w:left w:val="none" w:sz="0" w:space="0" w:color="auto"/>
        <w:bottom w:val="none" w:sz="0" w:space="0" w:color="auto"/>
        <w:right w:val="none" w:sz="0" w:space="0" w:color="auto"/>
      </w:divBdr>
    </w:div>
    <w:div w:id="21142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cbi.nlm.nih.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ag0021\AppData\Local\Temp\Templafy\WordVsto\emap2t0t.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elementConfiguration":{"binding":"{{Translate(\"Side\")}}","promptAiService":false,"removeAndKeepContent":false,"disableUpdates":false,"type":"text"},"type":"richTextContentControl","id":"6e9ee8a8-f69c-467a-a8e8-65b8caefa092"}],"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84CB5-A832-422E-9260-36EE253C97BD}">
  <ds:schemaRefs/>
</ds:datastoreItem>
</file>

<file path=customXml/itemProps2.xml><?xml version="1.0" encoding="utf-8"?>
<ds:datastoreItem xmlns:ds="http://schemas.openxmlformats.org/officeDocument/2006/customXml" ds:itemID="{4A783360-2D84-4F66-8880-7053A2A2F97E}">
  <ds:schemaRefs/>
</ds:datastoreItem>
</file>

<file path=customXml/itemProps3.xml><?xml version="1.0" encoding="utf-8"?>
<ds:datastoreItem xmlns:ds="http://schemas.openxmlformats.org/officeDocument/2006/customXml" ds:itemID="{EF217624-A51F-4AC7-B675-0659BAAC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emap2t0t</Template>
  <TotalTime>12482</TotalTime>
  <Pages>7</Pages>
  <Words>18637</Words>
  <Characters>113691</Characters>
  <Application>Microsoft Office Word</Application>
  <DocSecurity>0</DocSecurity>
  <Lines>947</Lines>
  <Paragraphs>264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Bagge</dc:creator>
  <cp:keywords/>
  <dc:description/>
  <cp:lastModifiedBy>Jasmin Bagge</cp:lastModifiedBy>
  <cp:revision>75</cp:revision>
  <dcterms:created xsi:type="dcterms:W3CDTF">2025-06-04T12:27:00Z</dcterms:created>
  <dcterms:modified xsi:type="dcterms:W3CDTF">2025-08-01T09:32:00Z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981433167232368650</vt:lpwstr>
  </property>
  <property fmtid="{D5CDD505-2E9C-101B-9397-08002B2CF9AE}" pid="6" name="TemplafyLanguageCode">
    <vt:lpwstr>en-GB</vt:lpwstr>
  </property>
  <property fmtid="{D5CDD505-2E9C-101B-9397-08002B2CF9AE}" pid="7" name="TemplafyFromBlank">
    <vt:bool>true</vt:bool>
  </property>
  <property fmtid="{D5CDD505-2E9C-101B-9397-08002B2CF9AE}" pid="8" name="Mendeley Recent Style Id 0_1">
    <vt:lpwstr>http://www.zotero.org/styles/acs-infectious-diseases</vt:lpwstr>
  </property>
  <property fmtid="{D5CDD505-2E9C-101B-9397-08002B2CF9AE}" pid="9" name="Mendeley Recent Style Name 0_1">
    <vt:lpwstr>ACS Infectious Diseases</vt:lpwstr>
  </property>
  <property fmtid="{D5CDD505-2E9C-101B-9397-08002B2CF9AE}" pid="10" name="Mendeley Recent Style Id 1_1">
    <vt:lpwstr>http://www.zotero.org/styles/acs-medicinal-chemistry-letters</vt:lpwstr>
  </property>
  <property fmtid="{D5CDD505-2E9C-101B-9397-08002B2CF9AE}" pid="11" name="Mendeley Recent Style Name 1_1">
    <vt:lpwstr>ACS Medicinal Chemistry Letters</vt:lpwstr>
  </property>
  <property fmtid="{D5CDD505-2E9C-101B-9397-08002B2CF9AE}" pid="12" name="Mendeley Recent Style Id 2_1">
    <vt:lpwstr>http://www.zotero.org/styles/acs-synthetic-biology</vt:lpwstr>
  </property>
  <property fmtid="{D5CDD505-2E9C-101B-9397-08002B2CF9AE}" pid="13" name="Mendeley Recent Style Name 2_1">
    <vt:lpwstr>ACS Synthetic Biology</vt:lpwstr>
  </property>
  <property fmtid="{D5CDD505-2E9C-101B-9397-08002B2CF9AE}" pid="14" name="Mendeley Recent Style Id 3_1">
    <vt:lpwstr>http://www.zotero.org/styles/american-medical-association</vt:lpwstr>
  </property>
  <property fmtid="{D5CDD505-2E9C-101B-9397-08002B2CF9AE}" pid="15" name="Mendeley Recent Style Name 3_1">
    <vt:lpwstr>American Medical Association 11th edition</vt:lpwstr>
  </property>
  <property fmtid="{D5CDD505-2E9C-101B-9397-08002B2CF9AE}" pid="16" name="Mendeley Recent Style Id 4_1">
    <vt:lpwstr>http://www.zotero.org/styles/bmc-veterinary-research</vt:lpwstr>
  </property>
  <property fmtid="{D5CDD505-2E9C-101B-9397-08002B2CF9AE}" pid="17" name="Mendeley Recent Style Name 4_1">
    <vt:lpwstr>BMC Veterinary Research</vt:lpwstr>
  </property>
  <property fmtid="{D5CDD505-2E9C-101B-9397-08002B2CF9AE}" pid="18" name="Mendeley Recent Style Id 5_1">
    <vt:lpwstr>http://www.zotero.org/styles/bibliotheque-universitaire-de-medecine-vancouver</vt:lpwstr>
  </property>
  <property fmtid="{D5CDD505-2E9C-101B-9397-08002B2CF9AE}" pid="19" name="Mendeley Recent Style Name 5_1">
    <vt:lpwstr>Bibliothèque universitaire de médecine - Vancouver</vt:lpwstr>
  </property>
  <property fmtid="{D5CDD505-2E9C-101B-9397-08002B2CF9AE}" pid="20" name="Mendeley Recent Style Id 6_1">
    <vt:lpwstr>http://www.zotero.org/styles/journal-of-clinical-medicine</vt:lpwstr>
  </property>
  <property fmtid="{D5CDD505-2E9C-101B-9397-08002B2CF9AE}" pid="21" name="Mendeley Recent Style Name 6_1">
    <vt:lpwstr>Journal of Clinical Medicine</vt:lpwstr>
  </property>
  <property fmtid="{D5CDD505-2E9C-101B-9397-08002B2CF9AE}" pid="22" name="Mendeley Recent Style Id 7_1">
    <vt:lpwstr>http://www.zotero.org/styles/springer-basic-brackets-no-et-al-alphabetical</vt:lpwstr>
  </property>
  <property fmtid="{D5CDD505-2E9C-101B-9397-08002B2CF9AE}" pid="23" name="Mendeley Recent Style Name 7_1">
    <vt:lpwstr>Springer - Basic (numeric, brackets, no "et al.", alphabetical)</vt:lpwstr>
  </property>
  <property fmtid="{D5CDD505-2E9C-101B-9397-08002B2CF9AE}" pid="24" name="Mendeley Recent Style Id 8_1">
    <vt:lpwstr>http://www.zotero.org/styles/stem-cell-research-and-therapy</vt:lpwstr>
  </property>
  <property fmtid="{D5CDD505-2E9C-101B-9397-08002B2CF9AE}" pid="25" name="Mendeley Recent Style Name 8_1">
    <vt:lpwstr>Stem Cell Research &amp; Therapy</vt:lpwstr>
  </property>
  <property fmtid="{D5CDD505-2E9C-101B-9397-08002B2CF9AE}" pid="26" name="Mendeley Recent Style Id 9_1">
    <vt:lpwstr>http://www.zotero.org/styles/vancouver-superscript</vt:lpwstr>
  </property>
  <property fmtid="{D5CDD505-2E9C-101B-9397-08002B2CF9AE}" pid="27" name="Mendeley Recent Style Name 9_1">
    <vt:lpwstr>Vancouver (superscript)</vt:lpwstr>
  </property>
  <property fmtid="{D5CDD505-2E9C-101B-9397-08002B2CF9AE}" pid="28" name="Mendeley Document_1">
    <vt:lpwstr>True</vt:lpwstr>
  </property>
  <property fmtid="{D5CDD505-2E9C-101B-9397-08002B2CF9AE}" pid="29" name="Mendeley Unique User Id_1">
    <vt:lpwstr>b58a6712-0174-3aa3-97c0-fccadc8c8098</vt:lpwstr>
  </property>
  <property fmtid="{D5CDD505-2E9C-101B-9397-08002B2CF9AE}" pid="30" name="Mendeley Citation Style_1">
    <vt:lpwstr>http://www.zotero.org/styles/stem-cell-research-and-therapy</vt:lpwstr>
  </property>
</Properties>
</file>