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8042" w14:textId="77777777" w:rsidR="00954832" w:rsidRDefault="000000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104D3EB9" wp14:editId="7E6BF1EE">
            <wp:extent cx="5270500" cy="3733800"/>
            <wp:effectExtent l="0" t="0" r="2540" b="0"/>
            <wp:docPr id="2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55485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Fig. 1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hAnsi="Times New Roman" w:cs="Times New Roman"/>
          <w:b/>
          <w:bCs/>
        </w:rPr>
        <w:t>Single-cell QC and preprocessing for the murine bone dataset.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QC metrics per cell showing the distributions of total UMI counts (</w:t>
      </w:r>
      <w:proofErr w:type="spellStart"/>
      <w:r>
        <w:rPr>
          <w:rFonts w:ascii="Times New Roman" w:hAnsi="Times New Roman" w:cs="Times New Roman"/>
        </w:rPr>
        <w:t>nCount_RNA</w:t>
      </w:r>
      <w:proofErr w:type="spellEnd"/>
      <w:r>
        <w:rPr>
          <w:rFonts w:ascii="Times New Roman" w:hAnsi="Times New Roman" w:cs="Times New Roman"/>
        </w:rPr>
        <w:t>), detected genes (</w:t>
      </w:r>
      <w:proofErr w:type="spellStart"/>
      <w:r>
        <w:rPr>
          <w:rFonts w:ascii="Times New Roman" w:hAnsi="Times New Roman" w:cs="Times New Roman"/>
        </w:rPr>
        <w:t>nFeature_RNA</w:t>
      </w:r>
      <w:proofErr w:type="spellEnd"/>
      <w:r>
        <w:rPr>
          <w:rFonts w:ascii="Times New Roman" w:hAnsi="Times New Roman" w:cs="Times New Roman"/>
        </w:rPr>
        <w:t>), library complexity index (log10GenesPerUMI), and mitochondrial RNA fraction (</w:t>
      </w:r>
      <w:proofErr w:type="spellStart"/>
      <w:r>
        <w:rPr>
          <w:rFonts w:ascii="Times New Roman" w:hAnsi="Times New Roman" w:cs="Times New Roman"/>
        </w:rPr>
        <w:t>mitoRatio</w:t>
      </w:r>
      <w:proofErr w:type="spellEnd"/>
      <w:r>
        <w:rPr>
          <w:rFonts w:ascii="Times New Roman" w:hAnsi="Times New Roman" w:cs="Times New Roman"/>
        </w:rPr>
        <w:t xml:space="preserve">). Cells outside the thresholds were excluded. </w:t>
      </w:r>
      <w:r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 Cell numbers for each annotated population after clustering and annotation. </w:t>
      </w:r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 xml:space="preserve"> Scatter plot of detected genes per cell (</w:t>
      </w:r>
      <w:proofErr w:type="spellStart"/>
      <w:r>
        <w:rPr>
          <w:rFonts w:ascii="Times New Roman" w:hAnsi="Times New Roman" w:cs="Times New Roman"/>
        </w:rPr>
        <w:t>nFeature_RNA</w:t>
      </w:r>
      <w:proofErr w:type="spellEnd"/>
      <w:r>
        <w:rPr>
          <w:rFonts w:ascii="Times New Roman" w:hAnsi="Times New Roman" w:cs="Times New Roman"/>
        </w:rPr>
        <w:t>) versus total UMI counts (</w:t>
      </w:r>
      <w:proofErr w:type="spellStart"/>
      <w:r>
        <w:rPr>
          <w:rFonts w:ascii="Times New Roman" w:hAnsi="Times New Roman" w:cs="Times New Roman"/>
        </w:rPr>
        <w:t>nCount_RNA</w:t>
      </w:r>
      <w:proofErr w:type="spellEnd"/>
      <w:r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</w:rPr>
        <w:t xml:space="preserve"> Cell-cycle phase scoring followed by regression of cell-cycle effects during normalization.</w:t>
      </w:r>
    </w:p>
    <w:p w14:paraId="67284569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FBB7D9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E2D368B" wp14:editId="7792285E">
            <wp:extent cx="5271135" cy="2035810"/>
            <wp:effectExtent l="0" t="0" r="1905" b="6350"/>
            <wp:docPr id="4" name="图片 4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8A61E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Fig. 2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hAnsi="Times New Roman" w:cs="Times New Roman"/>
          <w:b/>
          <w:bCs/>
        </w:rPr>
        <w:t>Intercellular communication overview.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Heatmap from </w:t>
      </w:r>
      <w:proofErr w:type="spellStart"/>
      <w:r>
        <w:rPr>
          <w:rFonts w:ascii="Times New Roman" w:hAnsi="Times New Roman" w:cs="Times New Roman"/>
        </w:rPr>
        <w:t>CellChat</w:t>
      </w:r>
      <w:proofErr w:type="spellEnd"/>
      <w:r>
        <w:rPr>
          <w:rFonts w:ascii="Times New Roman" w:hAnsi="Times New Roman" w:cs="Times New Roman"/>
        </w:rPr>
        <w:t xml:space="preserve"> summarizing the number of </w:t>
      </w:r>
      <w:proofErr w:type="gramStart"/>
      <w:r>
        <w:rPr>
          <w:rFonts w:ascii="Times New Roman" w:hAnsi="Times New Roman" w:cs="Times New Roman"/>
        </w:rPr>
        <w:t>ligand</w:t>
      </w:r>
      <w:proofErr w:type="gramEnd"/>
      <w:r>
        <w:rPr>
          <w:rFonts w:ascii="Times New Roman" w:hAnsi="Times New Roman" w:cs="Times New Roman"/>
        </w:rPr>
        <w:t xml:space="preserve">–receptor interactions among BMSCs, adipocytes, and osteoblasts. </w:t>
      </w:r>
      <w:r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 Heatmap of overall signaling patterns across the three lineages for major pathways.</w:t>
      </w:r>
    </w:p>
    <w:p w14:paraId="5199C622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352DC26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114300" distR="114300" wp14:anchorId="3D238EFE" wp14:editId="18316F08">
            <wp:extent cx="5273040" cy="8123555"/>
            <wp:effectExtent l="0" t="0" r="0" b="14605"/>
            <wp:docPr id="1" name="图片 1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12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45074" w14:textId="77777777" w:rsidR="00954832" w:rsidRDefault="0095483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81F6A41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 Fig. 3 | Morphological and immunophenotypic characterization of primary rat BMSCs.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Bright-field image of cultured BMSCs showing fibroblast-like spindle morphology. </w:t>
      </w:r>
      <w:r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 Phase-contrast image of BMSCs at higher magnification. </w:t>
      </w:r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 xml:space="preserve"> Immunofluorescence staining for CD90 (red), with DAPI nuclear counterstaining (blue) and merged image. </w:t>
      </w:r>
      <w:proofErr w:type="gramStart"/>
      <w:r>
        <w:rPr>
          <w:rFonts w:ascii="Times New Roman" w:hAnsi="Times New Roman" w:cs="Times New Roman"/>
          <w:b/>
          <w:bCs/>
        </w:rPr>
        <w:t>D,E</w:t>
      </w:r>
      <w:proofErr w:type="gramEnd"/>
      <w:r>
        <w:rPr>
          <w:rFonts w:ascii="Times New Roman" w:hAnsi="Times New Roman" w:cs="Times New Roman"/>
        </w:rPr>
        <w:t xml:space="preserve"> Immunofluorescence staining for CD29 (green; </w:t>
      </w:r>
      <w:r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</w:rPr>
        <w:t xml:space="preserve">) and CD105 (red; </w:t>
      </w:r>
      <w:r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</w:rPr>
        <w:t xml:space="preserve">), with DAPI counterstaining and merged images. </w:t>
      </w:r>
      <w:proofErr w:type="gramStart"/>
      <w:r>
        <w:rPr>
          <w:rFonts w:ascii="Times New Roman" w:hAnsi="Times New Roman" w:cs="Times New Roman"/>
          <w:b/>
          <w:bCs/>
        </w:rPr>
        <w:t>F,G</w:t>
      </w:r>
      <w:proofErr w:type="gramEnd"/>
      <w:r>
        <w:rPr>
          <w:rFonts w:ascii="Times New Roman" w:hAnsi="Times New Roman" w:cs="Times New Roman"/>
        </w:rPr>
        <w:t xml:space="preserve"> Immunofluorescence staining for CD34 </w:t>
      </w:r>
      <w:r>
        <w:rPr>
          <w:rFonts w:ascii="Times New Roman" w:hAnsi="Times New Roman" w:cs="Times New Roman"/>
          <w:b/>
          <w:bCs/>
        </w:rPr>
        <w:t>(F)</w:t>
      </w:r>
      <w:r>
        <w:rPr>
          <w:rFonts w:ascii="Times New Roman" w:hAnsi="Times New Roman" w:cs="Times New Roman"/>
        </w:rPr>
        <w:t xml:space="preserve"> and CD45 </w:t>
      </w:r>
      <w:r>
        <w:rPr>
          <w:rFonts w:ascii="Times New Roman" w:hAnsi="Times New Roman" w:cs="Times New Roman"/>
          <w:b/>
          <w:bCs/>
        </w:rPr>
        <w:t>(G)</w:t>
      </w:r>
      <w:r>
        <w:rPr>
          <w:rFonts w:ascii="Times New Roman" w:hAnsi="Times New Roman" w:cs="Times New Roman"/>
        </w:rPr>
        <w:t xml:space="preserve">, with DAPI counterstaining and merged images. Scale bars, 50 </w:t>
      </w:r>
      <w:proofErr w:type="spellStart"/>
      <w:r>
        <w:rPr>
          <w:rFonts w:ascii="Times New Roman" w:hAnsi="Times New Roman" w:cs="Times New Roman"/>
        </w:rPr>
        <w:t>μm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(A–C)</w:t>
      </w:r>
      <w:r>
        <w:rPr>
          <w:rFonts w:ascii="Times New Roman" w:hAnsi="Times New Roman" w:cs="Times New Roman"/>
        </w:rPr>
        <w:t xml:space="preserve"> and 20 </w:t>
      </w:r>
      <w:proofErr w:type="spellStart"/>
      <w:r>
        <w:rPr>
          <w:rFonts w:ascii="Times New Roman" w:hAnsi="Times New Roman" w:cs="Times New Roman"/>
        </w:rPr>
        <w:t>μm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(D–G)</w:t>
      </w:r>
      <w:r>
        <w:rPr>
          <w:rFonts w:ascii="Times New Roman" w:hAnsi="Times New Roman" w:cs="Times New Roman"/>
        </w:rPr>
        <w:t>.</w:t>
      </w:r>
    </w:p>
    <w:p w14:paraId="583BF9AE" w14:textId="77777777" w:rsidR="00954832" w:rsidRDefault="00000000">
      <w:pPr>
        <w:spacing w:line="480" w:lineRule="auto"/>
      </w:pPr>
      <w:r>
        <w:br w:type="page"/>
      </w:r>
    </w:p>
    <w:p w14:paraId="0FE67FA6" w14:textId="77777777" w:rsidR="00954832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noProof/>
          <w:color w:val="000000"/>
          <w:sz w:val="20"/>
          <w:szCs w:val="20"/>
          <w:lang w:bidi="ar"/>
        </w:rPr>
        <w:lastRenderedPageBreak/>
        <w:drawing>
          <wp:inline distT="0" distB="0" distL="0" distR="0" wp14:anchorId="3B7D47B2" wp14:editId="50343D92">
            <wp:extent cx="5274310" cy="2677795"/>
            <wp:effectExtent l="0" t="0" r="2540" b="8255"/>
            <wp:docPr id="8675285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28531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BCB50" w14:textId="77777777" w:rsidR="00954832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</w:rPr>
        <w:t xml:space="preserve">4 </w:t>
      </w:r>
      <w:r>
        <w:rPr>
          <w:rFonts w:ascii="Times New Roman" w:hAnsi="Times New Roman" w:cs="Times New Roman"/>
          <w:b/>
          <w:bCs/>
        </w:rPr>
        <w:t xml:space="preserve">| Time-course qPCR analysis of osteogenic and </w:t>
      </w:r>
      <w:proofErr w:type="spellStart"/>
      <w:r>
        <w:rPr>
          <w:rFonts w:ascii="Times New Roman" w:hAnsi="Times New Roman" w:cs="Times New Roman"/>
          <w:b/>
          <w:bCs/>
        </w:rPr>
        <w:t>adipogenic</w:t>
      </w:r>
      <w:proofErr w:type="spellEnd"/>
      <w:r>
        <w:rPr>
          <w:rFonts w:ascii="Times New Roman" w:hAnsi="Times New Roman" w:cs="Times New Roman"/>
          <w:b/>
          <w:bCs/>
        </w:rPr>
        <w:t xml:space="preserve"> marker expression after modulation of the miR-29b-3p–Tet2–E-cadherin axis in BMSCs.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A–</w:t>
      </w:r>
      <w:r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/>
        </w:rPr>
        <w:t xml:space="preserve"> Time-course qPCR analysis of osteogenic marker expression (</w:t>
      </w:r>
      <w:r>
        <w:rPr>
          <w:rFonts w:ascii="Times New Roman" w:hAnsi="Times New Roman" w:cs="Times New Roman"/>
          <w:i/>
          <w:iCs/>
        </w:rPr>
        <w:t>Runx2,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Alpl</w:t>
      </w:r>
      <w:proofErr w:type="spellEnd"/>
      <w:r>
        <w:rPr>
          <w:rFonts w:ascii="Times New Roman" w:hAnsi="Times New Roman" w:cs="Times New Roman"/>
        </w:rPr>
        <w:t xml:space="preserve">, and </w:t>
      </w:r>
      <w:proofErr w:type="spellStart"/>
      <w:r>
        <w:rPr>
          <w:rFonts w:ascii="Times New Roman" w:hAnsi="Times New Roman" w:cs="Times New Roman"/>
          <w:i/>
          <w:iCs/>
        </w:rPr>
        <w:t>Bglap</w:t>
      </w:r>
      <w:proofErr w:type="spellEnd"/>
      <w:r>
        <w:rPr>
          <w:rFonts w:ascii="Times New Roman" w:hAnsi="Times New Roman" w:cs="Times New Roman"/>
        </w:rPr>
        <w:t xml:space="preserve">) during induction in BMSCs transfected with miR-29b-3p mimic or inhibitor, </w:t>
      </w:r>
      <w:r>
        <w:rPr>
          <w:rFonts w:ascii="Times New Roman" w:hAnsi="Times New Roman" w:cs="Times New Roman"/>
          <w:i/>
          <w:iCs/>
        </w:rPr>
        <w:t>Tet2</w:t>
      </w:r>
      <w:r>
        <w:rPr>
          <w:rFonts w:ascii="Times New Roman" w:hAnsi="Times New Roman" w:cs="Times New Roman"/>
        </w:rPr>
        <w:t xml:space="preserve"> KD or OE, or </w:t>
      </w:r>
      <w:r>
        <w:rPr>
          <w:rFonts w:ascii="Times New Roman" w:hAnsi="Times New Roman" w:cs="Times New Roman"/>
          <w:i/>
          <w:iCs/>
        </w:rPr>
        <w:t>Cdh1</w:t>
      </w:r>
      <w:r>
        <w:rPr>
          <w:rFonts w:ascii="Times New Roman" w:hAnsi="Times New Roman" w:cs="Times New Roman"/>
        </w:rPr>
        <w:t xml:space="preserve"> OE or KD, together with the matched controls. </w:t>
      </w:r>
      <w:r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</w:rPr>
        <w:t xml:space="preserve"> Time-course qPCR analysis of </w:t>
      </w:r>
      <w:proofErr w:type="spellStart"/>
      <w:r>
        <w:rPr>
          <w:rFonts w:ascii="Times New Roman" w:hAnsi="Times New Roman" w:cs="Times New Roman"/>
        </w:rPr>
        <w:t>adipogenic</w:t>
      </w:r>
      <w:proofErr w:type="spellEnd"/>
      <w:r>
        <w:rPr>
          <w:rFonts w:ascii="Times New Roman" w:hAnsi="Times New Roman" w:cs="Times New Roman"/>
        </w:rPr>
        <w:t xml:space="preserve"> marker expression (</w:t>
      </w:r>
      <w:proofErr w:type="spellStart"/>
      <w:r>
        <w:rPr>
          <w:rFonts w:ascii="Times New Roman" w:hAnsi="Times New Roman" w:cs="Times New Roman"/>
          <w:i/>
          <w:iCs/>
        </w:rPr>
        <w:t>Cebpb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Pparg</w:t>
      </w:r>
      <w:proofErr w:type="spellEnd"/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  <w:iCs/>
        </w:rPr>
        <w:t>Fabp4</w:t>
      </w:r>
      <w:r>
        <w:rPr>
          <w:rFonts w:ascii="Times New Roman" w:hAnsi="Times New Roman" w:cs="Times New Roman"/>
        </w:rPr>
        <w:t>) during induction in the same groups. Because the matched negative controls showed similar expression patterns, the corresponding control groups were combined for display as NC or Scramble/Vector. Statistical comparisons were performed between each perturbation group and its matched control at the same time point. Statistical comparisons were performed using two-way ANOVA followed by Dunnett’s multiple-comparisons test. Data are shown as mean ± SD, n = 3 independent biological replicates per group. * p &lt; 0.05, ** p &lt; 0.01, *** p &lt; 0.001; ns, not significant.</w:t>
      </w:r>
    </w:p>
    <w:p w14:paraId="777384E4" w14:textId="77777777" w:rsidR="00954832" w:rsidRDefault="00954832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</w:p>
    <w:p w14:paraId="25BE0DF3" w14:textId="77777777" w:rsidR="00954832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br w:type="page"/>
      </w:r>
    </w:p>
    <w:p w14:paraId="132AD862" w14:textId="3CAE11C6" w:rsidR="00FF6231" w:rsidRDefault="00FF6231" w:rsidP="00FF6231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noProof/>
          <w:color w:val="000000"/>
          <w:sz w:val="20"/>
          <w:szCs w:val="20"/>
          <w:lang w:bidi="ar"/>
        </w:rPr>
        <w:lastRenderedPageBreak/>
        <w:drawing>
          <wp:inline distT="0" distB="0" distL="0" distR="0" wp14:anchorId="7CECAFFE" wp14:editId="28136673">
            <wp:extent cx="5274310" cy="8296275"/>
            <wp:effectExtent l="0" t="0" r="2540" b="9525"/>
            <wp:docPr id="11304473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47321" name="图片 11304473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A9F23" w14:textId="77777777" w:rsidR="00FF6231" w:rsidRDefault="00FF6231" w:rsidP="00FF623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793068F" w14:textId="6B30C60C" w:rsidR="00FF6231" w:rsidRDefault="00FF6231" w:rsidP="00FF623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Fig. </w:t>
      </w:r>
      <w:r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| </w:t>
      </w:r>
      <w:r w:rsidRPr="00FF6231">
        <w:rPr>
          <w:rFonts w:ascii="Times New Roman" w:hAnsi="Times New Roman" w:cs="Times New Roman"/>
          <w:b/>
          <w:bCs/>
        </w:rPr>
        <w:t>Additional independent biological replicates of Western blot experiments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FF6231">
        <w:rPr>
          <w:rFonts w:ascii="Times New Roman" w:hAnsi="Times New Roman" w:cs="Times New Roman"/>
          <w:b/>
          <w:bCs/>
        </w:rPr>
        <w:t>A–E</w:t>
      </w:r>
      <w:r w:rsidRPr="00FF6231">
        <w:rPr>
          <w:rFonts w:ascii="Times New Roman" w:hAnsi="Times New Roman" w:cs="Times New Roman"/>
        </w:rPr>
        <w:t xml:space="preserve"> Biological replicates 2 and 3 corresponding to Fig. 3B, E, I, L, and P, respectively. </w:t>
      </w:r>
      <w:proofErr w:type="gramStart"/>
      <w:r w:rsidRPr="00FF6231">
        <w:rPr>
          <w:rFonts w:ascii="Times New Roman" w:hAnsi="Times New Roman" w:cs="Times New Roman"/>
          <w:b/>
          <w:bCs/>
        </w:rPr>
        <w:t>F,G</w:t>
      </w:r>
      <w:proofErr w:type="gramEnd"/>
      <w:r w:rsidRPr="00FF6231">
        <w:rPr>
          <w:rFonts w:ascii="Times New Roman" w:hAnsi="Times New Roman" w:cs="Times New Roman"/>
        </w:rPr>
        <w:t xml:space="preserve"> Biological replicates 2 and 3 corresponding to Fig. 4D and L, respectively. Biological replicate 1 is shown in the corresponding main figure panels.</w:t>
      </w:r>
    </w:p>
    <w:p w14:paraId="54B05BEF" w14:textId="77777777" w:rsidR="00FF6231" w:rsidRDefault="00FF623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29E525" w14:textId="3E6F738A" w:rsidR="00954832" w:rsidRDefault="00000000" w:rsidP="00FF6231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1.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Candidate miRNAs predicted to target </w:t>
      </w:r>
      <w:r>
        <w:rPr>
          <w:rFonts w:ascii="Times New Roman" w:eastAsia="宋体" w:hAnsi="Times New Roman" w:cs="Times New Roman" w:hint="eastAsia"/>
          <w:b/>
          <w:bCs/>
          <w:i/>
          <w:iCs/>
          <w:color w:val="000000"/>
          <w:sz w:val="20"/>
          <w:szCs w:val="20"/>
          <w:lang w:bidi="ar"/>
        </w:rPr>
        <w:t>Tet2</w:t>
      </w:r>
    </w:p>
    <w:tbl>
      <w:tblPr>
        <w:tblStyle w:val="a7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129"/>
        <w:gridCol w:w="2108"/>
        <w:gridCol w:w="2131"/>
      </w:tblGrid>
      <w:tr w:rsidR="00954832" w14:paraId="6BF4199B" w14:textId="77777777"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862F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09126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clipExpNum</w:t>
            </w:r>
            <w:proofErr w:type="spell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45C6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phyloP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28AFF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TDMDScore</w:t>
            </w:r>
            <w:proofErr w:type="spellEnd"/>
          </w:p>
        </w:tc>
      </w:tr>
      <w:tr w:rsidR="00954832" w14:paraId="356E613F" w14:textId="77777777"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873EF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mmu-miR-29b-3p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6E2F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F07A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3.707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94B84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1.4514</w:t>
            </w:r>
          </w:p>
        </w:tc>
      </w:tr>
      <w:tr w:rsidR="00954832" w14:paraId="076AB67C" w14:textId="77777777">
        <w:tc>
          <w:tcPr>
            <w:tcW w:w="2173" w:type="dxa"/>
            <w:vAlign w:val="center"/>
          </w:tcPr>
          <w:p w14:paraId="6695857A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mmu-miR-29a-3p</w:t>
            </w:r>
          </w:p>
        </w:tc>
        <w:tc>
          <w:tcPr>
            <w:tcW w:w="2173" w:type="dxa"/>
            <w:vAlign w:val="center"/>
          </w:tcPr>
          <w:p w14:paraId="112E802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73" w:type="dxa"/>
            <w:vAlign w:val="center"/>
          </w:tcPr>
          <w:p w14:paraId="3FF6073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2174" w:type="dxa"/>
            <w:vAlign w:val="center"/>
          </w:tcPr>
          <w:p w14:paraId="5C7ECC2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1.3691</w:t>
            </w:r>
          </w:p>
        </w:tc>
      </w:tr>
      <w:tr w:rsidR="00954832" w14:paraId="6479D3F9" w14:textId="77777777">
        <w:tc>
          <w:tcPr>
            <w:tcW w:w="2173" w:type="dxa"/>
            <w:vAlign w:val="center"/>
          </w:tcPr>
          <w:p w14:paraId="23E75D0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mmu-miR-29c-3p</w:t>
            </w:r>
          </w:p>
        </w:tc>
        <w:tc>
          <w:tcPr>
            <w:tcW w:w="2173" w:type="dxa"/>
            <w:vAlign w:val="center"/>
          </w:tcPr>
          <w:p w14:paraId="7DE7E4C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73" w:type="dxa"/>
            <w:vAlign w:val="center"/>
          </w:tcPr>
          <w:p w14:paraId="444071F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5.549</w:t>
            </w:r>
          </w:p>
        </w:tc>
        <w:tc>
          <w:tcPr>
            <w:tcW w:w="2174" w:type="dxa"/>
            <w:vAlign w:val="center"/>
          </w:tcPr>
          <w:p w14:paraId="7761229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1.3237</w:t>
            </w:r>
          </w:p>
        </w:tc>
      </w:tr>
      <w:tr w:rsidR="00954832" w14:paraId="769DB2C6" w14:textId="77777777">
        <w:tc>
          <w:tcPr>
            <w:tcW w:w="2173" w:type="dxa"/>
            <w:vAlign w:val="center"/>
          </w:tcPr>
          <w:p w14:paraId="30C5E9E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mmu-miR-871-5p</w:t>
            </w:r>
          </w:p>
        </w:tc>
        <w:tc>
          <w:tcPr>
            <w:tcW w:w="2173" w:type="dxa"/>
            <w:vAlign w:val="center"/>
          </w:tcPr>
          <w:p w14:paraId="33A9F7D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73" w:type="dxa"/>
            <w:vAlign w:val="center"/>
          </w:tcPr>
          <w:p w14:paraId="1A96A9B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3.789</w:t>
            </w:r>
          </w:p>
        </w:tc>
        <w:tc>
          <w:tcPr>
            <w:tcW w:w="2174" w:type="dxa"/>
            <w:vAlign w:val="center"/>
          </w:tcPr>
          <w:p w14:paraId="20F8749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1.1711</w:t>
            </w:r>
          </w:p>
        </w:tc>
      </w:tr>
      <w:tr w:rsidR="00954832" w14:paraId="4E754320" w14:textId="77777777">
        <w:tc>
          <w:tcPr>
            <w:tcW w:w="2173" w:type="dxa"/>
            <w:vAlign w:val="center"/>
          </w:tcPr>
          <w:p w14:paraId="1AE041A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mmu-miR-770-5p</w:t>
            </w:r>
          </w:p>
        </w:tc>
        <w:tc>
          <w:tcPr>
            <w:tcW w:w="2173" w:type="dxa"/>
            <w:vAlign w:val="center"/>
          </w:tcPr>
          <w:p w14:paraId="28446B7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73" w:type="dxa"/>
            <w:vAlign w:val="center"/>
          </w:tcPr>
          <w:p w14:paraId="63DC1B2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4.835</w:t>
            </w:r>
          </w:p>
        </w:tc>
        <w:tc>
          <w:tcPr>
            <w:tcW w:w="2174" w:type="dxa"/>
            <w:vAlign w:val="center"/>
          </w:tcPr>
          <w:p w14:paraId="0E0AC6B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0.9615</w:t>
            </w:r>
          </w:p>
        </w:tc>
      </w:tr>
      <w:tr w:rsidR="00954832" w14:paraId="53175116" w14:textId="77777777">
        <w:tc>
          <w:tcPr>
            <w:tcW w:w="2173" w:type="dxa"/>
            <w:vAlign w:val="center"/>
          </w:tcPr>
          <w:p w14:paraId="039CFFC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mmu-miR-217-5p</w:t>
            </w:r>
          </w:p>
        </w:tc>
        <w:tc>
          <w:tcPr>
            <w:tcW w:w="2173" w:type="dxa"/>
            <w:vAlign w:val="center"/>
          </w:tcPr>
          <w:p w14:paraId="390CAD3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73" w:type="dxa"/>
            <w:vAlign w:val="center"/>
          </w:tcPr>
          <w:p w14:paraId="365DD47F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3.357</w:t>
            </w:r>
          </w:p>
        </w:tc>
        <w:tc>
          <w:tcPr>
            <w:tcW w:w="2174" w:type="dxa"/>
            <w:vAlign w:val="center"/>
          </w:tcPr>
          <w:p w14:paraId="48ADEAD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0.8939</w:t>
            </w:r>
          </w:p>
        </w:tc>
      </w:tr>
      <w:tr w:rsidR="00954832" w14:paraId="02D067B4" w14:textId="77777777">
        <w:tc>
          <w:tcPr>
            <w:tcW w:w="2173" w:type="dxa"/>
            <w:vAlign w:val="center"/>
          </w:tcPr>
          <w:p w14:paraId="408E930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mmu-miR-3102-3p</w:t>
            </w:r>
          </w:p>
        </w:tc>
        <w:tc>
          <w:tcPr>
            <w:tcW w:w="2173" w:type="dxa"/>
            <w:vAlign w:val="center"/>
          </w:tcPr>
          <w:p w14:paraId="38AC66AA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48EB54C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4.263</w:t>
            </w:r>
          </w:p>
        </w:tc>
        <w:tc>
          <w:tcPr>
            <w:tcW w:w="2174" w:type="dxa"/>
            <w:vAlign w:val="center"/>
          </w:tcPr>
          <w:p w14:paraId="0720725F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0.8801</w:t>
            </w:r>
          </w:p>
        </w:tc>
      </w:tr>
      <w:tr w:rsidR="00954832" w14:paraId="60D5E08A" w14:textId="77777777">
        <w:tc>
          <w:tcPr>
            <w:tcW w:w="2173" w:type="dxa"/>
            <w:vAlign w:val="center"/>
          </w:tcPr>
          <w:p w14:paraId="102718E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mmu-miR-501-3p</w:t>
            </w:r>
          </w:p>
        </w:tc>
        <w:tc>
          <w:tcPr>
            <w:tcW w:w="2173" w:type="dxa"/>
            <w:vAlign w:val="center"/>
          </w:tcPr>
          <w:p w14:paraId="46F3AF8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73" w:type="dxa"/>
            <w:vAlign w:val="center"/>
          </w:tcPr>
          <w:p w14:paraId="0DA111A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4.693</w:t>
            </w:r>
          </w:p>
        </w:tc>
        <w:tc>
          <w:tcPr>
            <w:tcW w:w="2174" w:type="dxa"/>
            <w:vAlign w:val="center"/>
          </w:tcPr>
          <w:p w14:paraId="772EFE1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0.8659</w:t>
            </w:r>
          </w:p>
        </w:tc>
      </w:tr>
      <w:tr w:rsidR="00954832" w14:paraId="1C3F39FF" w14:textId="77777777">
        <w:tc>
          <w:tcPr>
            <w:tcW w:w="2173" w:type="dxa"/>
            <w:vAlign w:val="center"/>
          </w:tcPr>
          <w:p w14:paraId="0813EC7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mmu-miR-883a-3p</w:t>
            </w:r>
          </w:p>
        </w:tc>
        <w:tc>
          <w:tcPr>
            <w:tcW w:w="2173" w:type="dxa"/>
            <w:vAlign w:val="center"/>
          </w:tcPr>
          <w:p w14:paraId="7F63855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73" w:type="dxa"/>
            <w:vAlign w:val="center"/>
          </w:tcPr>
          <w:p w14:paraId="280055D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3.596</w:t>
            </w:r>
          </w:p>
        </w:tc>
        <w:tc>
          <w:tcPr>
            <w:tcW w:w="2174" w:type="dxa"/>
            <w:vAlign w:val="center"/>
          </w:tcPr>
          <w:p w14:paraId="2FE917B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0.8526</w:t>
            </w:r>
          </w:p>
        </w:tc>
      </w:tr>
      <w:tr w:rsidR="00954832" w14:paraId="37A0FDCF" w14:textId="77777777">
        <w:tc>
          <w:tcPr>
            <w:tcW w:w="2173" w:type="dxa"/>
            <w:vAlign w:val="center"/>
          </w:tcPr>
          <w:p w14:paraId="40A0AAC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mmu-miR-23b-3p</w:t>
            </w:r>
          </w:p>
        </w:tc>
        <w:tc>
          <w:tcPr>
            <w:tcW w:w="2173" w:type="dxa"/>
            <w:vAlign w:val="center"/>
          </w:tcPr>
          <w:p w14:paraId="6EC5590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73" w:type="dxa"/>
            <w:vAlign w:val="center"/>
          </w:tcPr>
          <w:p w14:paraId="23F56A9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4.387</w:t>
            </w:r>
          </w:p>
        </w:tc>
        <w:tc>
          <w:tcPr>
            <w:tcW w:w="2174" w:type="dxa"/>
            <w:vAlign w:val="center"/>
          </w:tcPr>
          <w:p w14:paraId="1906DEE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0.8292</w:t>
            </w:r>
          </w:p>
        </w:tc>
      </w:tr>
      <w:tr w:rsidR="00954832" w14:paraId="11099828" w14:textId="77777777">
        <w:tc>
          <w:tcPr>
            <w:tcW w:w="2173" w:type="dxa"/>
            <w:vAlign w:val="center"/>
          </w:tcPr>
          <w:p w14:paraId="3635BE2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mmu-miR-883b-3p</w:t>
            </w:r>
          </w:p>
        </w:tc>
        <w:tc>
          <w:tcPr>
            <w:tcW w:w="2173" w:type="dxa"/>
            <w:vAlign w:val="center"/>
          </w:tcPr>
          <w:p w14:paraId="46CC8A6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73" w:type="dxa"/>
            <w:vAlign w:val="center"/>
          </w:tcPr>
          <w:p w14:paraId="2FE5652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3.596</w:t>
            </w:r>
          </w:p>
        </w:tc>
        <w:tc>
          <w:tcPr>
            <w:tcW w:w="2174" w:type="dxa"/>
            <w:vAlign w:val="center"/>
          </w:tcPr>
          <w:p w14:paraId="0E66990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0.7284</w:t>
            </w:r>
          </w:p>
        </w:tc>
      </w:tr>
      <w:tr w:rsidR="00954832" w14:paraId="71BF82CD" w14:textId="77777777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EFE9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mmu-miR-23a-3p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A9CD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F826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4.522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9856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0.727</w:t>
            </w:r>
          </w:p>
        </w:tc>
      </w:tr>
      <w:tr w:rsidR="00954832" w14:paraId="7A26BEAA" w14:textId="77777777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F02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mmu-miR-1941-3p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DECF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99F4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3.519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E3F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0.7143</w:t>
            </w:r>
          </w:p>
        </w:tc>
      </w:tr>
      <w:tr w:rsidR="00954832" w14:paraId="13A20A38" w14:textId="77777777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D7F9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mmu-miR-466c-5p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89C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E9B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3.768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4C0B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0.6016</w:t>
            </w:r>
          </w:p>
        </w:tc>
      </w:tr>
      <w:tr w:rsidR="00954832" w14:paraId="59819E0D" w14:textId="77777777"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EC2B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mmu-miR-500-3p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318F9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5DB5C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4.693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1234D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0.5657</w:t>
            </w:r>
          </w:p>
        </w:tc>
      </w:tr>
    </w:tbl>
    <w:p w14:paraId="5C994E49" w14:textId="77777777" w:rsidR="00954832" w:rsidRDefault="00954832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05D2023" w14:textId="77777777" w:rsidR="00954832" w:rsidRDefault="00000000">
      <w:pPr>
        <w:spacing w:line="480" w:lineRule="auto"/>
      </w:pPr>
      <w:r>
        <w:br w:type="page"/>
      </w:r>
    </w:p>
    <w:p w14:paraId="0FA69B7C" w14:textId="77777777" w:rsidR="00954832" w:rsidRDefault="00000000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2.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Cross-species annotation of miR-29b-3p and </w:t>
      </w:r>
      <w:r>
        <w:rPr>
          <w:rFonts w:ascii="Times New Roman" w:eastAsia="宋体" w:hAnsi="Times New Roman" w:cs="Times New Roman"/>
          <w:b/>
          <w:bCs/>
          <w:i/>
          <w:iCs/>
          <w:color w:val="000000"/>
          <w:sz w:val="20"/>
          <w:szCs w:val="20"/>
          <w:lang w:bidi="ar"/>
        </w:rPr>
        <w:t>Tet2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 </w:t>
      </w:r>
      <w:proofErr w:type="spellStart"/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>orthology</w:t>
      </w:r>
      <w:proofErr w:type="spellEnd"/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 and reference transcripts</w:t>
      </w:r>
    </w:p>
    <w:tbl>
      <w:tblPr>
        <w:tblStyle w:val="a7"/>
        <w:tblW w:w="0" w:type="auto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3494"/>
        <w:gridCol w:w="3494"/>
      </w:tblGrid>
      <w:tr w:rsidR="00954832" w14:paraId="31E981FE" w14:textId="77777777">
        <w:trPr>
          <w:jc w:val="center"/>
        </w:trPr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7A37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5DB2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566E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Rat</w:t>
            </w:r>
          </w:p>
        </w:tc>
      </w:tr>
      <w:tr w:rsidR="00954832" w14:paraId="31CC5DD7" w14:textId="77777777">
        <w:trPr>
          <w:jc w:val="center"/>
        </w:trPr>
        <w:tc>
          <w:tcPr>
            <w:tcW w:w="26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2CC3AA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Mature miR-29b-3p sequence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5B3B2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UAGCACCAUUUGAAAUCAGUGUU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F944A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UAGCACCAUUUGAAAUCAGUGUU</w:t>
            </w:r>
          </w:p>
        </w:tc>
      </w:tr>
      <w:tr w:rsidR="00954832" w14:paraId="4A5603BA" w14:textId="77777777">
        <w:trPr>
          <w:jc w:val="center"/>
        </w:trPr>
        <w:tc>
          <w:tcPr>
            <w:tcW w:w="2615" w:type="dxa"/>
            <w:vAlign w:val="center"/>
          </w:tcPr>
          <w:p w14:paraId="0838D58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Gene symbol</w:t>
            </w:r>
          </w:p>
        </w:tc>
        <w:tc>
          <w:tcPr>
            <w:tcW w:w="3494" w:type="dxa"/>
            <w:vAlign w:val="center"/>
          </w:tcPr>
          <w:p w14:paraId="076550E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Tet2</w:t>
            </w:r>
          </w:p>
        </w:tc>
        <w:tc>
          <w:tcPr>
            <w:tcW w:w="3494" w:type="dxa"/>
            <w:vAlign w:val="center"/>
          </w:tcPr>
          <w:p w14:paraId="54DD56C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Tet2</w:t>
            </w:r>
          </w:p>
        </w:tc>
      </w:tr>
      <w:tr w:rsidR="00954832" w14:paraId="30C22ECC" w14:textId="77777777">
        <w:trPr>
          <w:jc w:val="center"/>
        </w:trPr>
        <w:tc>
          <w:tcPr>
            <w:tcW w:w="2615" w:type="dxa"/>
            <w:vAlign w:val="center"/>
          </w:tcPr>
          <w:p w14:paraId="60D9D9B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Gene ID</w:t>
            </w:r>
          </w:p>
        </w:tc>
        <w:tc>
          <w:tcPr>
            <w:tcW w:w="3494" w:type="dxa"/>
            <w:vAlign w:val="center"/>
          </w:tcPr>
          <w:p w14:paraId="20818DC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214133</w:t>
            </w:r>
          </w:p>
        </w:tc>
        <w:tc>
          <w:tcPr>
            <w:tcW w:w="3494" w:type="dxa"/>
            <w:vAlign w:val="center"/>
          </w:tcPr>
          <w:p w14:paraId="2528FEC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310859</w:t>
            </w:r>
          </w:p>
        </w:tc>
      </w:tr>
      <w:tr w:rsidR="00954832" w14:paraId="64366F7B" w14:textId="77777777">
        <w:trPr>
          <w:jc w:val="center"/>
        </w:trPr>
        <w:tc>
          <w:tcPr>
            <w:tcW w:w="2615" w:type="dxa"/>
            <w:vAlign w:val="center"/>
          </w:tcPr>
          <w:p w14:paraId="248A052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RefSeq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transcript</w:t>
            </w:r>
          </w:p>
        </w:tc>
        <w:tc>
          <w:tcPr>
            <w:tcW w:w="3494" w:type="dxa"/>
            <w:vAlign w:val="center"/>
          </w:tcPr>
          <w:p w14:paraId="5DF56A9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NM_001040400.2</w:t>
            </w:r>
          </w:p>
        </w:tc>
        <w:tc>
          <w:tcPr>
            <w:tcW w:w="3494" w:type="dxa"/>
            <w:vAlign w:val="center"/>
          </w:tcPr>
          <w:p w14:paraId="2B07C5A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NM_001427557.1</w:t>
            </w:r>
          </w:p>
        </w:tc>
      </w:tr>
      <w:tr w:rsidR="00954832" w14:paraId="46BB90DE" w14:textId="77777777">
        <w:trPr>
          <w:jc w:val="center"/>
        </w:trPr>
        <w:tc>
          <w:tcPr>
            <w:tcW w:w="2615" w:type="dxa"/>
            <w:vAlign w:val="center"/>
          </w:tcPr>
          <w:p w14:paraId="175FBD6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Transcript length</w:t>
            </w:r>
          </w:p>
        </w:tc>
        <w:tc>
          <w:tcPr>
            <w:tcW w:w="3494" w:type="dxa"/>
            <w:vAlign w:val="center"/>
          </w:tcPr>
          <w:p w14:paraId="4EF17AE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9199 bp</w:t>
            </w:r>
          </w:p>
        </w:tc>
        <w:tc>
          <w:tcPr>
            <w:tcW w:w="3494" w:type="dxa"/>
            <w:vAlign w:val="center"/>
          </w:tcPr>
          <w:p w14:paraId="21048DA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9098 bp</w:t>
            </w:r>
          </w:p>
        </w:tc>
      </w:tr>
      <w:tr w:rsidR="00954832" w14:paraId="06739AA5" w14:textId="77777777">
        <w:trPr>
          <w:jc w:val="center"/>
        </w:trPr>
        <w:tc>
          <w:tcPr>
            <w:tcW w:w="2615" w:type="dxa"/>
            <w:vAlign w:val="center"/>
          </w:tcPr>
          <w:p w14:paraId="24B173E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CDS coordinates</w:t>
            </w:r>
          </w:p>
        </w:tc>
        <w:tc>
          <w:tcPr>
            <w:tcW w:w="3494" w:type="dxa"/>
            <w:vAlign w:val="center"/>
          </w:tcPr>
          <w:p w14:paraId="46B779C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383–6121</w:t>
            </w:r>
          </w:p>
        </w:tc>
        <w:tc>
          <w:tcPr>
            <w:tcW w:w="3494" w:type="dxa"/>
            <w:vAlign w:val="center"/>
          </w:tcPr>
          <w:p w14:paraId="07C75E2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285–6047</w:t>
            </w:r>
          </w:p>
        </w:tc>
      </w:tr>
      <w:tr w:rsidR="00954832" w14:paraId="7D7F731F" w14:textId="77777777">
        <w:trPr>
          <w:jc w:val="center"/>
        </w:trPr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00605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3′UTR coordinates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BDBF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6122–9199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B36D9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6048–9098</w:t>
            </w:r>
          </w:p>
        </w:tc>
      </w:tr>
    </w:tbl>
    <w:p w14:paraId="1D705A7C" w14:textId="77777777" w:rsidR="00954832" w:rsidRDefault="00954832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A4C0203" w14:textId="77777777" w:rsidR="00954832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br w:type="page"/>
      </w:r>
    </w:p>
    <w:p w14:paraId="50F62B6B" w14:textId="77777777" w:rsidR="00954832" w:rsidRDefault="00000000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3.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Rat-specific sequence evidence supporting candidate miR-29b-3p binding sites in </w:t>
      </w:r>
      <w:r>
        <w:rPr>
          <w:rFonts w:ascii="Times New Roman" w:eastAsia="宋体" w:hAnsi="Times New Roman" w:cs="Times New Roman"/>
          <w:b/>
          <w:bCs/>
          <w:i/>
          <w:iCs/>
          <w:color w:val="000000"/>
          <w:sz w:val="20"/>
          <w:szCs w:val="20"/>
          <w:lang w:bidi="ar"/>
        </w:rPr>
        <w:t>Tet2</w:t>
      </w:r>
    </w:p>
    <w:tbl>
      <w:tblPr>
        <w:tblStyle w:val="a7"/>
        <w:tblW w:w="0" w:type="auto"/>
        <w:tblInd w:w="151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442"/>
        <w:gridCol w:w="3378"/>
      </w:tblGrid>
      <w:tr w:rsidR="00954832" w14:paraId="7D4C0E1B" w14:textId="77777777">
        <w:trPr>
          <w:trHeight w:val="624"/>
        </w:trPr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C8B4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Evidence source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A8E43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Transcript / sequence basis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8B4C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Result</w:t>
            </w:r>
          </w:p>
        </w:tc>
      </w:tr>
      <w:tr w:rsidR="00954832" w14:paraId="067ADB89" w14:textId="77777777">
        <w:trPr>
          <w:trHeight w:val="624"/>
        </w:trPr>
        <w:tc>
          <w:tcPr>
            <w:tcW w:w="2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C61D8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anual seed inspection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67269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NM_001427557.1 3′UTR 6048–9098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4086A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canonical seed-matched sites at 3′UTR positions 552, 1104, and 1637</w:t>
            </w:r>
          </w:p>
        </w:tc>
      </w:tr>
      <w:tr w:rsidR="00954832" w14:paraId="18D9CC29" w14:textId="77777777">
        <w:trPr>
          <w:trHeight w:val="624"/>
        </w:trPr>
        <w:tc>
          <w:tcPr>
            <w:tcW w:w="2335" w:type="dxa"/>
            <w:vAlign w:val="center"/>
          </w:tcPr>
          <w:p w14:paraId="3244DDF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miRDB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custom</w:t>
            </w:r>
          </w:p>
        </w:tc>
        <w:tc>
          <w:tcPr>
            <w:tcW w:w="2442" w:type="dxa"/>
            <w:vAlign w:val="center"/>
          </w:tcPr>
          <w:p w14:paraId="1703A28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submitted rat Tet2 3′UTR, 3051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nt</w:t>
            </w:r>
            <w:proofErr w:type="spellEnd"/>
          </w:p>
        </w:tc>
        <w:tc>
          <w:tcPr>
            <w:tcW w:w="3378" w:type="dxa"/>
            <w:vAlign w:val="center"/>
          </w:tcPr>
          <w:p w14:paraId="017FA49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rno-miR-29b-3p ranked 2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, score 89, seed locations 553, 1104, 1638</w:t>
            </w:r>
          </w:p>
        </w:tc>
      </w:tr>
      <w:tr w:rsidR="00954832" w14:paraId="26D5AA60" w14:textId="77777777">
        <w:trPr>
          <w:trHeight w:val="624"/>
        </w:trPr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7A072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miRWalk</w:t>
            </w:r>
            <w:proofErr w:type="spellEnd"/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23D3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rat Tet2 transcript XM_227694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A39D4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start 7457, end 7490, seed = 1, binding = 0.846, energy = -20.6</w:t>
            </w:r>
          </w:p>
        </w:tc>
      </w:tr>
    </w:tbl>
    <w:p w14:paraId="6DF5E8D5" w14:textId="77777777" w:rsidR="00954832" w:rsidRDefault="00954832">
      <w:pPr>
        <w:spacing w:line="480" w:lineRule="auto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</w:p>
    <w:p w14:paraId="0DF229EB" w14:textId="77777777" w:rsidR="00954832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br w:type="page"/>
      </w:r>
    </w:p>
    <w:p w14:paraId="1E3EDDA3" w14:textId="77777777" w:rsidR="00954832" w:rsidRDefault="00000000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4.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Rat </w:t>
      </w:r>
      <w:r>
        <w:rPr>
          <w:rFonts w:ascii="Times New Roman" w:eastAsia="宋体" w:hAnsi="Times New Roman" w:cs="Times New Roman"/>
          <w:b/>
          <w:bCs/>
          <w:i/>
          <w:iCs/>
          <w:color w:val="000000"/>
          <w:sz w:val="20"/>
          <w:szCs w:val="20"/>
          <w:lang w:bidi="ar"/>
        </w:rPr>
        <w:t>Tet2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 3′UTR luciferase reporter construct design</w:t>
      </w:r>
    </w:p>
    <w:tbl>
      <w:tblPr>
        <w:tblStyle w:val="a7"/>
        <w:tblW w:w="0" w:type="auto"/>
        <w:tblInd w:w="151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2694"/>
        <w:gridCol w:w="2669"/>
      </w:tblGrid>
      <w:tr w:rsidR="00954832" w14:paraId="1A79F9A0" w14:textId="77777777">
        <w:trPr>
          <w:trHeight w:val="624"/>
        </w:trPr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971B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C0F2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WT reporter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D783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MUT reporter</w:t>
            </w:r>
          </w:p>
        </w:tc>
      </w:tr>
      <w:tr w:rsidR="00954832" w14:paraId="4787019B" w14:textId="77777777">
        <w:trPr>
          <w:trHeight w:val="624"/>
        </w:trPr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6A3D9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Construct name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C9111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Rno-Tet2-miR29b-wt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A0526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Rno-Tet2-miR29b-mut</w:t>
            </w:r>
          </w:p>
        </w:tc>
      </w:tr>
      <w:tr w:rsidR="00954832" w14:paraId="0C5DB65C" w14:textId="77777777">
        <w:trPr>
          <w:trHeight w:val="624"/>
        </w:trPr>
        <w:tc>
          <w:tcPr>
            <w:tcW w:w="2792" w:type="dxa"/>
            <w:vAlign w:val="center"/>
          </w:tcPr>
          <w:p w14:paraId="2155614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2694" w:type="dxa"/>
            <w:vAlign w:val="center"/>
          </w:tcPr>
          <w:p w14:paraId="63812BE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GenePharma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Inc.</w:t>
            </w:r>
          </w:p>
        </w:tc>
        <w:tc>
          <w:tcPr>
            <w:tcW w:w="2669" w:type="dxa"/>
            <w:vAlign w:val="center"/>
          </w:tcPr>
          <w:p w14:paraId="6D7DC0E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GenePharma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Inc.</w:t>
            </w:r>
          </w:p>
        </w:tc>
      </w:tr>
      <w:tr w:rsidR="00954832" w14:paraId="73E212D3" w14:textId="77777777">
        <w:trPr>
          <w:trHeight w:val="624"/>
        </w:trPr>
        <w:tc>
          <w:tcPr>
            <w:tcW w:w="2792" w:type="dxa"/>
            <w:vAlign w:val="center"/>
          </w:tcPr>
          <w:p w14:paraId="02299E8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2694" w:type="dxa"/>
            <w:vAlign w:val="center"/>
          </w:tcPr>
          <w:p w14:paraId="11B2350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Rat</w:t>
            </w:r>
          </w:p>
        </w:tc>
        <w:tc>
          <w:tcPr>
            <w:tcW w:w="2669" w:type="dxa"/>
            <w:vAlign w:val="center"/>
          </w:tcPr>
          <w:p w14:paraId="7CA8D43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Rat</w:t>
            </w:r>
          </w:p>
        </w:tc>
      </w:tr>
      <w:tr w:rsidR="00954832" w14:paraId="1E8C491C" w14:textId="77777777">
        <w:trPr>
          <w:trHeight w:val="624"/>
        </w:trPr>
        <w:tc>
          <w:tcPr>
            <w:tcW w:w="2792" w:type="dxa"/>
            <w:vAlign w:val="center"/>
          </w:tcPr>
          <w:p w14:paraId="42F9288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Transcript basis</w:t>
            </w:r>
          </w:p>
        </w:tc>
        <w:tc>
          <w:tcPr>
            <w:tcW w:w="2694" w:type="dxa"/>
            <w:vAlign w:val="center"/>
          </w:tcPr>
          <w:p w14:paraId="6B95ABD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NM_001427557.1</w:t>
            </w:r>
          </w:p>
        </w:tc>
        <w:tc>
          <w:tcPr>
            <w:tcW w:w="2669" w:type="dxa"/>
            <w:vAlign w:val="center"/>
          </w:tcPr>
          <w:p w14:paraId="67ED882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NM_001427557.1</w:t>
            </w:r>
          </w:p>
        </w:tc>
      </w:tr>
      <w:tr w:rsidR="00954832" w14:paraId="1893D793" w14:textId="77777777">
        <w:trPr>
          <w:trHeight w:val="624"/>
        </w:trPr>
        <w:tc>
          <w:tcPr>
            <w:tcW w:w="2792" w:type="dxa"/>
            <w:vAlign w:val="center"/>
          </w:tcPr>
          <w:p w14:paraId="06DD78F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Vector backbone</w:t>
            </w:r>
          </w:p>
        </w:tc>
        <w:tc>
          <w:tcPr>
            <w:tcW w:w="2694" w:type="dxa"/>
            <w:vAlign w:val="center"/>
          </w:tcPr>
          <w:p w14:paraId="79763B4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GP-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miRGLO</w:t>
            </w:r>
            <w:proofErr w:type="spellEnd"/>
          </w:p>
        </w:tc>
        <w:tc>
          <w:tcPr>
            <w:tcW w:w="2669" w:type="dxa"/>
            <w:vAlign w:val="center"/>
          </w:tcPr>
          <w:p w14:paraId="47CCD85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GP-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miRGLO</w:t>
            </w:r>
            <w:proofErr w:type="spellEnd"/>
          </w:p>
        </w:tc>
      </w:tr>
      <w:tr w:rsidR="00954832" w14:paraId="27B80B48" w14:textId="77777777">
        <w:trPr>
          <w:trHeight w:val="624"/>
        </w:trPr>
        <w:tc>
          <w:tcPr>
            <w:tcW w:w="2792" w:type="dxa"/>
            <w:vAlign w:val="center"/>
          </w:tcPr>
          <w:p w14:paraId="7AC1D9B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Insert length</w:t>
            </w:r>
          </w:p>
        </w:tc>
        <w:tc>
          <w:tcPr>
            <w:tcW w:w="2694" w:type="dxa"/>
            <w:vAlign w:val="center"/>
          </w:tcPr>
          <w:p w14:paraId="79C983D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207 bp</w:t>
            </w:r>
          </w:p>
        </w:tc>
        <w:tc>
          <w:tcPr>
            <w:tcW w:w="2669" w:type="dxa"/>
            <w:vAlign w:val="center"/>
          </w:tcPr>
          <w:p w14:paraId="42D2B00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207 bp</w:t>
            </w:r>
          </w:p>
        </w:tc>
      </w:tr>
      <w:tr w:rsidR="00954832" w14:paraId="797DB537" w14:textId="77777777">
        <w:trPr>
          <w:trHeight w:val="624"/>
        </w:trPr>
        <w:tc>
          <w:tcPr>
            <w:tcW w:w="2792" w:type="dxa"/>
            <w:vAlign w:val="center"/>
          </w:tcPr>
          <w:p w14:paraId="5A95A3F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Fragment location in transcript</w:t>
            </w:r>
          </w:p>
        </w:tc>
        <w:tc>
          <w:tcPr>
            <w:tcW w:w="2694" w:type="dxa"/>
            <w:vAlign w:val="center"/>
          </w:tcPr>
          <w:p w14:paraId="39C040A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6462–6668</w:t>
            </w:r>
          </w:p>
        </w:tc>
        <w:tc>
          <w:tcPr>
            <w:tcW w:w="2669" w:type="dxa"/>
            <w:vAlign w:val="center"/>
          </w:tcPr>
          <w:p w14:paraId="1F7C2AA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6462–6668</w:t>
            </w:r>
          </w:p>
        </w:tc>
      </w:tr>
      <w:tr w:rsidR="00954832" w14:paraId="1BCF0554" w14:textId="77777777">
        <w:trPr>
          <w:trHeight w:val="624"/>
        </w:trPr>
        <w:tc>
          <w:tcPr>
            <w:tcW w:w="2792" w:type="dxa"/>
            <w:vAlign w:val="center"/>
          </w:tcPr>
          <w:p w14:paraId="669DE9A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Fragment location in 3′UTR</w:t>
            </w:r>
          </w:p>
        </w:tc>
        <w:tc>
          <w:tcPr>
            <w:tcW w:w="2694" w:type="dxa"/>
            <w:vAlign w:val="center"/>
          </w:tcPr>
          <w:p w14:paraId="531A84D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415–621</w:t>
            </w:r>
          </w:p>
        </w:tc>
        <w:tc>
          <w:tcPr>
            <w:tcW w:w="2669" w:type="dxa"/>
            <w:vAlign w:val="center"/>
          </w:tcPr>
          <w:p w14:paraId="3B67E52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415–621</w:t>
            </w:r>
          </w:p>
        </w:tc>
      </w:tr>
      <w:tr w:rsidR="00954832" w14:paraId="7E95A033" w14:textId="77777777">
        <w:trPr>
          <w:trHeight w:val="624"/>
        </w:trPr>
        <w:tc>
          <w:tcPr>
            <w:tcW w:w="2792" w:type="dxa"/>
            <w:vAlign w:val="center"/>
          </w:tcPr>
          <w:p w14:paraId="700C1A2A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Tested candidate site</w:t>
            </w:r>
          </w:p>
        </w:tc>
        <w:tc>
          <w:tcPr>
            <w:tcW w:w="2694" w:type="dxa"/>
            <w:vAlign w:val="center"/>
          </w:tcPr>
          <w:p w14:paraId="1B54B55F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First canonical 8mer site</w:t>
            </w:r>
          </w:p>
        </w:tc>
        <w:tc>
          <w:tcPr>
            <w:tcW w:w="2669" w:type="dxa"/>
            <w:vAlign w:val="center"/>
          </w:tcPr>
          <w:p w14:paraId="1BBEB79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Same local site with disrupted seed-matched sequence</w:t>
            </w:r>
          </w:p>
        </w:tc>
      </w:tr>
      <w:tr w:rsidR="00954832" w14:paraId="714304E2" w14:textId="77777777">
        <w:trPr>
          <w:trHeight w:val="624"/>
        </w:trPr>
        <w:tc>
          <w:tcPr>
            <w:tcW w:w="2792" w:type="dxa"/>
            <w:vAlign w:val="center"/>
          </w:tcPr>
          <w:p w14:paraId="4D2FB2E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Tested site position in transcript</w:t>
            </w:r>
          </w:p>
        </w:tc>
        <w:tc>
          <w:tcPr>
            <w:tcW w:w="2694" w:type="dxa"/>
            <w:vAlign w:val="center"/>
          </w:tcPr>
          <w:p w14:paraId="39EEEA7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6599–6606</w:t>
            </w:r>
          </w:p>
        </w:tc>
        <w:tc>
          <w:tcPr>
            <w:tcW w:w="2669" w:type="dxa"/>
            <w:vAlign w:val="center"/>
          </w:tcPr>
          <w:p w14:paraId="1DA5809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6599–6606</w:t>
            </w:r>
          </w:p>
        </w:tc>
      </w:tr>
      <w:tr w:rsidR="00954832" w14:paraId="4C1FD5FC" w14:textId="77777777">
        <w:trPr>
          <w:trHeight w:val="624"/>
        </w:trPr>
        <w:tc>
          <w:tcPr>
            <w:tcW w:w="2792" w:type="dxa"/>
            <w:vAlign w:val="center"/>
          </w:tcPr>
          <w:p w14:paraId="331F3EC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Tested site position in 3′UTR</w:t>
            </w:r>
          </w:p>
        </w:tc>
        <w:tc>
          <w:tcPr>
            <w:tcW w:w="2694" w:type="dxa"/>
            <w:vAlign w:val="center"/>
          </w:tcPr>
          <w:p w14:paraId="50B70DE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552–559</w:t>
            </w:r>
          </w:p>
        </w:tc>
        <w:tc>
          <w:tcPr>
            <w:tcW w:w="2669" w:type="dxa"/>
            <w:vAlign w:val="center"/>
          </w:tcPr>
          <w:p w14:paraId="199D8C6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552–559</w:t>
            </w:r>
          </w:p>
        </w:tc>
      </w:tr>
      <w:tr w:rsidR="00954832" w14:paraId="4A19130E" w14:textId="77777777">
        <w:trPr>
          <w:trHeight w:val="624"/>
        </w:trPr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60EF7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Local motif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FE76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ATGGTGCT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C0F7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TTACCACG</w:t>
            </w:r>
          </w:p>
        </w:tc>
      </w:tr>
    </w:tbl>
    <w:p w14:paraId="3EFCD1FC" w14:textId="77777777" w:rsidR="00954832" w:rsidRDefault="00954832">
      <w:pPr>
        <w:spacing w:line="480" w:lineRule="auto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</w:p>
    <w:p w14:paraId="0410787B" w14:textId="77777777" w:rsidR="00954832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br w:type="page"/>
      </w:r>
    </w:p>
    <w:p w14:paraId="06EAC88D" w14:textId="77777777" w:rsidR="00954832" w:rsidRDefault="00000000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5.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Insert sequences of the rat </w:t>
      </w:r>
      <w:r>
        <w:rPr>
          <w:rFonts w:ascii="Times New Roman" w:eastAsia="宋体" w:hAnsi="Times New Roman" w:cs="Times New Roman"/>
          <w:b/>
          <w:bCs/>
          <w:i/>
          <w:iCs/>
          <w:color w:val="000000"/>
          <w:sz w:val="20"/>
          <w:szCs w:val="20"/>
          <w:lang w:bidi="ar"/>
        </w:rPr>
        <w:t>Tet2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 3′UTR luciferase reporters</w:t>
      </w:r>
    </w:p>
    <w:tbl>
      <w:tblPr>
        <w:tblStyle w:val="a7"/>
        <w:tblW w:w="0" w:type="auto"/>
        <w:tblInd w:w="151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3"/>
        <w:gridCol w:w="7138"/>
      </w:tblGrid>
      <w:tr w:rsidR="00954832" w14:paraId="2F3A0D69" w14:textId="77777777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C6FB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Construct</w:t>
            </w:r>
          </w:p>
        </w:tc>
        <w:tc>
          <w:tcPr>
            <w:tcW w:w="7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7671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Insert sequence (5′–3′)</w:t>
            </w:r>
          </w:p>
        </w:tc>
      </w:tr>
      <w:tr w:rsidR="00954832" w14:paraId="34705E00" w14:textId="77777777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12FF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Rno-Tet2-miR29b-wt</w:t>
            </w:r>
          </w:p>
        </w:tc>
        <w:tc>
          <w:tcPr>
            <w:tcW w:w="71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39E0C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atgtaggaaatactggaattaggactttttaacatgcagtttttactgtaaccttaataacttatttatcaaagtagctacagaaagctcaagtgaatgatggcaaaacactgaatttgtttgggtgttaaca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  <w:t>TTAAATGGTGCTA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caaaaaacggtgtttttaaatagctgaaaaaaatgccttttatcatgcagccggtgtagtc</w:t>
            </w:r>
          </w:p>
        </w:tc>
      </w:tr>
      <w:tr w:rsidR="00954832" w14:paraId="551AF109" w14:textId="77777777">
        <w:trPr>
          <w:trHeight w:val="624"/>
        </w:trPr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2F29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Rno-Tet2-miR29b-mut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0E3A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atgtaggaaatactggaattaggactttttaacatgcagtttttactgtaaccttaataacttatttatcaaagtagctacagaaagctcaagtgaatgatggcaaaacactgaatttgtttgccacaaaaca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  <w:t>AATTTACCACGAT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caaaaaacccacaatttaaatagctgaaaaaaatgccttttatcatgcagccggtgtagtc</w:t>
            </w:r>
          </w:p>
        </w:tc>
      </w:tr>
    </w:tbl>
    <w:p w14:paraId="059DBEEA" w14:textId="77777777" w:rsidR="00954832" w:rsidRDefault="00000000">
      <w:pPr>
        <w:spacing w:line="480" w:lineRule="auto"/>
        <w:rPr>
          <w:rFonts w:ascii="Times New Roman" w:eastAsia="宋体" w:hAnsi="Times New Roman" w:cs="Times New Roman"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sz w:val="20"/>
          <w:szCs w:val="20"/>
          <w:lang w:bidi="ar"/>
        </w:rPr>
        <w:t xml:space="preserve">Note: </w:t>
      </w:r>
      <w:r>
        <w:rPr>
          <w:rFonts w:ascii="Times New Roman" w:eastAsia="宋体" w:hAnsi="Times New Roman" w:cs="Times New Roman"/>
          <w:color w:val="000000"/>
          <w:sz w:val="20"/>
          <w:szCs w:val="20"/>
          <w:lang w:bidi="ar"/>
        </w:rPr>
        <w:t>Uppercase letters indicate the wild-type seed-matched motif in the WT reporter and the corresponding mutated sequence in the MUT reporter.</w:t>
      </w:r>
    </w:p>
    <w:p w14:paraId="0FB1C5EB" w14:textId="77777777" w:rsidR="00954832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br w:type="page"/>
      </w:r>
    </w:p>
    <w:p w14:paraId="3202709C" w14:textId="77777777" w:rsidR="00954832" w:rsidRDefault="00000000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0"/>
          <w:szCs w:val="20"/>
          <w:lang w:bidi="ar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6.</w:t>
      </w:r>
      <w:r>
        <w:rPr>
          <w:rFonts w:ascii="Times New Roman" w:hAnsi="Times New Roman" w:cs="Times New Roman" w:hint="eastAsia"/>
          <w:b/>
          <w:bCs/>
        </w:rPr>
        <w:t xml:space="preserve"> |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0"/>
          <w:szCs w:val="20"/>
          <w:lang w:bidi="ar"/>
        </w:rPr>
        <w:t>Primer sequences</w:t>
      </w:r>
    </w:p>
    <w:tbl>
      <w:tblPr>
        <w:tblStyle w:val="a7"/>
        <w:tblW w:w="0" w:type="auto"/>
        <w:tblInd w:w="151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3213"/>
        <w:gridCol w:w="3696"/>
      </w:tblGrid>
      <w:tr w:rsidR="00954832" w14:paraId="519188A8" w14:textId="77777777">
        <w:trPr>
          <w:trHeight w:val="624"/>
        </w:trPr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6D8E8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Name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DBF3A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 xml:space="preserve">Forward primer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equence (5'–3')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F306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 xml:space="preserve">Reverse primer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equence (5'–3')</w:t>
            </w:r>
          </w:p>
        </w:tc>
      </w:tr>
      <w:tr w:rsidR="00954832" w14:paraId="165DC8F7" w14:textId="77777777">
        <w:trPr>
          <w:trHeight w:val="624"/>
        </w:trPr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3484A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Tet2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D2AD0D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TGGAAGAACACCACCGCTAC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59B2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GTGGGACGCAGTCATTCTGA</w:t>
            </w:r>
          </w:p>
        </w:tc>
      </w:tr>
      <w:tr w:rsidR="00954832" w14:paraId="2C11F787" w14:textId="77777777">
        <w:trPr>
          <w:trHeight w:val="624"/>
        </w:trPr>
        <w:tc>
          <w:tcPr>
            <w:tcW w:w="1270" w:type="dxa"/>
            <w:vAlign w:val="center"/>
          </w:tcPr>
          <w:p w14:paraId="26F35C3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Cdh1</w:t>
            </w:r>
          </w:p>
        </w:tc>
        <w:tc>
          <w:tcPr>
            <w:tcW w:w="3213" w:type="dxa"/>
            <w:tcBorders>
              <w:right w:val="nil"/>
            </w:tcBorders>
            <w:vAlign w:val="center"/>
          </w:tcPr>
          <w:p w14:paraId="61254B1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TCATCACAGACCCCAAGACC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6EBEE2DC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GATCTCCAGACCCACACCAA</w:t>
            </w:r>
          </w:p>
        </w:tc>
      </w:tr>
      <w:tr w:rsidR="00954832" w14:paraId="035552D6" w14:textId="77777777">
        <w:trPr>
          <w:trHeight w:val="624"/>
        </w:trPr>
        <w:tc>
          <w:tcPr>
            <w:tcW w:w="1270" w:type="dxa"/>
            <w:vAlign w:val="center"/>
          </w:tcPr>
          <w:p w14:paraId="4851B53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Nanog</w:t>
            </w:r>
          </w:p>
        </w:tc>
        <w:tc>
          <w:tcPr>
            <w:tcW w:w="3213" w:type="dxa"/>
            <w:tcBorders>
              <w:right w:val="nil"/>
            </w:tcBorders>
            <w:vAlign w:val="center"/>
          </w:tcPr>
          <w:p w14:paraId="01A190D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ACCTGAGCTATAAGCAGGTGA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2E3D5E3F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ATGCTGGGATACTCCACCG</w:t>
            </w:r>
          </w:p>
        </w:tc>
      </w:tr>
      <w:tr w:rsidR="00954832" w14:paraId="06B95F8D" w14:textId="77777777">
        <w:trPr>
          <w:trHeight w:val="624"/>
        </w:trPr>
        <w:tc>
          <w:tcPr>
            <w:tcW w:w="1270" w:type="dxa"/>
            <w:vAlign w:val="center"/>
          </w:tcPr>
          <w:p w14:paraId="7B57805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Pou5f1</w:t>
            </w:r>
          </w:p>
        </w:tc>
        <w:tc>
          <w:tcPr>
            <w:tcW w:w="3213" w:type="dxa"/>
            <w:tcBorders>
              <w:right w:val="nil"/>
            </w:tcBorders>
            <w:vAlign w:val="center"/>
          </w:tcPr>
          <w:p w14:paraId="66E392B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ACCTAGTCCCGAGGAGTCCC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437F53A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CTGGGTGTACCCCAAGGTGA</w:t>
            </w:r>
          </w:p>
        </w:tc>
      </w:tr>
      <w:tr w:rsidR="00954832" w14:paraId="5CE54066" w14:textId="77777777">
        <w:trPr>
          <w:trHeight w:val="624"/>
        </w:trPr>
        <w:tc>
          <w:tcPr>
            <w:tcW w:w="1270" w:type="dxa"/>
            <w:vAlign w:val="center"/>
          </w:tcPr>
          <w:p w14:paraId="10935FF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Sox2</w:t>
            </w:r>
          </w:p>
        </w:tc>
        <w:tc>
          <w:tcPr>
            <w:tcW w:w="3213" w:type="dxa"/>
            <w:tcBorders>
              <w:right w:val="nil"/>
            </w:tcBorders>
            <w:vAlign w:val="center"/>
          </w:tcPr>
          <w:p w14:paraId="00D4717A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GGATAAGTACACGCTGCCCG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71120F6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ATGTGCGCGTAACTGTCCAT</w:t>
            </w:r>
          </w:p>
        </w:tc>
      </w:tr>
      <w:tr w:rsidR="00954832" w14:paraId="6F3B28DB" w14:textId="77777777">
        <w:trPr>
          <w:trHeight w:val="624"/>
        </w:trPr>
        <w:tc>
          <w:tcPr>
            <w:tcW w:w="1270" w:type="dxa"/>
            <w:vAlign w:val="center"/>
          </w:tcPr>
          <w:p w14:paraId="61E482F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Actb</w:t>
            </w:r>
            <w:proofErr w:type="spellEnd"/>
          </w:p>
        </w:tc>
        <w:tc>
          <w:tcPr>
            <w:tcW w:w="3213" w:type="dxa"/>
            <w:tcBorders>
              <w:right w:val="nil"/>
            </w:tcBorders>
            <w:vAlign w:val="center"/>
          </w:tcPr>
          <w:p w14:paraId="1681058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CGCGAGTACAACCTTCTTGC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6EBD4CE0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CGTCATCCATGGCGAACTGG</w:t>
            </w:r>
          </w:p>
        </w:tc>
      </w:tr>
      <w:tr w:rsidR="00954832" w14:paraId="682C7A2B" w14:textId="77777777">
        <w:trPr>
          <w:trHeight w:val="624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B409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Runx2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8B0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TCCGCCACCACTCACTACCAC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6F27E296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GGAACTGATAGGACGCTGACGAAG</w:t>
            </w:r>
          </w:p>
        </w:tc>
      </w:tr>
      <w:tr w:rsidR="00954832" w14:paraId="14AFD1AD" w14:textId="77777777">
        <w:trPr>
          <w:trHeight w:val="624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7B032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Alpl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F293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TATGGCTCACCTGCTTCACGG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78ACB52F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GCTGTCCATTGTGGGCTCTTG</w:t>
            </w:r>
          </w:p>
        </w:tc>
      </w:tr>
      <w:tr w:rsidR="00954832" w14:paraId="73F3886E" w14:textId="77777777">
        <w:trPr>
          <w:trHeight w:val="624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B883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Bglap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6039F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AGACTCCGGCGCTACCTCAAC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2375A97B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GGCGTCCTGGAAGCCAATGTG</w:t>
            </w:r>
          </w:p>
        </w:tc>
      </w:tr>
      <w:tr w:rsidR="00954832" w14:paraId="761BDD55" w14:textId="77777777">
        <w:trPr>
          <w:trHeight w:val="624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5DF5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Cebpb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F949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GGGTTTCGGGACTTGATGCA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66661AB7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ATGCTCGAAACGGAAAAGGT</w:t>
            </w:r>
          </w:p>
        </w:tc>
      </w:tr>
      <w:tr w:rsidR="00954832" w14:paraId="61BE6013" w14:textId="77777777">
        <w:trPr>
          <w:trHeight w:val="624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6F393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Pparg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B253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TCTCACAATGCCATCAGGTTTG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6D90A95E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AGCTGGTCGATATCACTGGAG</w:t>
            </w:r>
          </w:p>
        </w:tc>
      </w:tr>
      <w:tr w:rsidR="00954832" w14:paraId="2F524F10" w14:textId="77777777">
        <w:trPr>
          <w:trHeight w:val="624"/>
        </w:trPr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8AC84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Fabp4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7F2835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ATGAAAGAAGTGGGAGTTGGC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65471" w14:textId="77777777" w:rsidR="00954832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GTTTGAAGGAAATCTCGGTGTT</w:t>
            </w:r>
          </w:p>
        </w:tc>
      </w:tr>
    </w:tbl>
    <w:p w14:paraId="03AFF4C1" w14:textId="77777777" w:rsidR="00954832" w:rsidRDefault="00954832">
      <w:pPr>
        <w:spacing w:line="480" w:lineRule="auto"/>
      </w:pPr>
    </w:p>
    <w:sectPr w:rsidR="009548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CDE84" w14:textId="77777777" w:rsidR="0017043E" w:rsidRDefault="0017043E" w:rsidP="00FF6231">
      <w:r>
        <w:separator/>
      </w:r>
    </w:p>
  </w:endnote>
  <w:endnote w:type="continuationSeparator" w:id="0">
    <w:p w14:paraId="22E7A71C" w14:textId="77777777" w:rsidR="0017043E" w:rsidRDefault="0017043E" w:rsidP="00FF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B2F7C" w14:textId="77777777" w:rsidR="0017043E" w:rsidRDefault="0017043E" w:rsidP="00FF6231">
      <w:r>
        <w:separator/>
      </w:r>
    </w:p>
  </w:footnote>
  <w:footnote w:type="continuationSeparator" w:id="0">
    <w:p w14:paraId="19827B58" w14:textId="77777777" w:rsidR="0017043E" w:rsidRDefault="0017043E" w:rsidP="00FF6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EwNDc4M2ZhNDNhOGE1MzgxOGY1OWFlZDY0NDJlNDkifQ=="/>
  </w:docVars>
  <w:rsids>
    <w:rsidRoot w:val="008E1E1D"/>
    <w:rsid w:val="000209F4"/>
    <w:rsid w:val="00035C8A"/>
    <w:rsid w:val="00056952"/>
    <w:rsid w:val="0017043E"/>
    <w:rsid w:val="001915B2"/>
    <w:rsid w:val="00237951"/>
    <w:rsid w:val="00263336"/>
    <w:rsid w:val="00337B42"/>
    <w:rsid w:val="005004FC"/>
    <w:rsid w:val="005D0860"/>
    <w:rsid w:val="005E742E"/>
    <w:rsid w:val="0063697C"/>
    <w:rsid w:val="00733B6A"/>
    <w:rsid w:val="00784712"/>
    <w:rsid w:val="008051BD"/>
    <w:rsid w:val="0085679E"/>
    <w:rsid w:val="00894127"/>
    <w:rsid w:val="008B48D8"/>
    <w:rsid w:val="008E1E1D"/>
    <w:rsid w:val="00946F55"/>
    <w:rsid w:val="00954832"/>
    <w:rsid w:val="009D5BDE"/>
    <w:rsid w:val="00A878F8"/>
    <w:rsid w:val="00B6294C"/>
    <w:rsid w:val="00BC68D4"/>
    <w:rsid w:val="00C00D1D"/>
    <w:rsid w:val="00DA6EF5"/>
    <w:rsid w:val="00E64AD4"/>
    <w:rsid w:val="00F33E67"/>
    <w:rsid w:val="00F86170"/>
    <w:rsid w:val="00FF6139"/>
    <w:rsid w:val="00FF6231"/>
    <w:rsid w:val="171524AE"/>
    <w:rsid w:val="43FA4958"/>
    <w:rsid w:val="46C42395"/>
    <w:rsid w:val="5CC170F1"/>
    <w:rsid w:val="698A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408F0"/>
  <w15:docId w15:val="{A213EE0D-F2C1-4435-B773-3A01FD0E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13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Zefeng Song</cp:lastModifiedBy>
  <cp:revision>8</cp:revision>
  <dcterms:created xsi:type="dcterms:W3CDTF">2025-10-02T08:53:00Z</dcterms:created>
  <dcterms:modified xsi:type="dcterms:W3CDTF">2026-08-27T02:24:00Z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08C546469A684F99B68FB79FE5795361_12</vt:lpwstr>
  </property>
  <property fmtid="{D5CDD505-2E9C-101B-9397-08002B2CF9AE}" pid="4" name="KSOTemplateDocerSaveRecord">
    <vt:lpwstr>eyJoZGlkIjoiYWNjODliYjY2MTg2MzQ4ZTMzNzY2OWUwZDZkMmIzY2EiLCJ1c2VySWQiOiIzNjUzOTY1NDQifQ==</vt:lpwstr>
  </property>
</Properties>
</file>