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33" w:rsidRPr="00F76433" w:rsidRDefault="00AC215F" w:rsidP="00F76433">
      <w:pPr>
        <w:spacing w:line="360" w:lineRule="auto"/>
        <w:jc w:val="both"/>
        <w:rPr>
          <w:b/>
          <w:bCs/>
          <w:i/>
        </w:rPr>
      </w:pPr>
      <w:r>
        <w:rPr>
          <w:b/>
          <w:bCs/>
        </w:rPr>
        <w:t>Additional file</w:t>
      </w:r>
      <w:r w:rsidR="00F76433" w:rsidRPr="00F76433">
        <w:rPr>
          <w:b/>
          <w:bCs/>
        </w:rPr>
        <w:t xml:space="preserve"> 2. </w:t>
      </w:r>
      <w:r w:rsidR="00F76433" w:rsidRPr="00F76433">
        <w:rPr>
          <w:bCs/>
        </w:rPr>
        <w:t xml:space="preserve">Progeny genotyping protocols relating to </w:t>
      </w:r>
      <w:r w:rsidR="00014289">
        <w:rPr>
          <w:bCs/>
        </w:rPr>
        <w:t>Additional file</w:t>
      </w:r>
      <w:r w:rsidR="00F76433" w:rsidRPr="00F76433">
        <w:rPr>
          <w:bCs/>
        </w:rPr>
        <w:t xml:space="preserve"> </w:t>
      </w:r>
      <w:r w:rsidR="00F76433" w:rsidRPr="00F76433">
        <w:rPr>
          <w:b/>
          <w:bCs/>
        </w:rPr>
        <w:t>1.</w:t>
      </w:r>
      <w:bookmarkStart w:id="0" w:name="_GoBack"/>
      <w:bookmarkEnd w:id="0"/>
    </w:p>
    <w:p w:rsidR="00F76433" w:rsidRPr="00F76433" w:rsidRDefault="00F76433" w:rsidP="00F76433">
      <w:pPr>
        <w:spacing w:line="360" w:lineRule="auto"/>
        <w:jc w:val="both"/>
        <w:rPr>
          <w:b/>
          <w:bCs/>
        </w:rPr>
      </w:pPr>
    </w:p>
    <w:p w:rsidR="00F76433" w:rsidRPr="00F76433" w:rsidRDefault="00F76433" w:rsidP="00F76433">
      <w:pPr>
        <w:pStyle w:val="ListParagraph"/>
        <w:numPr>
          <w:ilvl w:val="0"/>
          <w:numId w:val="1"/>
        </w:numPr>
        <w:spacing w:line="360" w:lineRule="auto"/>
        <w:jc w:val="both"/>
        <w:rPr>
          <w:bCs/>
        </w:rPr>
      </w:pPr>
      <w:r w:rsidRPr="00F76433">
        <w:rPr>
          <w:b/>
          <w:bCs/>
        </w:rPr>
        <w:t>Gonadal sex and FCG PCR</w:t>
      </w:r>
      <w:r w:rsidRPr="00F76433">
        <w:rPr>
          <w:bCs/>
        </w:rPr>
        <w:t xml:space="preserve"> </w:t>
      </w:r>
    </w:p>
    <w:p w:rsidR="00DC5E28" w:rsidRDefault="00F76433" w:rsidP="00A80052">
      <w:pPr>
        <w:keepNext/>
        <w:spacing w:line="360" w:lineRule="auto"/>
        <w:jc w:val="both"/>
      </w:pPr>
      <w:r w:rsidRPr="00F76433">
        <w:rPr>
          <w:bCs/>
        </w:rPr>
        <w:t xml:space="preserve">The first step for each cross is to assess the gonadal sex. Trained staff can determine this by examination of the anogenital distance soon after birth. For males, important further information can be gained from assessing testis size and fertility status (see the extensive literature relating to FCG mice). However, there is a reliable gonadal sex PCR that is applicable to all the crosses in </w:t>
      </w:r>
      <w:r w:rsidR="00DC5E28">
        <w:rPr>
          <w:bCs/>
        </w:rPr>
        <w:t>Additional file</w:t>
      </w:r>
      <w:r w:rsidRPr="00F76433">
        <w:rPr>
          <w:bCs/>
        </w:rPr>
        <w:t xml:space="preserve"> 1. This utilizes PCRs for multiple </w:t>
      </w:r>
      <w:r w:rsidRPr="00F76433">
        <w:rPr>
          <w:bCs/>
          <w:i/>
        </w:rPr>
        <w:t>Ssty</w:t>
      </w:r>
      <w:r w:rsidRPr="00F76433">
        <w:rPr>
          <w:bCs/>
        </w:rPr>
        <w:t xml:space="preserve"> copies on the Y chromosome long arm, the testis-determining gene </w:t>
      </w:r>
      <w:r w:rsidRPr="00F76433">
        <w:rPr>
          <w:bCs/>
          <w:i/>
        </w:rPr>
        <w:t xml:space="preserve">Sry, </w:t>
      </w:r>
      <w:r w:rsidRPr="00F76433">
        <w:rPr>
          <w:bCs/>
        </w:rPr>
        <w:t xml:space="preserve">and </w:t>
      </w:r>
      <w:r w:rsidRPr="00F76433">
        <w:rPr>
          <w:bCs/>
          <w:i/>
        </w:rPr>
        <w:t>Myog</w:t>
      </w:r>
      <w:r w:rsidRPr="00F76433">
        <w:rPr>
          <w:bCs/>
        </w:rPr>
        <w:t xml:space="preserve"> (on chromosome 1) as a control (</w:t>
      </w:r>
      <w:r w:rsidR="00DC5E28">
        <w:rPr>
          <w:bCs/>
        </w:rPr>
        <w:t xml:space="preserve">Additional </w:t>
      </w:r>
      <w:r w:rsidR="00D20140">
        <w:rPr>
          <w:bCs/>
        </w:rPr>
        <w:t>F</w:t>
      </w:r>
      <w:r w:rsidRPr="00F76433">
        <w:rPr>
          <w:bCs/>
        </w:rPr>
        <w:t xml:space="preserve">igure </w:t>
      </w:r>
      <w:r w:rsidR="00DC5E28">
        <w:rPr>
          <w:bCs/>
        </w:rPr>
        <w:t>1</w:t>
      </w:r>
      <w:r w:rsidRPr="00F76433">
        <w:rPr>
          <w:bCs/>
        </w:rPr>
        <w:t xml:space="preserve">). In, for example, </w:t>
      </w:r>
      <w:r w:rsidR="00D20140">
        <w:rPr>
          <w:bCs/>
        </w:rPr>
        <w:t xml:space="preserve">for </w:t>
      </w:r>
      <w:r w:rsidRPr="00F76433">
        <w:rPr>
          <w:bCs/>
        </w:rPr>
        <w:t xml:space="preserve">the cross XX x XY*, the PCR for the Y chromosome marker </w:t>
      </w:r>
      <w:r w:rsidRPr="00F76433">
        <w:rPr>
          <w:bCs/>
          <w:i/>
        </w:rPr>
        <w:t>Ssty</w:t>
      </w:r>
      <w:r w:rsidRPr="00F76433">
        <w:rPr>
          <w:bCs/>
        </w:rPr>
        <w:t xml:space="preserve"> is sufficient to identify gonadal males.  However, in crosses involving the FCG Y</w:t>
      </w:r>
      <w:r w:rsidRPr="00F76433">
        <w:rPr>
          <w:bCs/>
          <w:vertAlign w:val="superscript"/>
        </w:rPr>
        <w:t>-</w:t>
      </w:r>
      <w:r w:rsidRPr="00F76433">
        <w:rPr>
          <w:bCs/>
        </w:rPr>
        <w:t xml:space="preserve"> that lacks </w:t>
      </w:r>
      <w:r w:rsidRPr="00F76433">
        <w:rPr>
          <w:bCs/>
          <w:i/>
        </w:rPr>
        <w:t>Sry</w:t>
      </w:r>
      <w:r w:rsidRPr="00F76433">
        <w:rPr>
          <w:bCs/>
        </w:rPr>
        <w:t xml:space="preserve">, it is necessary to also include </w:t>
      </w:r>
      <w:r w:rsidRPr="00F76433">
        <w:rPr>
          <w:bCs/>
          <w:i/>
        </w:rPr>
        <w:t>Sry</w:t>
      </w:r>
      <w:r w:rsidRPr="00F76433">
        <w:rPr>
          <w:bCs/>
        </w:rPr>
        <w:t xml:space="preserve"> primers to detect the autosomally located </w:t>
      </w:r>
      <w:r w:rsidRPr="00F76433">
        <w:rPr>
          <w:bCs/>
          <w:i/>
        </w:rPr>
        <w:t>Sry</w:t>
      </w:r>
      <w:r w:rsidRPr="00F76433">
        <w:rPr>
          <w:bCs/>
        </w:rPr>
        <w:t xml:space="preserve"> transgene. In practice it will be easiest to always run the triplex PCR, but bear in mind that the multiple copy </w:t>
      </w:r>
      <w:r w:rsidRPr="00F76433">
        <w:rPr>
          <w:bCs/>
          <w:i/>
        </w:rPr>
        <w:t>Sry</w:t>
      </w:r>
      <w:r w:rsidRPr="00F76433">
        <w:rPr>
          <w:bCs/>
        </w:rPr>
        <w:t xml:space="preserve"> transgene in FCG males gives a much stronger band than endogenous </w:t>
      </w:r>
      <w:r w:rsidRPr="00F76433">
        <w:rPr>
          <w:bCs/>
          <w:i/>
        </w:rPr>
        <w:t>Sry</w:t>
      </w:r>
      <w:r w:rsidRPr="00F76433">
        <w:rPr>
          <w:bCs/>
        </w:rPr>
        <w:t xml:space="preserve"> (see Figure 1 in </w:t>
      </w:r>
      <w:r w:rsidR="008F1843" w:rsidRPr="00F76433">
        <w:rPr>
          <w:bCs/>
        </w:rPr>
        <w:fldChar w:fldCharType="begin"/>
      </w:r>
      <w:r w:rsidRPr="00F76433">
        <w:rPr>
          <w:bCs/>
        </w:rPr>
        <w:instrText xml:space="preserve"> ADDIN EN.CITE &lt;EndNote&gt;&lt;Cite&gt;&lt;Author&gt;Itoh&lt;/Author&gt;&lt;Year&gt;2015&lt;/Year&gt;&lt;RecNum&gt;3910&lt;/RecNum&gt;&lt;DisplayText&gt;[51]&lt;/DisplayText&gt;&lt;record&gt;&lt;rec-number&gt;3910&lt;/rec-number&gt;&lt;foreign-keys&gt;&lt;key app="EN" db-id="vxperf2d2s59vtezexlxpxwqrpxxz020tvpp" timestamp="1443793822"&gt;3910&lt;/key&gt;&lt;/foreign-keys&gt;&lt;ref-type name="Journal Article"&gt;17&lt;/ref-type&gt;&lt;contributors&gt;&lt;authors&gt;&lt;author&gt;Itoh, Y.&lt;/author&gt;&lt;author&gt;Mackie, R.&lt;/author&gt;&lt;author&gt;Kampf, K.&lt;/author&gt;&lt;author&gt;Domadia, S.&lt;/author&gt;&lt;author&gt;Brown, J. D.&lt;/author&gt;&lt;author&gt;O&amp;apos;Neill, R.&lt;/author&gt;&lt;author&gt;Arnold, A. P.&lt;/author&gt;&lt;/authors&gt;&lt;/contributors&gt;&lt;titles&gt;&lt;title&gt;Four core genotypes mouse model: localization of the Sry transgene and bioassay for testicular hormone levels&lt;/title&gt;&lt;secondary-title&gt;BMC Res Notes&lt;/secondary-title&gt;&lt;/titles&gt;&lt;periodical&gt;&lt;full-title&gt;BMC Res Notes&lt;/full-title&gt;&lt;/periodical&gt;&lt;pages&gt;69&lt;/pages&gt;&lt;volume&gt;8&lt;/volume&gt;&lt;dates&gt;&lt;year&gt;2015&lt;/year&gt;&lt;/dates&gt;&lt;isbn&gt;1756-0500 (Electronic)&amp;#xD;1756-0500 (Linking)&lt;/isbn&gt;&lt;accession-num&gt;25870930&lt;/accession-num&gt;&lt;urls&gt;&lt;related-urls&gt;&lt;url&gt;http://www.ncbi.nlm.nih.gov/pubmed/25870930&lt;/url&gt;&lt;/related-urls&gt;&lt;/urls&gt;&lt;custom2&gt;PMC4354741&lt;/custom2&gt;&lt;electronic-resource-num&gt;10.1186/s13104-015-0986-2&lt;/electronic-resource-num&gt;&lt;/record&gt;&lt;/Cite&gt;&lt;/EndNote&gt;</w:instrText>
      </w:r>
      <w:r w:rsidR="008F1843" w:rsidRPr="00F76433">
        <w:rPr>
          <w:bCs/>
        </w:rPr>
        <w:fldChar w:fldCharType="separate"/>
      </w:r>
      <w:r w:rsidRPr="00F76433">
        <w:rPr>
          <w:bCs/>
          <w:noProof/>
        </w:rPr>
        <w:t>[51]</w:t>
      </w:r>
      <w:r w:rsidR="008F1843" w:rsidRPr="00F76433">
        <w:rPr>
          <w:bCs/>
        </w:rPr>
        <w:fldChar w:fldCharType="end"/>
      </w:r>
      <w:r w:rsidRPr="00F76433">
        <w:rPr>
          <w:bCs/>
        </w:rPr>
        <w:t>). This PCR utilizes the following conditions: 95</w:t>
      </w:r>
      <w:r w:rsidRPr="00F76433">
        <w:rPr>
          <w:bCs/>
          <w:vertAlign w:val="superscript"/>
        </w:rPr>
        <w:t>o</w:t>
      </w:r>
      <w:r w:rsidRPr="00F76433">
        <w:rPr>
          <w:bCs/>
        </w:rPr>
        <w:t>C for 4 min, followed by 35 cycles of 94</w:t>
      </w:r>
      <w:r w:rsidRPr="00F76433">
        <w:rPr>
          <w:bCs/>
          <w:vertAlign w:val="superscript"/>
        </w:rPr>
        <w:t>o</w:t>
      </w:r>
      <w:r w:rsidRPr="00F76433">
        <w:rPr>
          <w:bCs/>
        </w:rPr>
        <w:t>C for 45 sec, 58</w:t>
      </w:r>
      <w:r w:rsidRPr="00F76433">
        <w:rPr>
          <w:bCs/>
          <w:vertAlign w:val="superscript"/>
        </w:rPr>
        <w:t>o</w:t>
      </w:r>
      <w:r w:rsidRPr="00F76433">
        <w:rPr>
          <w:bCs/>
        </w:rPr>
        <w:t>C for 30 sec and 72</w:t>
      </w:r>
      <w:r w:rsidRPr="00F76433">
        <w:rPr>
          <w:bCs/>
          <w:vertAlign w:val="superscript"/>
        </w:rPr>
        <w:t>o</w:t>
      </w:r>
      <w:r w:rsidRPr="00F76433">
        <w:rPr>
          <w:bCs/>
        </w:rPr>
        <w:t>C for 1 min, with a final extension at 72</w:t>
      </w:r>
      <w:r w:rsidRPr="00F76433">
        <w:rPr>
          <w:bCs/>
          <w:vertAlign w:val="superscript"/>
        </w:rPr>
        <w:t>o</w:t>
      </w:r>
      <w:r w:rsidRPr="00F76433">
        <w:rPr>
          <w:bCs/>
        </w:rPr>
        <w:t>C for 5 min.</w:t>
      </w:r>
      <w:r w:rsidR="00DC5E28">
        <w:rPr>
          <w:bCs/>
          <w:noProof/>
        </w:rPr>
        <w:drawing>
          <wp:anchor distT="0" distB="0" distL="114300" distR="114300" simplePos="0" relativeHeight="251658240" behindDoc="1" locked="0" layoutInCell="1" allowOverlap="1" wp14:anchorId="5EF04032" wp14:editId="41DBA198">
            <wp:simplePos x="0" y="0"/>
            <wp:positionH relativeFrom="column">
              <wp:posOffset>0</wp:posOffset>
            </wp:positionH>
            <wp:positionV relativeFrom="paragraph">
              <wp:posOffset>3070225</wp:posOffset>
            </wp:positionV>
            <wp:extent cx="2276475" cy="2971800"/>
            <wp:effectExtent l="0" t="0" r="9525" b="0"/>
            <wp:wrapTight wrapText="bothSides">
              <wp:wrapPolygon edited="0">
                <wp:start x="0" y="0"/>
                <wp:lineTo x="0" y="21462"/>
                <wp:lineTo x="21510" y="21462"/>
                <wp:lineTo x="215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 fina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6475" cy="2971800"/>
                    </a:xfrm>
                    <a:prstGeom prst="rect">
                      <a:avLst/>
                    </a:prstGeom>
                  </pic:spPr>
                </pic:pic>
              </a:graphicData>
            </a:graphic>
            <wp14:sizeRelH relativeFrom="page">
              <wp14:pctWidth>0</wp14:pctWidth>
            </wp14:sizeRelH>
            <wp14:sizeRelV relativeFrom="page">
              <wp14:pctHeight>0</wp14:pctHeight>
            </wp14:sizeRelV>
          </wp:anchor>
        </w:drawing>
      </w:r>
    </w:p>
    <w:p w:rsidR="000D1588" w:rsidRDefault="000D1588" w:rsidP="000D1588">
      <w:pPr>
        <w:spacing w:line="360" w:lineRule="auto"/>
        <w:jc w:val="both"/>
      </w:pPr>
    </w:p>
    <w:p w:rsidR="000D1588" w:rsidRDefault="000D1588" w:rsidP="000D1588">
      <w:pPr>
        <w:spacing w:line="360" w:lineRule="auto"/>
        <w:jc w:val="both"/>
      </w:pPr>
    </w:p>
    <w:p w:rsidR="000D1588" w:rsidRDefault="009712F4" w:rsidP="00014289">
      <w:pPr>
        <w:jc w:val="both"/>
      </w:pPr>
      <w:r>
        <w:t>Additional F</w:t>
      </w:r>
      <w:r w:rsidR="00DC5E28">
        <w:t>igure 1</w:t>
      </w:r>
      <w:r w:rsidR="000D1588">
        <w:t xml:space="preserve">. Gel image of products from triplex genomic PCR to distringuish genotypes of the Four Core Genotypes.  The three bands correspond to the </w:t>
      </w:r>
      <w:r w:rsidR="000D1588" w:rsidRPr="00333741">
        <w:rPr>
          <w:i/>
        </w:rPr>
        <w:t>Sry</w:t>
      </w:r>
      <w:r w:rsidR="000D1588">
        <w:t xml:space="preserve"> transgene (which determines male gonadal sex), the Y chromosome marker to detect presence of the Y chromosome, and myogenin autosomal gene which check that the PCR reaction worked. Size ladder is 100bp.</w:t>
      </w:r>
    </w:p>
    <w:p w:rsidR="00F76433" w:rsidRPr="00DC5E28" w:rsidRDefault="00F76433" w:rsidP="00014289">
      <w:pPr>
        <w:pStyle w:val="Caption"/>
        <w:jc w:val="both"/>
      </w:pPr>
    </w:p>
    <w:p w:rsidR="00F76433" w:rsidRPr="00F76433" w:rsidRDefault="00F76433" w:rsidP="00F76433">
      <w:pPr>
        <w:spacing w:line="360" w:lineRule="auto"/>
        <w:jc w:val="both"/>
        <w:rPr>
          <w:bCs/>
        </w:rPr>
      </w:pPr>
      <w:r w:rsidRPr="00F76433">
        <w:rPr>
          <w:bCs/>
        </w:rPr>
        <w:t xml:space="preserve"> </w:t>
      </w:r>
    </w:p>
    <w:p w:rsidR="00DC5E28" w:rsidRDefault="00DC5E28">
      <w:pPr>
        <w:rPr>
          <w:b/>
          <w:bCs/>
          <w:lang w:val="en-GB"/>
        </w:rPr>
      </w:pPr>
      <w:r>
        <w:rPr>
          <w:b/>
          <w:bCs/>
          <w:lang w:val="en-GB"/>
        </w:rPr>
        <w:br w:type="page"/>
      </w:r>
    </w:p>
    <w:p w:rsidR="00F76433" w:rsidRPr="00F76433" w:rsidRDefault="00F76433" w:rsidP="00F76433">
      <w:pPr>
        <w:spacing w:line="360" w:lineRule="auto"/>
        <w:jc w:val="both"/>
        <w:rPr>
          <w:bCs/>
          <w:lang w:val="en-GB"/>
        </w:rPr>
      </w:pPr>
      <w:r w:rsidRPr="00F76433">
        <w:rPr>
          <w:b/>
          <w:bCs/>
          <w:lang w:val="en-GB"/>
        </w:rPr>
        <w:lastRenderedPageBreak/>
        <w:t xml:space="preserve">List of primers </w:t>
      </w:r>
    </w:p>
    <w:tbl>
      <w:tblPr>
        <w:tblW w:w="9998" w:type="dxa"/>
        <w:tblBorders>
          <w:bottom w:val="single" w:sz="4" w:space="0" w:color="auto"/>
        </w:tblBorders>
        <w:tblLayout w:type="fixed"/>
        <w:tblLook w:val="01E0" w:firstRow="1" w:lastRow="1" w:firstColumn="1" w:lastColumn="1" w:noHBand="0" w:noVBand="0"/>
      </w:tblPr>
      <w:tblGrid>
        <w:gridCol w:w="1101"/>
        <w:gridCol w:w="1984"/>
        <w:gridCol w:w="4678"/>
        <w:gridCol w:w="1559"/>
        <w:gridCol w:w="676"/>
      </w:tblGrid>
      <w:tr w:rsidR="00F76433" w:rsidRPr="00F76433" w:rsidTr="00002050">
        <w:trPr>
          <w:gridAfter w:val="1"/>
          <w:wAfter w:w="676" w:type="dxa"/>
        </w:trPr>
        <w:tc>
          <w:tcPr>
            <w:tcW w:w="1101"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Gene</w:t>
            </w:r>
          </w:p>
        </w:tc>
        <w:tc>
          <w:tcPr>
            <w:tcW w:w="1984"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Primer ID</w:t>
            </w:r>
          </w:p>
        </w:tc>
        <w:tc>
          <w:tcPr>
            <w:tcW w:w="4678"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Primer sequence</w:t>
            </w:r>
          </w:p>
        </w:tc>
        <w:tc>
          <w:tcPr>
            <w:tcW w:w="1559"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Amplicon</w:t>
            </w:r>
          </w:p>
          <w:p w:rsidR="00F76433" w:rsidRPr="00F76433" w:rsidRDefault="00F76433" w:rsidP="00002050">
            <w:pPr>
              <w:spacing w:line="360" w:lineRule="auto"/>
              <w:jc w:val="both"/>
              <w:rPr>
                <w:bCs/>
                <w:lang w:val="en-GB"/>
              </w:rPr>
            </w:pPr>
            <w:r w:rsidRPr="00F76433">
              <w:rPr>
                <w:bCs/>
                <w:lang w:val="en-GB"/>
              </w:rPr>
              <w:t xml:space="preserve">     size</w:t>
            </w:r>
          </w:p>
        </w:tc>
      </w:tr>
      <w:tr w:rsidR="00F76433" w:rsidRPr="00F76433" w:rsidTr="00002050">
        <w:tblPrEx>
          <w:tblBorders>
            <w:top w:val="single" w:sz="4" w:space="0" w:color="auto"/>
            <w:left w:val="single" w:sz="4" w:space="0" w:color="auto"/>
            <w:right w:val="single" w:sz="4" w:space="0" w:color="auto"/>
            <w:insideH w:val="single" w:sz="4" w:space="0" w:color="auto"/>
            <w:insideV w:val="single" w:sz="4" w:space="0" w:color="auto"/>
          </w:tblBorders>
        </w:tblPrEx>
        <w:trPr>
          <w:trHeight w:val="70"/>
        </w:trPr>
        <w:tc>
          <w:tcPr>
            <w:tcW w:w="9998" w:type="dxa"/>
            <w:gridSpan w:val="5"/>
            <w:tcBorders>
              <w:top w:val="nil"/>
              <w:left w:val="nil"/>
              <w:bottom w:val="nil"/>
              <w:right w:val="nil"/>
            </w:tcBorders>
            <w:shd w:val="clear" w:color="auto" w:fill="auto"/>
          </w:tcPr>
          <w:p w:rsidR="00F76433" w:rsidRPr="00F76433" w:rsidRDefault="00F76433" w:rsidP="00002050">
            <w:pPr>
              <w:spacing w:line="360" w:lineRule="auto"/>
              <w:jc w:val="both"/>
              <w:rPr>
                <w:b/>
                <w:bCs/>
                <w:lang w:val="en-GB"/>
              </w:rPr>
            </w:pPr>
          </w:p>
        </w:tc>
      </w:tr>
      <w:tr w:rsidR="00F76433" w:rsidRPr="00F76433" w:rsidTr="00002050">
        <w:trPr>
          <w:gridAfter w:val="1"/>
          <w:wAfter w:w="676" w:type="dxa"/>
        </w:trPr>
        <w:tc>
          <w:tcPr>
            <w:tcW w:w="1101" w:type="dxa"/>
            <w:vMerge w:val="restart"/>
            <w:tcBorders>
              <w:bottom w:val="nil"/>
            </w:tcBorders>
            <w:shd w:val="clear" w:color="auto" w:fill="auto"/>
          </w:tcPr>
          <w:p w:rsidR="00F76433" w:rsidRPr="00F76433" w:rsidRDefault="00F76433" w:rsidP="00002050">
            <w:pPr>
              <w:spacing w:line="360" w:lineRule="auto"/>
              <w:jc w:val="both"/>
              <w:rPr>
                <w:bCs/>
                <w:i/>
                <w:lang w:val="en-GB"/>
              </w:rPr>
            </w:pPr>
            <w:r w:rsidRPr="00F76433">
              <w:rPr>
                <w:bCs/>
                <w:i/>
                <w:lang w:val="en-GB"/>
              </w:rPr>
              <w:t>Ssty</w:t>
            </w: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Ssty</w:t>
            </w:r>
            <w:r w:rsidRPr="00F76433">
              <w:rPr>
                <w:bCs/>
                <w:lang w:val="en-GB"/>
              </w:rPr>
              <w:noBreakHyphen/>
              <w:t>F</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CTGGAGCTCTACAGTGATGA</w:t>
            </w:r>
          </w:p>
        </w:tc>
        <w:tc>
          <w:tcPr>
            <w:tcW w:w="1559" w:type="dxa"/>
            <w:vMerge w:val="restart"/>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342bp</w:t>
            </w:r>
          </w:p>
        </w:tc>
      </w:tr>
      <w:tr w:rsidR="00F76433" w:rsidRPr="00F76433" w:rsidTr="00002050">
        <w:trPr>
          <w:gridAfter w:val="1"/>
          <w:wAfter w:w="676" w:type="dxa"/>
        </w:trPr>
        <w:tc>
          <w:tcPr>
            <w:tcW w:w="1101" w:type="dxa"/>
            <w:vMerge/>
            <w:tcBorders>
              <w:bottom w:val="nil"/>
            </w:tcBorders>
            <w:shd w:val="clear" w:color="auto" w:fill="auto"/>
          </w:tcPr>
          <w:p w:rsidR="00F76433" w:rsidRPr="00F76433" w:rsidRDefault="00F76433" w:rsidP="00002050">
            <w:pPr>
              <w:spacing w:line="360" w:lineRule="auto"/>
              <w:jc w:val="both"/>
              <w:rPr>
                <w:bCs/>
                <w:lang w:val="en-GB"/>
              </w:rPr>
            </w:pP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Ssty</w:t>
            </w:r>
            <w:r w:rsidRPr="00F76433">
              <w:rPr>
                <w:bCs/>
                <w:lang w:val="en-GB"/>
              </w:rPr>
              <w:noBreakHyphen/>
              <w:t>R</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CAGTTACCAATCAACACATCAC</w:t>
            </w:r>
          </w:p>
        </w:tc>
        <w:tc>
          <w:tcPr>
            <w:tcW w:w="1559" w:type="dxa"/>
            <w:vMerge/>
            <w:tcBorders>
              <w:bottom w:val="nil"/>
            </w:tcBorders>
            <w:shd w:val="clear" w:color="auto" w:fill="auto"/>
          </w:tcPr>
          <w:p w:rsidR="00F76433" w:rsidRPr="00F76433" w:rsidRDefault="00F76433" w:rsidP="00002050">
            <w:pPr>
              <w:spacing w:line="360" w:lineRule="auto"/>
              <w:jc w:val="both"/>
              <w:rPr>
                <w:bCs/>
                <w:lang w:val="en-GB"/>
              </w:rPr>
            </w:pPr>
          </w:p>
        </w:tc>
      </w:tr>
      <w:tr w:rsidR="00F76433" w:rsidRPr="00F76433" w:rsidTr="00002050">
        <w:trPr>
          <w:gridAfter w:val="1"/>
          <w:wAfter w:w="676" w:type="dxa"/>
        </w:trPr>
        <w:tc>
          <w:tcPr>
            <w:tcW w:w="1101" w:type="dxa"/>
            <w:vMerge w:val="restart"/>
            <w:tcBorders>
              <w:bottom w:val="nil"/>
            </w:tcBorders>
            <w:shd w:val="clear" w:color="auto" w:fill="auto"/>
          </w:tcPr>
          <w:p w:rsidR="00F76433" w:rsidRPr="00F76433" w:rsidRDefault="00F76433" w:rsidP="00002050">
            <w:pPr>
              <w:spacing w:line="360" w:lineRule="auto"/>
              <w:jc w:val="both"/>
              <w:rPr>
                <w:bCs/>
                <w:i/>
                <w:lang w:val="en-GB"/>
              </w:rPr>
            </w:pPr>
            <w:r w:rsidRPr="00F76433">
              <w:rPr>
                <w:bCs/>
                <w:i/>
                <w:lang w:val="en-GB"/>
              </w:rPr>
              <w:t>Sry</w:t>
            </w: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Sry</w:t>
            </w:r>
            <w:r w:rsidRPr="00F76433">
              <w:rPr>
                <w:bCs/>
                <w:lang w:val="en-GB"/>
              </w:rPr>
              <w:noBreakHyphen/>
              <w:t>F</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AGCCCTACAGCCACATGATA</w:t>
            </w:r>
          </w:p>
        </w:tc>
        <w:tc>
          <w:tcPr>
            <w:tcW w:w="1559" w:type="dxa"/>
            <w:vMerge w:val="restart"/>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420bp</w:t>
            </w:r>
          </w:p>
        </w:tc>
      </w:tr>
      <w:tr w:rsidR="00F76433" w:rsidRPr="00F76433" w:rsidTr="00002050">
        <w:trPr>
          <w:gridAfter w:val="1"/>
          <w:wAfter w:w="676" w:type="dxa"/>
        </w:trPr>
        <w:tc>
          <w:tcPr>
            <w:tcW w:w="1101" w:type="dxa"/>
            <w:vMerge/>
            <w:tcBorders>
              <w:bottom w:val="nil"/>
            </w:tcBorders>
            <w:shd w:val="clear" w:color="auto" w:fill="auto"/>
          </w:tcPr>
          <w:p w:rsidR="00F76433" w:rsidRPr="00F76433" w:rsidRDefault="00F76433" w:rsidP="00002050">
            <w:pPr>
              <w:spacing w:line="360" w:lineRule="auto"/>
              <w:jc w:val="both"/>
              <w:rPr>
                <w:bCs/>
                <w:lang w:val="en-GB"/>
              </w:rPr>
            </w:pP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Sry</w:t>
            </w:r>
            <w:r w:rsidRPr="00F76433">
              <w:rPr>
                <w:bCs/>
                <w:lang w:val="en-GB"/>
              </w:rPr>
              <w:noBreakHyphen/>
              <w:t>R</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GTCTTGCCTGTATGTGATGG</w:t>
            </w:r>
          </w:p>
        </w:tc>
        <w:tc>
          <w:tcPr>
            <w:tcW w:w="1559" w:type="dxa"/>
            <w:vMerge/>
            <w:tcBorders>
              <w:bottom w:val="nil"/>
            </w:tcBorders>
            <w:shd w:val="clear" w:color="auto" w:fill="auto"/>
          </w:tcPr>
          <w:p w:rsidR="00F76433" w:rsidRPr="00F76433" w:rsidRDefault="00F76433" w:rsidP="00002050">
            <w:pPr>
              <w:spacing w:line="360" w:lineRule="auto"/>
              <w:jc w:val="both"/>
              <w:rPr>
                <w:bCs/>
                <w:lang w:val="en-GB"/>
              </w:rPr>
            </w:pPr>
          </w:p>
        </w:tc>
      </w:tr>
      <w:tr w:rsidR="00F76433" w:rsidRPr="00F76433" w:rsidTr="00002050">
        <w:trPr>
          <w:gridAfter w:val="1"/>
          <w:wAfter w:w="676" w:type="dxa"/>
        </w:trPr>
        <w:tc>
          <w:tcPr>
            <w:tcW w:w="1101" w:type="dxa"/>
            <w:vMerge w:val="restart"/>
            <w:tcBorders>
              <w:bottom w:val="nil"/>
            </w:tcBorders>
            <w:shd w:val="clear" w:color="auto" w:fill="auto"/>
          </w:tcPr>
          <w:p w:rsidR="00F76433" w:rsidRPr="00F76433" w:rsidRDefault="00F76433" w:rsidP="00002050">
            <w:pPr>
              <w:spacing w:line="360" w:lineRule="auto"/>
              <w:jc w:val="both"/>
              <w:rPr>
                <w:bCs/>
                <w:i/>
                <w:lang w:val="en-GB"/>
              </w:rPr>
            </w:pPr>
            <w:r w:rsidRPr="00F76433">
              <w:rPr>
                <w:bCs/>
                <w:i/>
                <w:iCs/>
                <w:lang w:val="en-GB"/>
              </w:rPr>
              <w:t>Myog</w:t>
            </w:r>
          </w:p>
        </w:tc>
        <w:tc>
          <w:tcPr>
            <w:tcW w:w="1984" w:type="dxa"/>
            <w:tcBorders>
              <w:bottom w:val="nil"/>
            </w:tcBorders>
            <w:shd w:val="clear" w:color="auto" w:fill="auto"/>
          </w:tcPr>
          <w:p w:rsidR="00F76433" w:rsidRPr="00F76433" w:rsidRDefault="00F76433" w:rsidP="00002050">
            <w:pPr>
              <w:spacing w:line="360" w:lineRule="auto"/>
              <w:jc w:val="both"/>
              <w:rPr>
                <w:bCs/>
                <w:vertAlign w:val="superscript"/>
                <w:lang w:val="en-GB"/>
              </w:rPr>
            </w:pPr>
            <w:r w:rsidRPr="00F76433">
              <w:rPr>
                <w:bCs/>
                <w:i/>
                <w:lang w:val="en-GB"/>
              </w:rPr>
              <w:t>Om1a</w:t>
            </w:r>
            <w:r w:rsidRPr="00F76433">
              <w:rPr>
                <w:bCs/>
                <w:vertAlign w:val="superscript"/>
                <w:lang w:val="en-GB"/>
              </w:rPr>
              <w:t>1</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TTACGTCCATCGTGGACAGCAT</w:t>
            </w:r>
          </w:p>
        </w:tc>
        <w:tc>
          <w:tcPr>
            <w:tcW w:w="1559" w:type="dxa"/>
            <w:vMerge w:val="restart"/>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246bp</w:t>
            </w:r>
          </w:p>
        </w:tc>
      </w:tr>
      <w:tr w:rsidR="00F76433" w:rsidRPr="00F76433" w:rsidTr="00002050">
        <w:trPr>
          <w:gridAfter w:val="1"/>
          <w:wAfter w:w="676" w:type="dxa"/>
        </w:trPr>
        <w:tc>
          <w:tcPr>
            <w:tcW w:w="1101" w:type="dxa"/>
            <w:vMerge/>
            <w:tcBorders>
              <w:bottom w:val="nil"/>
            </w:tcBorders>
            <w:shd w:val="clear" w:color="auto" w:fill="auto"/>
          </w:tcPr>
          <w:p w:rsidR="00F76433" w:rsidRPr="00F76433" w:rsidRDefault="00F76433" w:rsidP="00002050">
            <w:pPr>
              <w:spacing w:line="360" w:lineRule="auto"/>
              <w:jc w:val="both"/>
              <w:rPr>
                <w:bCs/>
                <w:lang w:val="en-GB"/>
              </w:rPr>
            </w:pPr>
          </w:p>
        </w:tc>
        <w:tc>
          <w:tcPr>
            <w:tcW w:w="1984" w:type="dxa"/>
            <w:tcBorders>
              <w:bottom w:val="nil"/>
            </w:tcBorders>
            <w:shd w:val="clear" w:color="auto" w:fill="auto"/>
          </w:tcPr>
          <w:p w:rsidR="00F76433" w:rsidRPr="00F76433" w:rsidRDefault="00F76433" w:rsidP="00002050">
            <w:pPr>
              <w:spacing w:line="360" w:lineRule="auto"/>
              <w:jc w:val="both"/>
              <w:rPr>
                <w:bCs/>
                <w:vertAlign w:val="superscript"/>
                <w:lang w:val="en-GB"/>
              </w:rPr>
            </w:pPr>
            <w:r w:rsidRPr="00F76433">
              <w:rPr>
                <w:bCs/>
                <w:i/>
                <w:lang w:val="en-GB"/>
              </w:rPr>
              <w:t>Om1b</w:t>
            </w:r>
            <w:r w:rsidRPr="00F76433">
              <w:rPr>
                <w:bCs/>
                <w:vertAlign w:val="superscript"/>
                <w:lang w:val="en-GB"/>
              </w:rPr>
              <w:t>1</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TGGGCTGGGTGTTAGTCTTAT</w:t>
            </w:r>
          </w:p>
        </w:tc>
        <w:tc>
          <w:tcPr>
            <w:tcW w:w="1559" w:type="dxa"/>
            <w:vMerge/>
            <w:tcBorders>
              <w:bottom w:val="nil"/>
            </w:tcBorders>
            <w:shd w:val="clear" w:color="auto" w:fill="auto"/>
          </w:tcPr>
          <w:p w:rsidR="00F76433" w:rsidRPr="00F76433" w:rsidRDefault="00F76433" w:rsidP="00002050">
            <w:pPr>
              <w:spacing w:line="360" w:lineRule="auto"/>
              <w:jc w:val="both"/>
              <w:rPr>
                <w:bCs/>
                <w:lang w:val="en-GB"/>
              </w:rPr>
            </w:pPr>
          </w:p>
        </w:tc>
      </w:tr>
      <w:tr w:rsidR="00F76433" w:rsidRPr="00F76433" w:rsidTr="00002050">
        <w:trPr>
          <w:gridAfter w:val="1"/>
          <w:wAfter w:w="676" w:type="dxa"/>
          <w:trHeight w:val="80"/>
        </w:trPr>
        <w:tc>
          <w:tcPr>
            <w:tcW w:w="1101" w:type="dxa"/>
            <w:vMerge/>
            <w:tcBorders>
              <w:bottom w:val="single" w:sz="4" w:space="0" w:color="auto"/>
            </w:tcBorders>
            <w:shd w:val="clear" w:color="auto" w:fill="auto"/>
          </w:tcPr>
          <w:p w:rsidR="00F76433" w:rsidRPr="00F76433" w:rsidRDefault="00F76433" w:rsidP="00002050">
            <w:pPr>
              <w:spacing w:line="360" w:lineRule="auto"/>
              <w:jc w:val="both"/>
              <w:rPr>
                <w:bCs/>
                <w:lang w:val="en-GB"/>
              </w:rPr>
            </w:pPr>
          </w:p>
        </w:tc>
        <w:tc>
          <w:tcPr>
            <w:tcW w:w="1984" w:type="dxa"/>
            <w:tcBorders>
              <w:bottom w:val="single" w:sz="4" w:space="0" w:color="auto"/>
            </w:tcBorders>
            <w:shd w:val="clear" w:color="auto" w:fill="auto"/>
          </w:tcPr>
          <w:p w:rsidR="00F76433" w:rsidRPr="00F76433" w:rsidRDefault="00F76433" w:rsidP="00002050">
            <w:pPr>
              <w:spacing w:line="360" w:lineRule="auto"/>
              <w:jc w:val="both"/>
              <w:rPr>
                <w:bCs/>
                <w:lang w:val="en-GB"/>
              </w:rPr>
            </w:pPr>
          </w:p>
        </w:tc>
        <w:tc>
          <w:tcPr>
            <w:tcW w:w="4678" w:type="dxa"/>
            <w:tcBorders>
              <w:bottom w:val="single" w:sz="4" w:space="0" w:color="auto"/>
            </w:tcBorders>
            <w:shd w:val="clear" w:color="auto" w:fill="auto"/>
          </w:tcPr>
          <w:p w:rsidR="00F76433" w:rsidRPr="00F76433" w:rsidRDefault="00F76433" w:rsidP="00002050">
            <w:pPr>
              <w:spacing w:line="360" w:lineRule="auto"/>
              <w:jc w:val="both"/>
              <w:rPr>
                <w:bCs/>
                <w:lang w:val="en-GB"/>
              </w:rPr>
            </w:pPr>
          </w:p>
        </w:tc>
        <w:tc>
          <w:tcPr>
            <w:tcW w:w="1559" w:type="dxa"/>
            <w:vMerge/>
            <w:tcBorders>
              <w:bottom w:val="single" w:sz="4" w:space="0" w:color="auto"/>
            </w:tcBorders>
            <w:shd w:val="clear" w:color="auto" w:fill="auto"/>
          </w:tcPr>
          <w:p w:rsidR="00F76433" w:rsidRPr="00F76433" w:rsidRDefault="00F76433" w:rsidP="00002050">
            <w:pPr>
              <w:spacing w:line="360" w:lineRule="auto"/>
              <w:jc w:val="both"/>
              <w:rPr>
                <w:bCs/>
                <w:lang w:val="en-GB"/>
              </w:rPr>
            </w:pPr>
          </w:p>
        </w:tc>
      </w:tr>
    </w:tbl>
    <w:p w:rsidR="00F76433" w:rsidRPr="00F76433" w:rsidRDefault="00F76433" w:rsidP="00F76433">
      <w:pPr>
        <w:rPr>
          <w:rFonts w:ascii="Times New Roman" w:eastAsia="MS Mincho" w:hAnsi="Times New Roman" w:cs="Times New Roman"/>
          <w:b/>
          <w:sz w:val="28"/>
          <w:szCs w:val="28"/>
          <w:lang w:eastAsia="ja-JP"/>
        </w:rPr>
      </w:pPr>
      <w:r w:rsidRPr="00F76433">
        <w:rPr>
          <w:bCs/>
          <w:vertAlign w:val="superscript"/>
        </w:rPr>
        <w:t>1</w:t>
      </w:r>
      <w:r w:rsidRPr="00F76433">
        <w:rPr>
          <w:bCs/>
        </w:rPr>
        <w:t xml:space="preserve">The </w:t>
      </w:r>
      <w:r w:rsidRPr="00F76433">
        <w:rPr>
          <w:bCs/>
          <w:i/>
        </w:rPr>
        <w:t>Myogenin</w:t>
      </w:r>
      <w:r w:rsidRPr="00F76433">
        <w:rPr>
          <w:bCs/>
        </w:rPr>
        <w:t xml:space="preserve"> PCR using </w:t>
      </w:r>
      <w:r w:rsidRPr="00F76433">
        <w:rPr>
          <w:bCs/>
          <w:i/>
        </w:rPr>
        <w:t>Om1</w:t>
      </w:r>
      <w:r w:rsidRPr="00F76433">
        <w:rPr>
          <w:bCs/>
        </w:rPr>
        <w:t xml:space="preserve"> primers (see</w:t>
      </w:r>
      <w:r w:rsidR="00D20140">
        <w:rPr>
          <w:bCs/>
        </w:rPr>
        <w:t xml:space="preserve"> [110]</w:t>
      </w:r>
      <w:r w:rsidRPr="00F76433">
        <w:rPr>
          <w:bCs/>
        </w:rPr>
        <w:t>) is a positive control that the PCR worked.</w:t>
      </w:r>
    </w:p>
    <w:p w:rsidR="00F76433" w:rsidRPr="00F76433" w:rsidRDefault="00F76433" w:rsidP="00F76433">
      <w:pPr>
        <w:spacing w:line="360" w:lineRule="auto"/>
        <w:jc w:val="both"/>
        <w:rPr>
          <w:bCs/>
        </w:rPr>
      </w:pPr>
    </w:p>
    <w:p w:rsidR="00F76433" w:rsidRPr="00F76433" w:rsidRDefault="00F76433" w:rsidP="00F76433">
      <w:pPr>
        <w:pStyle w:val="ListParagraph"/>
        <w:numPr>
          <w:ilvl w:val="0"/>
          <w:numId w:val="1"/>
        </w:numPr>
        <w:spacing w:line="360" w:lineRule="auto"/>
        <w:jc w:val="both"/>
        <w:rPr>
          <w:bCs/>
        </w:rPr>
      </w:pPr>
      <w:r w:rsidRPr="00F76433">
        <w:rPr>
          <w:b/>
          <w:bCs/>
        </w:rPr>
        <w:t xml:space="preserve">NPX qPCR </w:t>
      </w:r>
    </w:p>
    <w:p w:rsidR="00F76433" w:rsidRPr="00F76433" w:rsidRDefault="00F76433" w:rsidP="00F76433">
      <w:pPr>
        <w:spacing w:line="360" w:lineRule="auto"/>
        <w:jc w:val="both"/>
        <w:rPr>
          <w:bCs/>
        </w:rPr>
      </w:pPr>
      <w:r w:rsidRPr="00F76433">
        <w:rPr>
          <w:bCs/>
        </w:rPr>
        <w:t>The second step is to identify the NPX dosage. The quantitative real time genomic PCR (qPCR) presented here is designed to distinguish between NPX dosage and the dosage of the minute NPX+ segment present in the Y* and Y*</w:t>
      </w:r>
      <w:r w:rsidRPr="00F76433">
        <w:rPr>
          <w:bCs/>
          <w:vertAlign w:val="superscript"/>
        </w:rPr>
        <w:t>X</w:t>
      </w:r>
      <w:r w:rsidRPr="00F76433">
        <w:rPr>
          <w:bCs/>
        </w:rPr>
        <w:t xml:space="preserve"> chromosomes (</w:t>
      </w:r>
      <w:r w:rsidR="00D20140">
        <w:rPr>
          <w:bCs/>
        </w:rPr>
        <w:t>Additional Figure 2</w:t>
      </w:r>
      <w:r w:rsidRPr="00F76433">
        <w:rPr>
          <w:bCs/>
        </w:rPr>
        <w:t>).</w:t>
      </w:r>
    </w:p>
    <w:p w:rsidR="00F76433" w:rsidRPr="00F76433" w:rsidRDefault="00F76433" w:rsidP="00F76433">
      <w:pPr>
        <w:spacing w:line="360" w:lineRule="auto"/>
        <w:jc w:val="both"/>
        <w:rPr>
          <w:bCs/>
        </w:rPr>
      </w:pPr>
      <w:r w:rsidRPr="00F76433">
        <w:rPr>
          <w:bCs/>
        </w:rPr>
        <w:tab/>
        <w:t xml:space="preserve">In order to discriminate between the different genotypes, a qPCR test has been developed using two X-linked genes: </w:t>
      </w:r>
      <w:r w:rsidRPr="00F76433">
        <w:rPr>
          <w:bCs/>
          <w:i/>
        </w:rPr>
        <w:t>Prdx4</w:t>
      </w:r>
      <w:r w:rsidRPr="00F76433">
        <w:rPr>
          <w:bCs/>
        </w:rPr>
        <w:t xml:space="preserve">, present only on the X chromosome, and </w:t>
      </w:r>
      <w:r w:rsidRPr="00F76433">
        <w:rPr>
          <w:bCs/>
          <w:i/>
        </w:rPr>
        <w:t>Amelx</w:t>
      </w:r>
      <w:r w:rsidRPr="00F76433">
        <w:rPr>
          <w:bCs/>
        </w:rPr>
        <w:t xml:space="preserve"> located very close to the pseudo-autosomal region and thus present on the X, Y* and Y*</w:t>
      </w:r>
      <w:r w:rsidRPr="00F76433">
        <w:rPr>
          <w:bCs/>
          <w:vertAlign w:val="superscript"/>
        </w:rPr>
        <w:t>X</w:t>
      </w:r>
      <w:r w:rsidRPr="00F76433">
        <w:rPr>
          <w:bCs/>
        </w:rPr>
        <w:t xml:space="preserve"> chromosomes. An autosomal gene </w:t>
      </w:r>
      <w:r w:rsidRPr="00F76433">
        <w:rPr>
          <w:bCs/>
          <w:i/>
        </w:rPr>
        <w:t>Myogenin</w:t>
      </w:r>
      <w:r w:rsidRPr="00F76433">
        <w:rPr>
          <w:bCs/>
        </w:rPr>
        <w:t xml:space="preserve"> (</w:t>
      </w:r>
      <w:r w:rsidRPr="00F76433">
        <w:rPr>
          <w:bCs/>
          <w:i/>
        </w:rPr>
        <w:t>Myog</w:t>
      </w:r>
      <w:r w:rsidRPr="00F76433">
        <w:rPr>
          <w:bCs/>
        </w:rPr>
        <w:t xml:space="preserve">, chromosome 1) is used for normalization of each </w:t>
      </w:r>
      <w:r w:rsidRPr="00F76433">
        <w:rPr>
          <w:bCs/>
          <w:i/>
        </w:rPr>
        <w:t>Prdxa</w:t>
      </w:r>
      <w:r w:rsidRPr="00F76433">
        <w:rPr>
          <w:bCs/>
        </w:rPr>
        <w:t xml:space="preserve"> and </w:t>
      </w:r>
      <w:r w:rsidRPr="00F76433">
        <w:rPr>
          <w:bCs/>
          <w:i/>
        </w:rPr>
        <w:t>Amelx</w:t>
      </w:r>
      <w:r w:rsidRPr="00F76433">
        <w:rPr>
          <w:bCs/>
        </w:rPr>
        <w:t xml:space="preserve"> PCR. The primers used are listed below.</w:t>
      </w:r>
    </w:p>
    <w:p w:rsidR="00F76433" w:rsidRPr="00F76433" w:rsidRDefault="00F76433" w:rsidP="00F76433">
      <w:pPr>
        <w:spacing w:line="360" w:lineRule="auto"/>
        <w:jc w:val="both"/>
        <w:rPr>
          <w:bCs/>
        </w:rPr>
      </w:pPr>
    </w:p>
    <w:p w:rsidR="00D20140" w:rsidRDefault="00D20140">
      <w:pPr>
        <w:rPr>
          <w:b/>
          <w:bCs/>
          <w:lang w:val="en-GB"/>
        </w:rPr>
      </w:pPr>
      <w:r>
        <w:rPr>
          <w:b/>
          <w:bCs/>
          <w:lang w:val="en-GB"/>
        </w:rPr>
        <w:br w:type="page"/>
      </w:r>
    </w:p>
    <w:p w:rsidR="00D20140" w:rsidRDefault="00D20140" w:rsidP="00A80052">
      <w:pPr>
        <w:keepNext/>
        <w:spacing w:line="360" w:lineRule="auto"/>
        <w:jc w:val="both"/>
      </w:pPr>
      <w:r>
        <w:rPr>
          <w:b/>
          <w:bCs/>
          <w:noProof/>
        </w:rPr>
        <w:lastRenderedPageBreak/>
        <w:drawing>
          <wp:inline distT="0" distB="0" distL="0" distR="0" wp14:anchorId="257CA322" wp14:editId="398B2898">
            <wp:extent cx="5193792" cy="2587752"/>
            <wp:effectExtent l="0" t="0" r="698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 appendix 2 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93792" cy="2587752"/>
                    </a:xfrm>
                    <a:prstGeom prst="rect">
                      <a:avLst/>
                    </a:prstGeom>
                  </pic:spPr>
                </pic:pic>
              </a:graphicData>
            </a:graphic>
          </wp:inline>
        </w:drawing>
      </w:r>
    </w:p>
    <w:p w:rsidR="00D20140" w:rsidRPr="00615FF3" w:rsidRDefault="00D20140" w:rsidP="00615FF3">
      <w:pPr>
        <w:pStyle w:val="Caption"/>
        <w:jc w:val="both"/>
        <w:rPr>
          <w:b w:val="0"/>
          <w:sz w:val="22"/>
          <w:szCs w:val="22"/>
        </w:rPr>
      </w:pPr>
      <w:r w:rsidRPr="00615FF3">
        <w:rPr>
          <w:b w:val="0"/>
          <w:sz w:val="22"/>
          <w:szCs w:val="22"/>
        </w:rPr>
        <w:t>Additional Figure 2</w:t>
      </w:r>
      <w:r w:rsidR="000B1A63" w:rsidRPr="00615FF3">
        <w:rPr>
          <w:b w:val="0"/>
          <w:sz w:val="22"/>
          <w:szCs w:val="22"/>
        </w:rPr>
        <w:t xml:space="preserve">. Illustration of quantitative genomic PCR to distinguish between NPX dosage and dosage of the minute + segment of NPX (see Figure 3 and Table 3).  A. The chromosomal diagrams show the location of the NPX gene </w:t>
      </w:r>
      <w:r w:rsidR="000B1A63" w:rsidRPr="00615FF3">
        <w:rPr>
          <w:b w:val="0"/>
          <w:i/>
          <w:sz w:val="22"/>
          <w:szCs w:val="22"/>
        </w:rPr>
        <w:t>Pdrx4</w:t>
      </w:r>
      <w:r w:rsidR="000B1A63" w:rsidRPr="00615FF3">
        <w:rPr>
          <w:b w:val="0"/>
          <w:sz w:val="22"/>
          <w:szCs w:val="22"/>
        </w:rPr>
        <w:t xml:space="preserve"> and NPX+ segment gene </w:t>
      </w:r>
      <w:r w:rsidR="000B1A63" w:rsidRPr="00615FF3">
        <w:rPr>
          <w:b w:val="0"/>
          <w:i/>
          <w:sz w:val="22"/>
          <w:szCs w:val="22"/>
        </w:rPr>
        <w:t>Amelx</w:t>
      </w:r>
      <w:r w:rsidR="000B1A63" w:rsidRPr="00615FF3">
        <w:rPr>
          <w:b w:val="0"/>
          <w:sz w:val="22"/>
          <w:szCs w:val="22"/>
        </w:rPr>
        <w:t>.  B</w:t>
      </w:r>
      <w:r w:rsidR="000B1A63">
        <w:rPr>
          <w:b w:val="0"/>
          <w:sz w:val="22"/>
          <w:szCs w:val="22"/>
        </w:rPr>
        <w:t>.</w:t>
      </w:r>
      <w:r w:rsidR="000B1A63" w:rsidRPr="00615FF3">
        <w:rPr>
          <w:b w:val="0"/>
          <w:sz w:val="22"/>
          <w:szCs w:val="22"/>
        </w:rPr>
        <w:t xml:space="preserve"> An example of an experimental outcome showing expression levels of the two genes in progeny of XY* fathers. An autosomal gene </w:t>
      </w:r>
      <w:r w:rsidR="000B1A63" w:rsidRPr="00615FF3">
        <w:rPr>
          <w:b w:val="0"/>
          <w:i/>
          <w:sz w:val="22"/>
          <w:szCs w:val="22"/>
        </w:rPr>
        <w:t>Myogenin</w:t>
      </w:r>
      <w:r w:rsidR="000B1A63" w:rsidRPr="00615FF3">
        <w:rPr>
          <w:b w:val="0"/>
          <w:sz w:val="22"/>
          <w:szCs w:val="22"/>
        </w:rPr>
        <w:t xml:space="preserve"> (</w:t>
      </w:r>
      <w:r w:rsidR="000B1A63" w:rsidRPr="00615FF3">
        <w:rPr>
          <w:b w:val="0"/>
          <w:i/>
          <w:sz w:val="22"/>
          <w:szCs w:val="22"/>
        </w:rPr>
        <w:t>Myog</w:t>
      </w:r>
      <w:r w:rsidR="000B1A63" w:rsidRPr="00615FF3">
        <w:rPr>
          <w:b w:val="0"/>
          <w:sz w:val="22"/>
          <w:szCs w:val="22"/>
        </w:rPr>
        <w:t xml:space="preserve">, chromosome 1) is used for normalization of each </w:t>
      </w:r>
      <w:r w:rsidR="000B1A63" w:rsidRPr="00615FF3">
        <w:rPr>
          <w:b w:val="0"/>
          <w:i/>
          <w:sz w:val="22"/>
          <w:szCs w:val="22"/>
        </w:rPr>
        <w:t>Prdxa</w:t>
      </w:r>
      <w:r w:rsidR="000B1A63" w:rsidRPr="00615FF3">
        <w:rPr>
          <w:b w:val="0"/>
          <w:sz w:val="22"/>
          <w:szCs w:val="22"/>
        </w:rPr>
        <w:t xml:space="preserve"> and </w:t>
      </w:r>
      <w:r w:rsidR="000B1A63" w:rsidRPr="00615FF3">
        <w:rPr>
          <w:b w:val="0"/>
          <w:i/>
          <w:sz w:val="22"/>
          <w:szCs w:val="22"/>
        </w:rPr>
        <w:t>Amelx</w:t>
      </w:r>
      <w:r w:rsidR="000B1A63" w:rsidRPr="00615FF3">
        <w:rPr>
          <w:b w:val="0"/>
          <w:sz w:val="22"/>
          <w:szCs w:val="22"/>
        </w:rPr>
        <w:t xml:space="preserve"> PCR (not shown).</w:t>
      </w:r>
    </w:p>
    <w:p w:rsidR="00F76433" w:rsidRPr="00F76433" w:rsidRDefault="00F76433" w:rsidP="00F76433">
      <w:pPr>
        <w:spacing w:line="360" w:lineRule="auto"/>
        <w:jc w:val="both"/>
        <w:rPr>
          <w:bCs/>
          <w:lang w:val="en-GB"/>
        </w:rPr>
      </w:pPr>
      <w:r w:rsidRPr="00F76433">
        <w:rPr>
          <w:b/>
          <w:bCs/>
          <w:lang w:val="en-GB"/>
        </w:rPr>
        <w:t xml:space="preserve">List of primers </w:t>
      </w:r>
    </w:p>
    <w:tbl>
      <w:tblPr>
        <w:tblW w:w="9998" w:type="dxa"/>
        <w:tblBorders>
          <w:bottom w:val="single" w:sz="4" w:space="0" w:color="auto"/>
        </w:tblBorders>
        <w:tblLayout w:type="fixed"/>
        <w:tblLook w:val="01E0" w:firstRow="1" w:lastRow="1" w:firstColumn="1" w:lastColumn="1" w:noHBand="0" w:noVBand="0"/>
      </w:tblPr>
      <w:tblGrid>
        <w:gridCol w:w="1101"/>
        <w:gridCol w:w="1984"/>
        <w:gridCol w:w="4678"/>
        <w:gridCol w:w="1559"/>
        <w:gridCol w:w="676"/>
      </w:tblGrid>
      <w:tr w:rsidR="00F76433" w:rsidRPr="00F76433" w:rsidTr="00002050">
        <w:trPr>
          <w:gridAfter w:val="1"/>
          <w:wAfter w:w="676" w:type="dxa"/>
        </w:trPr>
        <w:tc>
          <w:tcPr>
            <w:tcW w:w="1101"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Gene</w:t>
            </w:r>
          </w:p>
        </w:tc>
        <w:tc>
          <w:tcPr>
            <w:tcW w:w="1984"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Primer ID</w:t>
            </w:r>
          </w:p>
        </w:tc>
        <w:tc>
          <w:tcPr>
            <w:tcW w:w="4678"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Primer sequence</w:t>
            </w:r>
          </w:p>
        </w:tc>
        <w:tc>
          <w:tcPr>
            <w:tcW w:w="1559" w:type="dxa"/>
            <w:tcBorders>
              <w:top w:val="single" w:sz="4" w:space="0" w:color="auto"/>
              <w:bottom w:val="single" w:sz="4" w:space="0" w:color="auto"/>
            </w:tcBorders>
            <w:shd w:val="clear" w:color="auto" w:fill="auto"/>
            <w:vAlign w:val="center"/>
          </w:tcPr>
          <w:p w:rsidR="00F76433" w:rsidRPr="00F76433" w:rsidRDefault="00F76433" w:rsidP="00002050">
            <w:pPr>
              <w:spacing w:line="360" w:lineRule="auto"/>
              <w:jc w:val="both"/>
              <w:rPr>
                <w:bCs/>
                <w:lang w:val="en-GB"/>
              </w:rPr>
            </w:pPr>
            <w:r w:rsidRPr="00F76433">
              <w:rPr>
                <w:bCs/>
                <w:lang w:val="en-GB"/>
              </w:rPr>
              <w:t>Amplicon</w:t>
            </w:r>
          </w:p>
          <w:p w:rsidR="00F76433" w:rsidRPr="00F76433" w:rsidRDefault="00F76433" w:rsidP="00002050">
            <w:pPr>
              <w:spacing w:line="360" w:lineRule="auto"/>
              <w:jc w:val="both"/>
              <w:rPr>
                <w:bCs/>
                <w:lang w:val="en-GB"/>
              </w:rPr>
            </w:pPr>
            <w:r w:rsidRPr="00F76433">
              <w:rPr>
                <w:bCs/>
                <w:lang w:val="en-GB"/>
              </w:rPr>
              <w:t xml:space="preserve">     size</w:t>
            </w:r>
          </w:p>
        </w:tc>
      </w:tr>
      <w:tr w:rsidR="00F76433" w:rsidRPr="00F76433" w:rsidTr="00002050">
        <w:tblPrEx>
          <w:tblBorders>
            <w:top w:val="single" w:sz="4" w:space="0" w:color="auto"/>
            <w:left w:val="single" w:sz="4" w:space="0" w:color="auto"/>
            <w:right w:val="single" w:sz="4" w:space="0" w:color="auto"/>
            <w:insideH w:val="single" w:sz="4" w:space="0" w:color="auto"/>
            <w:insideV w:val="single" w:sz="4" w:space="0" w:color="auto"/>
          </w:tblBorders>
        </w:tblPrEx>
        <w:tc>
          <w:tcPr>
            <w:tcW w:w="9998" w:type="dxa"/>
            <w:gridSpan w:val="5"/>
            <w:tcBorders>
              <w:top w:val="nil"/>
              <w:left w:val="nil"/>
              <w:bottom w:val="nil"/>
              <w:right w:val="nil"/>
            </w:tcBorders>
            <w:shd w:val="clear" w:color="auto" w:fill="auto"/>
          </w:tcPr>
          <w:p w:rsidR="00F76433" w:rsidRPr="00F76433" w:rsidRDefault="00F76433" w:rsidP="00002050">
            <w:pPr>
              <w:spacing w:line="360" w:lineRule="auto"/>
              <w:jc w:val="both"/>
              <w:rPr>
                <w:b/>
                <w:bCs/>
                <w:lang w:val="en-GB"/>
              </w:rPr>
            </w:pPr>
          </w:p>
        </w:tc>
      </w:tr>
      <w:tr w:rsidR="00F76433" w:rsidRPr="00F76433" w:rsidTr="00002050">
        <w:trPr>
          <w:gridAfter w:val="1"/>
          <w:wAfter w:w="676" w:type="dxa"/>
        </w:trPr>
        <w:tc>
          <w:tcPr>
            <w:tcW w:w="1101" w:type="dxa"/>
            <w:vMerge w:val="restart"/>
            <w:tcBorders>
              <w:bottom w:val="nil"/>
            </w:tcBorders>
            <w:shd w:val="clear" w:color="auto" w:fill="auto"/>
          </w:tcPr>
          <w:p w:rsidR="00F76433" w:rsidRPr="00F76433" w:rsidRDefault="00F76433" w:rsidP="00002050">
            <w:pPr>
              <w:spacing w:line="360" w:lineRule="auto"/>
              <w:jc w:val="both"/>
              <w:rPr>
                <w:bCs/>
                <w:i/>
                <w:lang w:val="en-GB"/>
              </w:rPr>
            </w:pPr>
            <w:r w:rsidRPr="00F76433">
              <w:rPr>
                <w:bCs/>
                <w:i/>
                <w:lang w:val="en-GB"/>
              </w:rPr>
              <w:t>Prdx4</w:t>
            </w: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Prdx4</w:t>
            </w:r>
            <w:r w:rsidRPr="00F76433">
              <w:rPr>
                <w:bCs/>
                <w:lang w:val="en-GB"/>
              </w:rPr>
              <w:noBreakHyphen/>
              <w:t>F</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CATGATATCCACTGAAAGCTAC</w:t>
            </w:r>
          </w:p>
        </w:tc>
        <w:tc>
          <w:tcPr>
            <w:tcW w:w="1559" w:type="dxa"/>
            <w:vMerge w:val="restart"/>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82bp</w:t>
            </w:r>
          </w:p>
        </w:tc>
      </w:tr>
      <w:tr w:rsidR="00F76433" w:rsidRPr="00F76433" w:rsidTr="00002050">
        <w:trPr>
          <w:gridAfter w:val="1"/>
          <w:wAfter w:w="676" w:type="dxa"/>
        </w:trPr>
        <w:tc>
          <w:tcPr>
            <w:tcW w:w="1101" w:type="dxa"/>
            <w:vMerge/>
            <w:tcBorders>
              <w:bottom w:val="nil"/>
            </w:tcBorders>
            <w:shd w:val="clear" w:color="auto" w:fill="auto"/>
          </w:tcPr>
          <w:p w:rsidR="00F76433" w:rsidRPr="00F76433" w:rsidRDefault="00F76433" w:rsidP="00002050">
            <w:pPr>
              <w:spacing w:line="360" w:lineRule="auto"/>
              <w:jc w:val="both"/>
              <w:rPr>
                <w:bCs/>
                <w:lang w:val="en-GB"/>
              </w:rPr>
            </w:pP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Prdx4</w:t>
            </w:r>
            <w:r w:rsidRPr="00F76433">
              <w:rPr>
                <w:bCs/>
                <w:lang w:val="en-GB"/>
              </w:rPr>
              <w:noBreakHyphen/>
              <w:t>R</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GAGACAGTGTATCTATCCCTG</w:t>
            </w:r>
          </w:p>
        </w:tc>
        <w:tc>
          <w:tcPr>
            <w:tcW w:w="1559" w:type="dxa"/>
            <w:vMerge/>
            <w:tcBorders>
              <w:bottom w:val="nil"/>
            </w:tcBorders>
            <w:shd w:val="clear" w:color="auto" w:fill="auto"/>
          </w:tcPr>
          <w:p w:rsidR="00F76433" w:rsidRPr="00F76433" w:rsidRDefault="00F76433" w:rsidP="00002050">
            <w:pPr>
              <w:spacing w:line="360" w:lineRule="auto"/>
              <w:jc w:val="both"/>
              <w:rPr>
                <w:bCs/>
                <w:lang w:val="en-GB"/>
              </w:rPr>
            </w:pPr>
          </w:p>
        </w:tc>
      </w:tr>
      <w:tr w:rsidR="00F76433" w:rsidRPr="00F76433" w:rsidTr="00002050">
        <w:trPr>
          <w:gridAfter w:val="1"/>
          <w:wAfter w:w="676" w:type="dxa"/>
        </w:trPr>
        <w:tc>
          <w:tcPr>
            <w:tcW w:w="1101" w:type="dxa"/>
            <w:vMerge w:val="restart"/>
            <w:tcBorders>
              <w:bottom w:val="nil"/>
            </w:tcBorders>
            <w:shd w:val="clear" w:color="auto" w:fill="auto"/>
          </w:tcPr>
          <w:p w:rsidR="00F76433" w:rsidRPr="00F76433" w:rsidRDefault="00F76433" w:rsidP="00002050">
            <w:pPr>
              <w:spacing w:line="360" w:lineRule="auto"/>
              <w:jc w:val="both"/>
              <w:rPr>
                <w:bCs/>
                <w:i/>
                <w:lang w:val="en-GB"/>
              </w:rPr>
            </w:pPr>
            <w:r w:rsidRPr="00F76433">
              <w:rPr>
                <w:bCs/>
                <w:i/>
                <w:lang w:val="en-GB"/>
              </w:rPr>
              <w:t>Amelx</w:t>
            </w: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Amelx</w:t>
            </w:r>
            <w:r w:rsidRPr="00F76433">
              <w:rPr>
                <w:bCs/>
                <w:lang w:val="en-GB"/>
              </w:rPr>
              <w:noBreakHyphen/>
              <w:t>F</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GTTGGGTTGGAGTCATGGAG</w:t>
            </w:r>
          </w:p>
        </w:tc>
        <w:tc>
          <w:tcPr>
            <w:tcW w:w="1559" w:type="dxa"/>
            <w:vMerge w:val="restart"/>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162bp</w:t>
            </w:r>
          </w:p>
        </w:tc>
      </w:tr>
      <w:tr w:rsidR="00F76433" w:rsidRPr="00F76433" w:rsidTr="00002050">
        <w:trPr>
          <w:gridAfter w:val="1"/>
          <w:wAfter w:w="676" w:type="dxa"/>
        </w:trPr>
        <w:tc>
          <w:tcPr>
            <w:tcW w:w="1101" w:type="dxa"/>
            <w:vMerge/>
            <w:tcBorders>
              <w:bottom w:val="nil"/>
            </w:tcBorders>
            <w:shd w:val="clear" w:color="auto" w:fill="auto"/>
          </w:tcPr>
          <w:p w:rsidR="00F76433" w:rsidRPr="00F76433" w:rsidRDefault="00F76433" w:rsidP="00002050">
            <w:pPr>
              <w:spacing w:line="360" w:lineRule="auto"/>
              <w:jc w:val="both"/>
              <w:rPr>
                <w:bCs/>
                <w:lang w:val="en-GB"/>
              </w:rPr>
            </w:pPr>
          </w:p>
        </w:tc>
        <w:tc>
          <w:tcPr>
            <w:tcW w:w="1984" w:type="dxa"/>
            <w:tcBorders>
              <w:bottom w:val="nil"/>
            </w:tcBorders>
            <w:shd w:val="clear" w:color="auto" w:fill="auto"/>
          </w:tcPr>
          <w:p w:rsidR="00F76433" w:rsidRPr="00F76433" w:rsidRDefault="00F76433" w:rsidP="00002050">
            <w:pPr>
              <w:spacing w:line="360" w:lineRule="auto"/>
              <w:jc w:val="both"/>
              <w:rPr>
                <w:bCs/>
                <w:lang w:val="en-GB"/>
              </w:rPr>
            </w:pPr>
            <w:r w:rsidRPr="00F76433">
              <w:rPr>
                <w:bCs/>
                <w:i/>
                <w:lang w:val="en-GB"/>
              </w:rPr>
              <w:t>Amelx</w:t>
            </w:r>
            <w:r w:rsidRPr="00F76433">
              <w:rPr>
                <w:bCs/>
                <w:lang w:val="en-GB"/>
              </w:rPr>
              <w:noBreakHyphen/>
              <w:t>R</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GGCTGCACCACCAAATCATC</w:t>
            </w:r>
          </w:p>
        </w:tc>
        <w:tc>
          <w:tcPr>
            <w:tcW w:w="1559" w:type="dxa"/>
            <w:vMerge/>
            <w:tcBorders>
              <w:bottom w:val="nil"/>
            </w:tcBorders>
            <w:shd w:val="clear" w:color="auto" w:fill="auto"/>
          </w:tcPr>
          <w:p w:rsidR="00F76433" w:rsidRPr="00F76433" w:rsidRDefault="00F76433" w:rsidP="00002050">
            <w:pPr>
              <w:spacing w:line="360" w:lineRule="auto"/>
              <w:jc w:val="both"/>
              <w:rPr>
                <w:bCs/>
                <w:lang w:val="en-GB"/>
              </w:rPr>
            </w:pPr>
          </w:p>
        </w:tc>
      </w:tr>
      <w:tr w:rsidR="00F76433" w:rsidRPr="00F76433" w:rsidTr="00002050">
        <w:trPr>
          <w:gridAfter w:val="1"/>
          <w:wAfter w:w="676" w:type="dxa"/>
        </w:trPr>
        <w:tc>
          <w:tcPr>
            <w:tcW w:w="1101" w:type="dxa"/>
            <w:vMerge w:val="restart"/>
            <w:tcBorders>
              <w:bottom w:val="nil"/>
            </w:tcBorders>
            <w:shd w:val="clear" w:color="auto" w:fill="auto"/>
          </w:tcPr>
          <w:p w:rsidR="00F76433" w:rsidRPr="00F76433" w:rsidRDefault="00F76433" w:rsidP="00002050">
            <w:pPr>
              <w:spacing w:line="360" w:lineRule="auto"/>
              <w:jc w:val="both"/>
              <w:rPr>
                <w:bCs/>
                <w:i/>
                <w:vertAlign w:val="superscript"/>
                <w:lang w:val="en-GB"/>
              </w:rPr>
            </w:pPr>
            <w:r w:rsidRPr="00F76433">
              <w:rPr>
                <w:bCs/>
                <w:i/>
                <w:iCs/>
                <w:lang w:val="en-GB"/>
              </w:rPr>
              <w:t>Myog</w:t>
            </w:r>
            <w:r w:rsidRPr="00F76433">
              <w:rPr>
                <w:bCs/>
                <w:i/>
                <w:iCs/>
                <w:vertAlign w:val="superscript"/>
                <w:lang w:val="en-GB"/>
              </w:rPr>
              <w:t>1</w:t>
            </w:r>
          </w:p>
        </w:tc>
        <w:tc>
          <w:tcPr>
            <w:tcW w:w="1984" w:type="dxa"/>
            <w:tcBorders>
              <w:bottom w:val="nil"/>
            </w:tcBorders>
            <w:shd w:val="clear" w:color="auto" w:fill="auto"/>
          </w:tcPr>
          <w:p w:rsidR="00F76433" w:rsidRPr="00F76433" w:rsidRDefault="00F76433" w:rsidP="00002050">
            <w:pPr>
              <w:spacing w:line="360" w:lineRule="auto"/>
              <w:jc w:val="both"/>
              <w:rPr>
                <w:bCs/>
                <w:vertAlign w:val="superscript"/>
                <w:lang w:val="en-GB"/>
              </w:rPr>
            </w:pPr>
            <w:r w:rsidRPr="00F76433">
              <w:rPr>
                <w:bCs/>
                <w:i/>
                <w:lang w:val="en-GB"/>
              </w:rPr>
              <w:t>Om1a</w:t>
            </w:r>
            <w:r w:rsidRPr="00F76433">
              <w:rPr>
                <w:bCs/>
                <w:vertAlign w:val="superscript"/>
                <w:lang w:val="en-GB"/>
              </w:rPr>
              <w:t>2</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TTACGTCCATCGTGGACAGCAT</w:t>
            </w:r>
          </w:p>
        </w:tc>
        <w:tc>
          <w:tcPr>
            <w:tcW w:w="1559" w:type="dxa"/>
            <w:vMerge w:val="restart"/>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246bp</w:t>
            </w:r>
          </w:p>
        </w:tc>
      </w:tr>
      <w:tr w:rsidR="00F76433" w:rsidRPr="00F76433" w:rsidTr="00002050">
        <w:trPr>
          <w:gridAfter w:val="1"/>
          <w:wAfter w:w="676" w:type="dxa"/>
        </w:trPr>
        <w:tc>
          <w:tcPr>
            <w:tcW w:w="1101" w:type="dxa"/>
            <w:vMerge/>
            <w:tcBorders>
              <w:bottom w:val="nil"/>
            </w:tcBorders>
            <w:shd w:val="clear" w:color="auto" w:fill="auto"/>
          </w:tcPr>
          <w:p w:rsidR="00F76433" w:rsidRPr="00F76433" w:rsidRDefault="00F76433" w:rsidP="00002050">
            <w:pPr>
              <w:spacing w:line="360" w:lineRule="auto"/>
              <w:jc w:val="both"/>
              <w:rPr>
                <w:bCs/>
                <w:lang w:val="en-GB"/>
              </w:rPr>
            </w:pPr>
          </w:p>
        </w:tc>
        <w:tc>
          <w:tcPr>
            <w:tcW w:w="1984" w:type="dxa"/>
            <w:tcBorders>
              <w:bottom w:val="nil"/>
            </w:tcBorders>
            <w:shd w:val="clear" w:color="auto" w:fill="auto"/>
          </w:tcPr>
          <w:p w:rsidR="00F76433" w:rsidRPr="00F76433" w:rsidRDefault="00F76433" w:rsidP="00002050">
            <w:pPr>
              <w:spacing w:line="360" w:lineRule="auto"/>
              <w:jc w:val="both"/>
              <w:rPr>
                <w:bCs/>
                <w:vertAlign w:val="superscript"/>
                <w:lang w:val="en-GB"/>
              </w:rPr>
            </w:pPr>
            <w:r w:rsidRPr="00F76433">
              <w:rPr>
                <w:bCs/>
                <w:i/>
                <w:lang w:val="en-GB"/>
              </w:rPr>
              <w:t>Om1b</w:t>
            </w:r>
            <w:r w:rsidRPr="00F76433">
              <w:rPr>
                <w:bCs/>
                <w:vertAlign w:val="superscript"/>
                <w:lang w:val="en-GB"/>
              </w:rPr>
              <w:t>2</w:t>
            </w:r>
          </w:p>
        </w:tc>
        <w:tc>
          <w:tcPr>
            <w:tcW w:w="4678" w:type="dxa"/>
            <w:tcBorders>
              <w:bottom w:val="nil"/>
            </w:tcBorders>
            <w:shd w:val="clear" w:color="auto" w:fill="auto"/>
          </w:tcPr>
          <w:p w:rsidR="00F76433" w:rsidRPr="00F76433" w:rsidRDefault="00F76433" w:rsidP="00002050">
            <w:pPr>
              <w:spacing w:line="360" w:lineRule="auto"/>
              <w:jc w:val="both"/>
              <w:rPr>
                <w:bCs/>
                <w:lang w:val="en-GB"/>
              </w:rPr>
            </w:pPr>
            <w:r w:rsidRPr="00F76433">
              <w:rPr>
                <w:bCs/>
                <w:lang w:val="en-GB"/>
              </w:rPr>
              <w:t>TGGGCTGGGTGTTAGTCTTAT</w:t>
            </w:r>
          </w:p>
        </w:tc>
        <w:tc>
          <w:tcPr>
            <w:tcW w:w="1559" w:type="dxa"/>
            <w:vMerge/>
            <w:tcBorders>
              <w:bottom w:val="nil"/>
            </w:tcBorders>
            <w:shd w:val="clear" w:color="auto" w:fill="auto"/>
          </w:tcPr>
          <w:p w:rsidR="00F76433" w:rsidRPr="00F76433" w:rsidRDefault="00F76433" w:rsidP="00002050">
            <w:pPr>
              <w:spacing w:line="360" w:lineRule="auto"/>
              <w:jc w:val="both"/>
              <w:rPr>
                <w:bCs/>
                <w:lang w:val="en-GB"/>
              </w:rPr>
            </w:pPr>
          </w:p>
        </w:tc>
      </w:tr>
      <w:tr w:rsidR="00F76433" w:rsidRPr="00F76433" w:rsidTr="00002050">
        <w:trPr>
          <w:gridAfter w:val="1"/>
          <w:wAfter w:w="676" w:type="dxa"/>
          <w:trHeight w:val="80"/>
        </w:trPr>
        <w:tc>
          <w:tcPr>
            <w:tcW w:w="1101" w:type="dxa"/>
            <w:vMerge/>
            <w:tcBorders>
              <w:bottom w:val="single" w:sz="4" w:space="0" w:color="auto"/>
            </w:tcBorders>
            <w:shd w:val="clear" w:color="auto" w:fill="auto"/>
          </w:tcPr>
          <w:p w:rsidR="00F76433" w:rsidRPr="00F76433" w:rsidRDefault="00F76433" w:rsidP="00002050">
            <w:pPr>
              <w:spacing w:line="360" w:lineRule="auto"/>
              <w:jc w:val="both"/>
              <w:rPr>
                <w:bCs/>
                <w:lang w:val="en-GB"/>
              </w:rPr>
            </w:pPr>
          </w:p>
        </w:tc>
        <w:tc>
          <w:tcPr>
            <w:tcW w:w="1984" w:type="dxa"/>
            <w:tcBorders>
              <w:bottom w:val="single" w:sz="4" w:space="0" w:color="auto"/>
            </w:tcBorders>
            <w:shd w:val="clear" w:color="auto" w:fill="auto"/>
          </w:tcPr>
          <w:p w:rsidR="00F76433" w:rsidRPr="00F76433" w:rsidRDefault="00F76433" w:rsidP="00002050">
            <w:pPr>
              <w:spacing w:line="360" w:lineRule="auto"/>
              <w:jc w:val="both"/>
              <w:rPr>
                <w:bCs/>
                <w:lang w:val="en-GB"/>
              </w:rPr>
            </w:pPr>
          </w:p>
        </w:tc>
        <w:tc>
          <w:tcPr>
            <w:tcW w:w="4678" w:type="dxa"/>
            <w:tcBorders>
              <w:bottom w:val="single" w:sz="4" w:space="0" w:color="auto"/>
            </w:tcBorders>
            <w:shd w:val="clear" w:color="auto" w:fill="auto"/>
          </w:tcPr>
          <w:p w:rsidR="00F76433" w:rsidRPr="00F76433" w:rsidRDefault="00F76433" w:rsidP="00002050">
            <w:pPr>
              <w:spacing w:line="360" w:lineRule="auto"/>
              <w:jc w:val="both"/>
              <w:rPr>
                <w:bCs/>
                <w:lang w:val="en-GB"/>
              </w:rPr>
            </w:pPr>
          </w:p>
        </w:tc>
        <w:tc>
          <w:tcPr>
            <w:tcW w:w="1559" w:type="dxa"/>
            <w:vMerge/>
            <w:tcBorders>
              <w:bottom w:val="single" w:sz="4" w:space="0" w:color="auto"/>
            </w:tcBorders>
            <w:shd w:val="clear" w:color="auto" w:fill="auto"/>
          </w:tcPr>
          <w:p w:rsidR="00F76433" w:rsidRPr="00F76433" w:rsidRDefault="00F76433" w:rsidP="00002050">
            <w:pPr>
              <w:spacing w:line="360" w:lineRule="auto"/>
              <w:jc w:val="both"/>
              <w:rPr>
                <w:bCs/>
                <w:lang w:val="en-GB"/>
              </w:rPr>
            </w:pPr>
          </w:p>
        </w:tc>
      </w:tr>
    </w:tbl>
    <w:p w:rsidR="00F76433" w:rsidRPr="00F76433" w:rsidRDefault="00F76433" w:rsidP="00F76433">
      <w:pPr>
        <w:spacing w:line="360" w:lineRule="auto"/>
        <w:jc w:val="both"/>
        <w:rPr>
          <w:bCs/>
        </w:rPr>
      </w:pPr>
      <w:r w:rsidRPr="00F76433">
        <w:rPr>
          <w:bCs/>
          <w:vertAlign w:val="superscript"/>
        </w:rPr>
        <w:t>1</w:t>
      </w:r>
      <w:r w:rsidRPr="00F76433">
        <w:rPr>
          <w:bCs/>
          <w:i/>
        </w:rPr>
        <w:t>Atr</w:t>
      </w:r>
      <w:r w:rsidRPr="00F76433">
        <w:rPr>
          <w:bCs/>
        </w:rPr>
        <w:t xml:space="preserve"> is an alternative that is claimed to be superior for normalization (see </w:t>
      </w:r>
      <w:r w:rsidR="008F1843" w:rsidRPr="00F76433">
        <w:rPr>
          <w:bCs/>
        </w:rPr>
        <w:fldChar w:fldCharType="begin"/>
      </w:r>
      <w:r w:rsidRPr="00F76433">
        <w:rPr>
          <w:bCs/>
        </w:rPr>
        <w:instrText xml:space="preserve"> ADDIN EN.CITE &lt;EndNote&gt;&lt;Cite&gt;&lt;Author&gt;Yamauchi&lt;/Author&gt;&lt;Year&gt;2015&lt;/Year&gt;&lt;RecNum&gt;3996&lt;/RecNum&gt;&lt;DisplayText&gt;[74]&lt;/DisplayText&gt;&lt;record&gt;&lt;rec-number&gt;3996&lt;/rec-number&gt;&lt;foreign-keys&gt;&lt;key app="EN" db-id="vxperf2d2s59vtezexlxpxwqrpxxz020tvpp" timestamp="1477309311"&gt;3996&lt;/key&gt;&lt;/foreign-keys&gt;&lt;ref-type name="Journal Article"&gt;17&lt;/ref-type&gt;&lt;contributors&gt;&lt;authors&gt;&lt;author&gt;Yamauchi, Y.&lt;/author&gt;&lt;author&gt;Riel, J. M.&lt;/author&gt;&lt;author&gt;Ruthig, V.&lt;/author&gt;&lt;author&gt;Ward, M. A.&lt;/author&gt;&lt;/authors&gt;&lt;/contributors&gt;&lt;auth-address&gt;Institute for Biogenesis Research, John A. Burns School of Medicine, University of Hawaii, Honolulu, Hawaii, United States of America.&lt;/auth-address&gt;&lt;titles&gt;&lt;title&gt;Mouse Y-Encoded Transcription Factor Zfy2 Is Essential for Sperm Formation and Function in Assisted Fertilization&lt;/title&gt;&lt;secondary-title&gt;PLoS Genet&lt;/secondary-title&gt;&lt;/titles&gt;&lt;periodical&gt;&lt;full-title&gt;PLoS Genet&lt;/full-title&gt;&lt;/periodical&gt;&lt;pages&gt;e1005476&lt;/pages&gt;&lt;volume&gt;11&lt;/volume&gt;&lt;number&gt;12&lt;/number&gt;&lt;keywords&gt;&lt;keyword&gt;Animals&lt;/keyword&gt;&lt;keyword&gt;DNA-Binding Proteins/genetics/*metabolism&lt;/keyword&gt;&lt;keyword&gt;Female&lt;/keyword&gt;&lt;keyword&gt;Gene Expression Regulation&lt;/keyword&gt;&lt;keyword&gt;Genes, Y-Linked&lt;/keyword&gt;&lt;keyword&gt;Male&lt;/keyword&gt;&lt;keyword&gt;Mice, Inbred C57BL&lt;/keyword&gt;&lt;keyword&gt;Mice, Transgenic&lt;/keyword&gt;&lt;keyword&gt;Sex-Determining Region Y Protein/genetics&lt;/keyword&gt;&lt;keyword&gt;*Sperm Injections, Intracytoplasmic&lt;/keyword&gt;&lt;keyword&gt;Spermatids/physiology&lt;/keyword&gt;&lt;keyword&gt;Spermatogenesis/*genetics&lt;/keyword&gt;&lt;keyword&gt;Spermatozoa/cytology/*physiology&lt;/keyword&gt;&lt;keyword&gt;Transcription Factors/genetics/*metabolism&lt;/keyword&gt;&lt;/keywords&gt;&lt;dates&gt;&lt;year&gt;2015&lt;/year&gt;&lt;pub-dates&gt;&lt;date&gt;Dec&lt;/date&gt;&lt;/pub-dates&gt;&lt;/dates&gt;&lt;isbn&gt;1553-7404 (Electronic)&amp;#xD;1553-7390 (Linking)&lt;/isbn&gt;&lt;accession-num&gt;26719889&lt;/accession-num&gt;&lt;urls&gt;&lt;related-urls&gt;&lt;url&gt;http://www.ncbi.nlm.nih.gov/pubmed/26719889&lt;/url&gt;&lt;/related-urls&gt;&lt;/urls&gt;&lt;custom2&gt;PMC4697804&lt;/custom2&gt;&lt;electronic-resource-num&gt;10.1371/journal.pgen.1005476&lt;/electronic-resource-num&gt;&lt;/record&gt;&lt;/Cite&gt;&lt;/EndNote&gt;</w:instrText>
      </w:r>
      <w:r w:rsidR="008F1843" w:rsidRPr="00F76433">
        <w:rPr>
          <w:bCs/>
        </w:rPr>
        <w:fldChar w:fldCharType="separate"/>
      </w:r>
      <w:r w:rsidRPr="00F76433">
        <w:rPr>
          <w:bCs/>
          <w:noProof/>
        </w:rPr>
        <w:t>[74]</w:t>
      </w:r>
      <w:r w:rsidR="008F1843" w:rsidRPr="00F76433">
        <w:rPr>
          <w:bCs/>
        </w:rPr>
        <w:fldChar w:fldCharType="end"/>
      </w:r>
      <w:r w:rsidRPr="00F76433">
        <w:rPr>
          <w:bCs/>
        </w:rPr>
        <w:t>).</w:t>
      </w:r>
      <w:r w:rsidRPr="00F76433">
        <w:rPr>
          <w:bCs/>
          <w:vertAlign w:val="superscript"/>
        </w:rPr>
        <w:t xml:space="preserve">     2</w:t>
      </w:r>
      <w:r w:rsidRPr="00F76433">
        <w:rPr>
          <w:bCs/>
        </w:rPr>
        <w:t xml:space="preserve">See </w:t>
      </w:r>
      <w:r w:rsidR="00765586">
        <w:rPr>
          <w:bCs/>
        </w:rPr>
        <w:t>[110]</w:t>
      </w:r>
      <w:r w:rsidRPr="00F76433">
        <w:rPr>
          <w:bCs/>
        </w:rPr>
        <w:t xml:space="preserve">) </w:t>
      </w:r>
    </w:p>
    <w:p w:rsidR="00F76433" w:rsidRPr="00F76433" w:rsidRDefault="00F76433" w:rsidP="00F76433">
      <w:pPr>
        <w:spacing w:line="360" w:lineRule="auto"/>
        <w:jc w:val="both"/>
        <w:rPr>
          <w:bCs/>
        </w:rPr>
      </w:pPr>
    </w:p>
    <w:p w:rsidR="00F76433" w:rsidRPr="00F76433" w:rsidRDefault="00F76433" w:rsidP="00F76433">
      <w:pPr>
        <w:spacing w:line="360" w:lineRule="auto"/>
        <w:jc w:val="both"/>
        <w:rPr>
          <w:bCs/>
        </w:rPr>
      </w:pPr>
      <w:r w:rsidRPr="00F76433">
        <w:rPr>
          <w:bCs/>
        </w:rPr>
        <w:tab/>
        <w:t xml:space="preserve">The genomic DNA can be prepared from as little tissue as an ear biopsy. We recommend DNA extraction to be followed by a purification step using, for instance, a phenol/chloroform protocol. The qPCR is performed according to the manufacturer’s instructions (see for example qPCR reagents SensiMix SYBR Lo-Rox as used by </w:t>
      </w:r>
      <w:r w:rsidR="008F1843" w:rsidRPr="00F76433">
        <w:rPr>
          <w:bCs/>
        </w:rPr>
        <w:fldChar w:fldCharType="begin"/>
      </w:r>
      <w:r w:rsidRPr="00F76433">
        <w:rPr>
          <w:bCs/>
        </w:rPr>
        <w:instrText xml:space="preserve"> ADDIN EN.CITE &lt;EndNote&gt;&lt;Cite&gt;&lt;Author&gt;Vernet&lt;/Author&gt;&lt;Year&gt;2014&lt;/Year&gt;&lt;RecNum&gt;3898&lt;/RecNum&gt;&lt;DisplayText&gt;[73]&lt;/DisplayText&gt;&lt;record&gt;&lt;rec-number&gt;3898&lt;/rec-number&gt;&lt;foreign-keys&gt;&lt;key app="EN" db-id="vxperf2d2s59vtezexlxpxwqrpxxz020tvpp" timestamp="1433868126"&gt;3898&lt;/key&gt;&lt;/foreign-keys&gt;&lt;ref-type name="Journal Article"&gt;17&lt;/ref-type&gt;&lt;contributors&gt;&lt;authors&gt;&lt;author&gt;Vernet, N.&lt;/author&gt;&lt;author&gt;Mahadevaiah, S. K.&lt;/author&gt;&lt;author&gt;Yamauchi, Y.&lt;/author&gt;&lt;author&gt;Decarpentrie, F.&lt;/author&gt;&lt;author&gt;Mitchell, M. J.&lt;/author&gt;&lt;author&gt;Ward, M. A.&lt;/author&gt;&lt;author&gt;Burgoyne, P. S.&lt;/author&gt;&lt;/authors&gt;&lt;/contributors&gt;&lt;auth-address&gt;MRC National Institute for Medical Research, London, United Kingdom; Department of functional genomics and cancer, Institut de Genetique et de Biologie Moleculaire et Cellulaire, Illkirch, France.&amp;#xD;MRC National Institute for Medical Research, London, United Kingdom.&amp;#xD;Institute for Biogenesis Research, University of Hawaii Medical School, Honolulu, Hawaii, United States of America.&amp;#xD;Aix Marseille Universite, GMGF, Marseille, France; Inserm UMR_S 910, Marseille, France.&lt;/auth-address&gt;&lt;titles&gt;&lt;title&gt;Mouse Y-linked Zfy1 and Zfy2 are expressed during the male-specific interphase between meiosis I and meiosis II and promote the 2nd meiotic division&lt;/title&gt;&lt;secondary-title&gt;PLoS Genet&lt;/secondary-title&gt;&lt;/titles&gt;&lt;periodical&gt;&lt;full-title&gt;PLoS Genet&lt;/full-title&gt;&lt;/periodical&gt;&lt;pages&gt;e1004444&lt;/pages&gt;&lt;volume&gt;10&lt;/volume&gt;&lt;number&gt;6&lt;/number&gt;&lt;edition&gt;2014/06/27&lt;/edition&gt;&lt;dates&gt;&lt;year&gt;2014&lt;/year&gt;&lt;pub-dates&gt;&lt;date&gt;Jun&lt;/date&gt;&lt;/pub-dates&gt;&lt;/dates&gt;&lt;isbn&gt;1553-7404 (Electronic)&amp;#xD;1553-7390 (Linking)&lt;/isbn&gt;&lt;accession-num&gt;24967676&lt;/accession-num&gt;&lt;urls&gt;&lt;related-urls&gt;&lt;url&gt;http://www.ncbi.nlm.nih.gov/entrez/query.fcgi?cmd=Retrieve&amp;amp;db=PubMed&amp;amp;dopt=Citation&amp;amp;list_uids=24967676&lt;/url&gt;&lt;/related-urls&gt;&lt;/urls&gt;&lt;custom2&gt;4072562&lt;/custom2&gt;&lt;electronic-resource-num&gt;10.1371/journal.pgen.1004444&amp;#xD;PGENETICS-D-13-02165 [pii]&lt;/electronic-resource-num&gt;&lt;language&gt;eng&lt;/language&gt;&lt;/record&gt;&lt;/Cite&gt;&lt;/EndNote&gt;</w:instrText>
      </w:r>
      <w:r w:rsidR="008F1843" w:rsidRPr="00F76433">
        <w:rPr>
          <w:bCs/>
        </w:rPr>
        <w:fldChar w:fldCharType="separate"/>
      </w:r>
      <w:r w:rsidRPr="00F76433">
        <w:rPr>
          <w:bCs/>
          <w:noProof/>
        </w:rPr>
        <w:t>[73]</w:t>
      </w:r>
      <w:r w:rsidR="008F1843" w:rsidRPr="00F76433">
        <w:rPr>
          <w:bCs/>
        </w:rPr>
        <w:fldChar w:fldCharType="end"/>
      </w:r>
      <w:r w:rsidRPr="00F76433">
        <w:rPr>
          <w:bCs/>
        </w:rPr>
        <w:t xml:space="preserve">, or </w:t>
      </w:r>
      <w:r w:rsidRPr="00F76433">
        <w:rPr>
          <w:bCs/>
          <w:i/>
          <w:iCs/>
        </w:rPr>
        <w:t xml:space="preserve">Power </w:t>
      </w:r>
      <w:r w:rsidRPr="00F76433">
        <w:rPr>
          <w:bCs/>
        </w:rPr>
        <w:t xml:space="preserve">SYBR Green PCR Master Mix </w:t>
      </w:r>
      <w:r w:rsidR="008F1843" w:rsidRPr="00F76433">
        <w:rPr>
          <w:bCs/>
        </w:rPr>
        <w:fldChar w:fldCharType="begin"/>
      </w:r>
      <w:r w:rsidRPr="00F76433">
        <w:rPr>
          <w:bCs/>
        </w:rPr>
        <w:instrText xml:space="preserve"> ADDIN EN.CITE &lt;EndNote&gt;&lt;Cite&gt;&lt;Author&gt;Yamauchi&lt;/Author&gt;&lt;Year&gt;2015&lt;/Year&gt;&lt;RecNum&gt;3996&lt;/RecNum&gt;&lt;DisplayText&gt;[74]&lt;/DisplayText&gt;&lt;record&gt;&lt;rec-number&gt;3996&lt;/rec-number&gt;&lt;foreign-keys&gt;&lt;key app="EN" db-id="vxperf2d2s59vtezexlxpxwqrpxxz020tvpp" timestamp="1477309311"&gt;3996&lt;/key&gt;&lt;/foreign-keys&gt;&lt;ref-type name="Journal Article"&gt;17&lt;/ref-type&gt;&lt;contributors&gt;&lt;authors&gt;&lt;author&gt;Yamauchi, Y.&lt;/author&gt;&lt;author&gt;Riel, J. M.&lt;/author&gt;&lt;author&gt;Ruthig, V.&lt;/author&gt;&lt;author&gt;Ward, M. A.&lt;/author&gt;&lt;/authors&gt;&lt;/contributors&gt;&lt;auth-address&gt;Institute for Biogenesis Research, John A. Burns School of Medicine, University of Hawaii, Honolulu, Hawaii, United States of America.&lt;/auth-address&gt;&lt;titles&gt;&lt;title&gt;Mouse Y-Encoded Transcription Factor Zfy2 Is Essential for Sperm Formation and Function in Assisted Fertilization&lt;/title&gt;&lt;secondary-title&gt;PLoS Genet&lt;/secondary-title&gt;&lt;/titles&gt;&lt;periodical&gt;&lt;full-title&gt;PLoS Genet&lt;/full-title&gt;&lt;/periodical&gt;&lt;pages&gt;e1005476&lt;/pages&gt;&lt;volume&gt;11&lt;/volume&gt;&lt;number&gt;12&lt;/number&gt;&lt;keywords&gt;&lt;keyword&gt;Animals&lt;/keyword&gt;&lt;keyword&gt;DNA-Binding Proteins/genetics/*metabolism&lt;/keyword&gt;&lt;keyword&gt;Female&lt;/keyword&gt;&lt;keyword&gt;Gene Expression Regulation&lt;/keyword&gt;&lt;keyword&gt;Genes, Y-Linked&lt;/keyword&gt;&lt;keyword&gt;Male&lt;/keyword&gt;&lt;keyword&gt;Mice, Inbred C57BL&lt;/keyword&gt;&lt;keyword&gt;Mice, Transgenic&lt;/keyword&gt;&lt;keyword&gt;Sex-Determining Region Y Protein/genetics&lt;/keyword&gt;&lt;keyword&gt;*Sperm Injections, Intracytoplasmic&lt;/keyword&gt;&lt;keyword&gt;Spermatids/physiology&lt;/keyword&gt;&lt;keyword&gt;Spermatogenesis/*genetics&lt;/keyword&gt;&lt;keyword&gt;Spermatozoa/cytology/*physiology&lt;/keyword&gt;&lt;keyword&gt;Transcription Factors/genetics/*metabolism&lt;/keyword&gt;&lt;/keywords&gt;&lt;dates&gt;&lt;year&gt;2015&lt;/year&gt;&lt;pub-dates&gt;&lt;date&gt;Dec&lt;/date&gt;&lt;/pub-dates&gt;&lt;/dates&gt;&lt;isbn&gt;1553-7404 (Electronic)&amp;#xD;1553-7390 (Linking)&lt;/isbn&gt;&lt;accession-num&gt;26719889&lt;/accession-num&gt;&lt;urls&gt;&lt;related-urls&gt;&lt;url&gt;http://www.ncbi.nlm.nih.gov/pubmed/26719889&lt;/url&gt;&lt;/related-urls&gt;&lt;/urls&gt;&lt;custom2&gt;PMC4697804&lt;/custom2&gt;&lt;electronic-resource-num&gt;10.1371/journal.pgen.1005476&lt;/electronic-resource-num&gt;&lt;/record&gt;&lt;/Cite&gt;&lt;/EndNote&gt;</w:instrText>
      </w:r>
      <w:r w:rsidR="008F1843" w:rsidRPr="00F76433">
        <w:rPr>
          <w:bCs/>
        </w:rPr>
        <w:fldChar w:fldCharType="separate"/>
      </w:r>
      <w:r w:rsidRPr="00F76433">
        <w:rPr>
          <w:bCs/>
          <w:noProof/>
        </w:rPr>
        <w:t>[74]</w:t>
      </w:r>
      <w:r w:rsidR="008F1843" w:rsidRPr="00F76433">
        <w:rPr>
          <w:bCs/>
        </w:rPr>
        <w:fldChar w:fldCharType="end"/>
      </w:r>
      <w:r w:rsidRPr="00F76433">
        <w:rPr>
          <w:bCs/>
        </w:rPr>
        <w:t xml:space="preserve">). All reactions should be carried out in triplicate per assay and </w:t>
      </w:r>
      <w:r w:rsidRPr="00F76433">
        <w:rPr>
          <w:bCs/>
          <w:i/>
        </w:rPr>
        <w:t>Myog</w:t>
      </w:r>
      <w:r w:rsidRPr="00F76433">
        <w:rPr>
          <w:bCs/>
        </w:rPr>
        <w:t xml:space="preserve"> included on every plate for normalization. We recommend using XY (1NPX) as the reference control, and known XY* (1NPX, 1NPX+), and XX (2NPX) samples in order to monitor the quality of your qPCR. A qPCR from a study that required XO and XY*</w:t>
      </w:r>
      <w:r w:rsidRPr="00F76433">
        <w:rPr>
          <w:bCs/>
          <w:vertAlign w:val="superscript"/>
        </w:rPr>
        <w:t>X</w:t>
      </w:r>
      <w:r w:rsidRPr="00F76433">
        <w:rPr>
          <w:bCs/>
        </w:rPr>
        <w:t xml:space="preserve"> mice </w:t>
      </w:r>
      <w:r w:rsidR="008F1843" w:rsidRPr="00F76433">
        <w:rPr>
          <w:bCs/>
        </w:rPr>
        <w:fldChar w:fldCharType="begin"/>
      </w:r>
      <w:r w:rsidRPr="00F76433">
        <w:rPr>
          <w:bCs/>
        </w:rPr>
        <w:instrText xml:space="preserve"> ADDIN EN.CITE &lt;EndNote&gt;&lt;Cite&gt;&lt;Author&gt;Vernet&lt;/Author&gt;&lt;Year&gt;2014&lt;/Year&gt;&lt;RecNum&gt;3898&lt;/RecNum&gt;&lt;DisplayText&gt;[73]&lt;/DisplayText&gt;&lt;record&gt;&lt;rec-number&gt;3898&lt;/rec-number&gt;&lt;foreign-keys&gt;&lt;key app="EN" db-id="vxperf2d2s59vtezexlxpxwqrpxxz020tvpp" timestamp="1433868126"&gt;3898&lt;/key&gt;&lt;/foreign-keys&gt;&lt;ref-type name="Journal Article"&gt;17&lt;/ref-type&gt;&lt;contributors&gt;&lt;authors&gt;&lt;author&gt;Vernet, N.&lt;/author&gt;&lt;author&gt;Mahadevaiah, S. K.&lt;/author&gt;&lt;author&gt;Yamauchi, Y.&lt;/author&gt;&lt;author&gt;Decarpentrie, F.&lt;/author&gt;&lt;author&gt;Mitchell, M. J.&lt;/author&gt;&lt;author&gt;Ward, M. A.&lt;/author&gt;&lt;author&gt;Burgoyne, P. S.&lt;/author&gt;&lt;/authors&gt;&lt;/contributors&gt;&lt;auth-address&gt;MRC National Institute for Medical Research, London, United Kingdom; Department of functional genomics and cancer, Institut de Genetique et de Biologie Moleculaire et Cellulaire, Illkirch, France.&amp;#xD;MRC National Institute for Medical Research, London, United Kingdom.&amp;#xD;Institute for Biogenesis Research, University of Hawaii Medical School, Honolulu, Hawaii, United States of America.&amp;#xD;Aix Marseille Universite, GMGF, Marseille, France; Inserm UMR_S 910, Marseille, France.&lt;/auth-address&gt;&lt;titles&gt;&lt;title&gt;Mouse Y-linked Zfy1 and Zfy2 are expressed during the male-specific interphase between meiosis I and meiosis II and promote the 2nd meiotic division&lt;/title&gt;&lt;secondary-title&gt;PLoS Genet&lt;/secondary-title&gt;&lt;/titles&gt;&lt;periodical&gt;&lt;full-title&gt;PLoS Genet&lt;/full-title&gt;&lt;/periodical&gt;&lt;pages&gt;e1004444&lt;/pages&gt;&lt;volume&gt;10&lt;/volume&gt;&lt;number&gt;6&lt;/number&gt;&lt;edition&gt;2014/06/27&lt;/edition&gt;&lt;dates&gt;&lt;year&gt;2014&lt;/year&gt;&lt;pub-dates&gt;&lt;date&gt;Jun&lt;/date&gt;&lt;/pub-dates&gt;&lt;/dates&gt;&lt;isbn&gt;1553-7404 (Electronic)&amp;#xD;1553-7390 (Linking)&lt;/isbn&gt;&lt;accession-num&gt;24967676&lt;/accession-num&gt;&lt;urls&gt;&lt;related-urls&gt;&lt;url&gt;http://www.ncbi.nlm.nih.gov/entrez/query.fcgi?cmd=Retrieve&amp;amp;db=PubMed&amp;amp;dopt=Citation&amp;amp;list_uids=24967676&lt;/url&gt;&lt;/related-urls&gt;&lt;/urls&gt;&lt;custom2&gt;4072562&lt;/custom2&gt;&lt;electronic-resource-num&gt;10.1371/journal.pgen.1004444&amp;#xD;PGENETICS-D-13-02165 [pii]&lt;/electronic-resource-num&gt;&lt;language&gt;eng&lt;/language&gt;&lt;/record&gt;&lt;/Cite&gt;&lt;/EndNote&gt;</w:instrText>
      </w:r>
      <w:r w:rsidR="008F1843" w:rsidRPr="00F76433">
        <w:rPr>
          <w:bCs/>
        </w:rPr>
        <w:fldChar w:fldCharType="separate"/>
      </w:r>
      <w:r w:rsidRPr="00F76433">
        <w:rPr>
          <w:bCs/>
          <w:noProof/>
        </w:rPr>
        <w:t>[73]</w:t>
      </w:r>
      <w:r w:rsidR="008F1843" w:rsidRPr="00F76433">
        <w:rPr>
          <w:bCs/>
        </w:rPr>
        <w:fldChar w:fldCharType="end"/>
      </w:r>
      <w:r w:rsidRPr="00F76433">
        <w:rPr>
          <w:bCs/>
        </w:rPr>
        <w:t xml:space="preserve"> is shown in </w:t>
      </w:r>
      <w:r w:rsidR="00883A6E">
        <w:rPr>
          <w:bCs/>
        </w:rPr>
        <w:t>Additional Figure 2</w:t>
      </w:r>
      <w:r w:rsidRPr="00F76433">
        <w:rPr>
          <w:bCs/>
        </w:rPr>
        <w:t>. A more relevant recent study provides a detailed protocol that was designed to identify a wider range of genotypes including XXY*</w:t>
      </w:r>
      <w:r w:rsidRPr="00F76433">
        <w:rPr>
          <w:bCs/>
          <w:vertAlign w:val="superscript"/>
        </w:rPr>
        <w:t>X</w:t>
      </w:r>
      <w:r w:rsidRPr="00F76433">
        <w:rPr>
          <w:bCs/>
        </w:rPr>
        <w:t xml:space="preserve"> </w:t>
      </w:r>
      <w:r w:rsidR="008F1843" w:rsidRPr="00F76433">
        <w:rPr>
          <w:bCs/>
        </w:rPr>
        <w:fldChar w:fldCharType="begin"/>
      </w:r>
      <w:r w:rsidRPr="00F76433">
        <w:rPr>
          <w:bCs/>
        </w:rPr>
        <w:instrText xml:space="preserve"> ADDIN EN.CITE &lt;EndNote&gt;&lt;Cite&gt;&lt;Author&gt;Yamauchi&lt;/Author&gt;&lt;Year&gt;2015&lt;/Year&gt;&lt;RecNum&gt;3996&lt;/RecNum&gt;&lt;DisplayText&gt;[74]&lt;/DisplayText&gt;&lt;record&gt;&lt;rec-number&gt;3996&lt;/rec-number&gt;&lt;foreign-keys&gt;&lt;key app="EN" db-id="vxperf2d2s59vtezexlxpxwqrpxxz020tvpp" timestamp="1477309311"&gt;3996&lt;/key&gt;&lt;/foreign-keys&gt;&lt;ref-type name="Journal Article"&gt;17&lt;/ref-type&gt;&lt;contributors&gt;&lt;authors&gt;&lt;author&gt;Yamauchi, Y.&lt;/author&gt;&lt;author&gt;Riel, J. M.&lt;/author&gt;&lt;author&gt;Ruthig, V.&lt;/author&gt;&lt;author&gt;Ward, M. A.&lt;/author&gt;&lt;/authors&gt;&lt;/contributors&gt;&lt;auth-address&gt;Institute for Biogenesis Research, John A. Burns School of Medicine, University of Hawaii, Honolulu, Hawaii, United States of America.&lt;/auth-address&gt;&lt;titles&gt;&lt;title&gt;Mouse Y-Encoded Transcription Factor Zfy2 Is Essential for Sperm Formation and Function in Assisted Fertilization&lt;/title&gt;&lt;secondary-title&gt;PLoS Genet&lt;/secondary-title&gt;&lt;/titles&gt;&lt;periodical&gt;&lt;full-title&gt;PLoS Genet&lt;/full-title&gt;&lt;/periodical&gt;&lt;pages&gt;e1005476&lt;/pages&gt;&lt;volume&gt;11&lt;/volume&gt;&lt;number&gt;12&lt;/number&gt;&lt;keywords&gt;&lt;keyword&gt;Animals&lt;/keyword&gt;&lt;keyword&gt;DNA-Binding Proteins/genetics/*metabolism&lt;/keyword&gt;&lt;keyword&gt;Female&lt;/keyword&gt;&lt;keyword&gt;Gene Expression Regulation&lt;/keyword&gt;&lt;keyword&gt;Genes, Y-Linked&lt;/keyword&gt;&lt;keyword&gt;Male&lt;/keyword&gt;&lt;keyword&gt;Mice, Inbred C57BL&lt;/keyword&gt;&lt;keyword&gt;Mice, Transgenic&lt;/keyword&gt;&lt;keyword&gt;Sex-Determining Region Y Protein/genetics&lt;/keyword&gt;&lt;keyword&gt;*Sperm Injections, Intracytoplasmic&lt;/keyword&gt;&lt;keyword&gt;Spermatids/physiology&lt;/keyword&gt;&lt;keyword&gt;Spermatogenesis/*genetics&lt;/keyword&gt;&lt;keyword&gt;Spermatozoa/cytology/*physiology&lt;/keyword&gt;&lt;keyword&gt;Transcription Factors/genetics/*metabolism&lt;/keyword&gt;&lt;/keywords&gt;&lt;dates&gt;&lt;year&gt;2015&lt;/year&gt;&lt;pub-dates&gt;&lt;date&gt;Dec&lt;/date&gt;&lt;/pub-dates&gt;&lt;/dates&gt;&lt;isbn&gt;1553-7404 (Electronic)&amp;#xD;1553-7390 (Linking)&lt;/isbn&gt;&lt;accession-num&gt;26719889&lt;/accession-num&gt;&lt;urls&gt;&lt;related-urls&gt;&lt;url&gt;http://www.ncbi.nlm.nih.gov/pubmed/26719889&lt;/url&gt;&lt;/related-urls&gt;&lt;/urls&gt;&lt;custom2&gt;PMC4697804&lt;/custom2&gt;&lt;electronic-resource-num&gt;10.1371/journal.pgen.1005476&lt;/electronic-resource-num&gt;&lt;/record&gt;&lt;/Cite&gt;&lt;/EndNote&gt;</w:instrText>
      </w:r>
      <w:r w:rsidR="008F1843" w:rsidRPr="00F76433">
        <w:rPr>
          <w:bCs/>
        </w:rPr>
        <w:fldChar w:fldCharType="separate"/>
      </w:r>
      <w:r w:rsidRPr="00F76433">
        <w:rPr>
          <w:bCs/>
          <w:noProof/>
        </w:rPr>
        <w:t>[74]</w:t>
      </w:r>
      <w:r w:rsidR="008F1843" w:rsidRPr="00F76433">
        <w:rPr>
          <w:bCs/>
        </w:rPr>
        <w:fldChar w:fldCharType="end"/>
      </w:r>
      <w:r w:rsidRPr="00F76433">
        <w:rPr>
          <w:bCs/>
        </w:rPr>
        <w:t xml:space="preserve">. This study utilized </w:t>
      </w:r>
      <w:r w:rsidRPr="00F76433">
        <w:rPr>
          <w:bCs/>
          <w:i/>
        </w:rPr>
        <w:t>Atr</w:t>
      </w:r>
      <w:r w:rsidRPr="00F76433">
        <w:rPr>
          <w:bCs/>
        </w:rPr>
        <w:t xml:space="preserve"> on chromosome 9 for normalization rather than </w:t>
      </w:r>
      <w:r w:rsidRPr="00F76433">
        <w:rPr>
          <w:bCs/>
          <w:i/>
        </w:rPr>
        <w:t>Myog</w:t>
      </w:r>
      <w:r w:rsidRPr="00F76433">
        <w:rPr>
          <w:bCs/>
        </w:rPr>
        <w:t xml:space="preserve">. </w:t>
      </w:r>
    </w:p>
    <w:p w:rsidR="00F76433" w:rsidRPr="00F76433" w:rsidRDefault="00F76433" w:rsidP="00F76433">
      <w:pPr>
        <w:spacing w:line="360" w:lineRule="auto"/>
        <w:ind w:firstLine="720"/>
        <w:jc w:val="both"/>
        <w:rPr>
          <w:bCs/>
        </w:rPr>
      </w:pPr>
      <w:r w:rsidRPr="00F76433">
        <w:rPr>
          <w:bCs/>
        </w:rPr>
        <w:t>The formula used to analyze raw data is a classic 2^(-ΔΔCT) </w:t>
      </w:r>
      <w:r w:rsidR="00883A6E">
        <w:rPr>
          <w:bCs/>
        </w:rPr>
        <w:t>[111]</w:t>
      </w:r>
      <w:r w:rsidRPr="00F76433">
        <w:rPr>
          <w:bCs/>
        </w:rPr>
        <w:t xml:space="preserve">. Briefly, for each sample, the mean Ct for </w:t>
      </w:r>
      <w:r w:rsidRPr="00F76433">
        <w:rPr>
          <w:bCs/>
          <w:i/>
        </w:rPr>
        <w:t>Myog</w:t>
      </w:r>
      <w:r w:rsidRPr="00F76433">
        <w:rPr>
          <w:bCs/>
        </w:rPr>
        <w:t xml:space="preserve"> is subtracted from the mean Ct for </w:t>
      </w:r>
      <w:r w:rsidRPr="00F76433">
        <w:rPr>
          <w:bCs/>
          <w:i/>
        </w:rPr>
        <w:t>Prdx4</w:t>
      </w:r>
      <w:r w:rsidRPr="00F76433">
        <w:rPr>
          <w:bCs/>
        </w:rPr>
        <w:t xml:space="preserve"> or </w:t>
      </w:r>
      <w:r w:rsidRPr="00F76433">
        <w:rPr>
          <w:bCs/>
          <w:i/>
        </w:rPr>
        <w:t>Amelx</w:t>
      </w:r>
      <w:r w:rsidRPr="00F76433">
        <w:rPr>
          <w:bCs/>
        </w:rPr>
        <w:t xml:space="preserve"> (ΔCT). Then the ΔCT of the reference DNA is subtracted from the ΔCT of samples (ΔΔCT). The formula 2^(- ΔΔCT) will then give an approximate copy number between 1 and 2. The copy number of the reference DNA will arbitrarily be set at 1. If the reference DNA is XX, we recommend multiplying the 2^(- ΔΔCT) by 2 in order to help data interpretation. Based on previous experience, data between 0.6 and 1.2 are considered 1 copy, and data between 1.6 and 2.2 are considered 2. To better distinguish between XY*</w:t>
      </w:r>
      <w:r w:rsidRPr="00F76433">
        <w:rPr>
          <w:bCs/>
          <w:vertAlign w:val="superscript"/>
        </w:rPr>
        <w:t>X</w:t>
      </w:r>
      <w:r w:rsidRPr="00F76433">
        <w:rPr>
          <w:bCs/>
        </w:rPr>
        <w:t xml:space="preserve"> and XXY*</w:t>
      </w:r>
      <w:r w:rsidRPr="00F76433">
        <w:rPr>
          <w:bCs/>
          <w:vertAlign w:val="superscript"/>
        </w:rPr>
        <w:t>X</w:t>
      </w:r>
      <w:r w:rsidRPr="00F76433">
        <w:rPr>
          <w:bCs/>
        </w:rPr>
        <w:t xml:space="preserve"> it would be possible to use fluorescent </w:t>
      </w:r>
      <w:r w:rsidRPr="00F76433">
        <w:rPr>
          <w:bCs/>
          <w:i/>
        </w:rPr>
        <w:t>in situ</w:t>
      </w:r>
      <w:r w:rsidRPr="00F76433">
        <w:rPr>
          <w:bCs/>
        </w:rPr>
        <w:t xml:space="preserve"> hybridization (FISH) to count number of X chromosomes in interphase lymphocytes using the kit Kreatech KI-30505 RAB9B (XqF1). An alternative strategy would be to check for the </w:t>
      </w:r>
      <w:r w:rsidRPr="00F76433">
        <w:rPr>
          <w:bCs/>
          <w:i/>
        </w:rPr>
        <w:t>Xist</w:t>
      </w:r>
      <w:r w:rsidRPr="00F76433">
        <w:rPr>
          <w:bCs/>
        </w:rPr>
        <w:t xml:space="preserve"> expression associated with two Xs (see </w:t>
      </w:r>
      <w:r w:rsidR="008F1843" w:rsidRPr="00F76433">
        <w:rPr>
          <w:bCs/>
        </w:rPr>
        <w:fldChar w:fldCharType="begin">
          <w:fldData xml:space="preserve">PEVuZE5vdGU+PENpdGU+PEF1dGhvcj5Xb2xzdGVuaG9sbWU8L0F1dGhvcj48WWVhcj4yMDEzPC9Z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</w:fldData>
        </w:fldChar>
      </w:r>
      <w:r w:rsidRPr="00F76433">
        <w:rPr>
          <w:bCs/>
        </w:rPr>
        <w:instrText xml:space="preserve"> ADDIN EN.CITE </w:instrText>
      </w:r>
      <w:r w:rsidR="008F1843" w:rsidRPr="00F76433">
        <w:rPr>
          <w:bCs/>
        </w:rPr>
        <w:fldChar w:fldCharType="begin">
          <w:fldData xml:space="preserve">PEVuZE5vdGU+PENpdGU+PEF1dGhvcj5Xb2xzdGVuaG9sbWU8L0F1dGhvcj48WWVhcj4yMDEzPC9Z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</w:fldData>
        </w:fldChar>
      </w:r>
      <w:r w:rsidRPr="00F76433">
        <w:rPr>
          <w:bCs/>
        </w:rPr>
        <w:instrText xml:space="preserve"> ADDIN EN.CITE.DATA </w:instrText>
      </w:r>
      <w:r w:rsidR="008F1843" w:rsidRPr="00F76433">
        <w:rPr>
          <w:bCs/>
        </w:rPr>
      </w:r>
      <w:r w:rsidR="008F1843" w:rsidRPr="00F76433">
        <w:rPr>
          <w:bCs/>
        </w:rPr>
        <w:fldChar w:fldCharType="end"/>
      </w:r>
      <w:r w:rsidR="008F1843" w:rsidRPr="00F76433">
        <w:rPr>
          <w:bCs/>
        </w:rPr>
      </w:r>
      <w:r w:rsidR="008F1843" w:rsidRPr="00F76433">
        <w:rPr>
          <w:bCs/>
        </w:rPr>
        <w:fldChar w:fldCharType="separate"/>
      </w:r>
      <w:r w:rsidRPr="00F76433">
        <w:rPr>
          <w:bCs/>
          <w:noProof/>
        </w:rPr>
        <w:t>[72]</w:t>
      </w:r>
      <w:r w:rsidR="008F1843" w:rsidRPr="00F76433">
        <w:rPr>
          <w:bCs/>
        </w:rPr>
        <w:fldChar w:fldCharType="end"/>
      </w:r>
      <w:r w:rsidRPr="00F76433">
        <w:rPr>
          <w:bCs/>
        </w:rPr>
        <w:t xml:space="preserve">). The NPX qPCR can be utilized for all the progeny of the crosses listed in </w:t>
      </w:r>
      <w:r w:rsidR="00883A6E">
        <w:rPr>
          <w:bCs/>
        </w:rPr>
        <w:t>Additional file 1</w:t>
      </w:r>
      <w:r w:rsidRPr="00F76433">
        <w:rPr>
          <w:b/>
          <w:bCs/>
        </w:rPr>
        <w:t xml:space="preserve">. </w:t>
      </w:r>
      <w:r w:rsidRPr="00F76433">
        <w:rPr>
          <w:bCs/>
        </w:rPr>
        <w:t xml:space="preserve">The predicted NPX dosages are tabulated below including those for the recommended XY, XY* and XX controls. </w:t>
      </w:r>
    </w:p>
    <w:p w:rsidR="00F76433" w:rsidRPr="00F76433" w:rsidRDefault="00F76433" w:rsidP="00F76433">
      <w:pPr>
        <w:rPr>
          <w:bCs/>
        </w:rPr>
      </w:pPr>
      <w:r w:rsidRPr="00F76433">
        <w:rPr>
          <w:bCs/>
        </w:rPr>
        <w:br w:type="page"/>
      </w:r>
    </w:p>
    <w:tbl>
      <w:tblPr>
        <w:tblStyle w:val="TableGrid"/>
        <w:tblW w:w="0" w:type="auto"/>
        <w:tblLook w:val="04A0" w:firstRow="1" w:lastRow="0" w:firstColumn="1" w:lastColumn="0" w:noHBand="0" w:noVBand="1"/>
      </w:tblPr>
      <w:tblGrid>
        <w:gridCol w:w="2037"/>
        <w:gridCol w:w="1048"/>
        <w:gridCol w:w="1843"/>
        <w:gridCol w:w="1984"/>
        <w:gridCol w:w="1985"/>
      </w:tblGrid>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lastRenderedPageBreak/>
              <w:t>Genotypes</w:t>
            </w:r>
          </w:p>
        </w:tc>
        <w:tc>
          <w:tcPr>
            <w:tcW w:w="1048" w:type="dxa"/>
            <w:vAlign w:val="center"/>
          </w:tcPr>
          <w:p w:rsidR="00F76433" w:rsidRPr="00F76433" w:rsidRDefault="00F76433" w:rsidP="00002050">
            <w:pPr>
              <w:spacing w:line="360" w:lineRule="auto"/>
              <w:jc w:val="center"/>
              <w:rPr>
                <w:bCs/>
              </w:rPr>
            </w:pPr>
            <w:r w:rsidRPr="00F76433">
              <w:rPr>
                <w:bCs/>
              </w:rPr>
              <w:t>Gonadal sex</w:t>
            </w:r>
          </w:p>
        </w:tc>
        <w:tc>
          <w:tcPr>
            <w:tcW w:w="1843" w:type="dxa"/>
            <w:vAlign w:val="center"/>
          </w:tcPr>
          <w:p w:rsidR="00F76433" w:rsidRPr="00F76433" w:rsidRDefault="00F76433" w:rsidP="00002050">
            <w:pPr>
              <w:spacing w:line="360" w:lineRule="auto"/>
              <w:jc w:val="center"/>
              <w:rPr>
                <w:bCs/>
              </w:rPr>
            </w:pPr>
            <w:r w:rsidRPr="00F76433">
              <w:rPr>
                <w:bCs/>
                <w:i/>
              </w:rPr>
              <w:t>Prdx4</w:t>
            </w:r>
            <w:r w:rsidRPr="00F76433">
              <w:rPr>
                <w:bCs/>
              </w:rPr>
              <w:t xml:space="preserve"> copies</w:t>
            </w:r>
          </w:p>
          <w:p w:rsidR="00F76433" w:rsidRPr="00F76433" w:rsidRDefault="00F76433" w:rsidP="00002050">
            <w:pPr>
              <w:spacing w:line="360" w:lineRule="auto"/>
              <w:jc w:val="center"/>
              <w:rPr>
                <w:bCs/>
              </w:rPr>
            </w:pPr>
            <w:r w:rsidRPr="00F76433">
              <w:rPr>
                <w:bCs/>
              </w:rPr>
              <w:t>(NPX)</w:t>
            </w:r>
          </w:p>
        </w:tc>
        <w:tc>
          <w:tcPr>
            <w:tcW w:w="1984" w:type="dxa"/>
            <w:vAlign w:val="center"/>
          </w:tcPr>
          <w:p w:rsidR="00F76433" w:rsidRPr="00F76433" w:rsidRDefault="00F76433" w:rsidP="00002050">
            <w:pPr>
              <w:spacing w:line="360" w:lineRule="auto"/>
              <w:jc w:val="center"/>
              <w:rPr>
                <w:bCs/>
              </w:rPr>
            </w:pPr>
            <w:r w:rsidRPr="00F76433">
              <w:rPr>
                <w:bCs/>
                <w:i/>
              </w:rPr>
              <w:t>Amelx</w:t>
            </w:r>
            <w:r w:rsidRPr="00F76433">
              <w:rPr>
                <w:bCs/>
              </w:rPr>
              <w:t xml:space="preserve"> copies</w:t>
            </w:r>
          </w:p>
          <w:p w:rsidR="00F76433" w:rsidRPr="00F76433" w:rsidRDefault="00F76433" w:rsidP="00002050">
            <w:pPr>
              <w:spacing w:line="360" w:lineRule="auto"/>
              <w:jc w:val="center"/>
              <w:rPr>
                <w:bCs/>
              </w:rPr>
            </w:pPr>
            <w:r w:rsidRPr="00F76433">
              <w:rPr>
                <w:bCs/>
              </w:rPr>
              <w:t>(NPX and NPX+)</w:t>
            </w:r>
          </w:p>
        </w:tc>
        <w:tc>
          <w:tcPr>
            <w:tcW w:w="1985" w:type="dxa"/>
            <w:vAlign w:val="center"/>
          </w:tcPr>
          <w:p w:rsidR="00F76433" w:rsidRPr="00F76433" w:rsidRDefault="00F76433" w:rsidP="00002050">
            <w:pPr>
              <w:spacing w:line="360" w:lineRule="auto"/>
              <w:jc w:val="center"/>
              <w:rPr>
                <w:bCs/>
              </w:rPr>
            </w:pPr>
            <w:r w:rsidRPr="00F76433">
              <w:rPr>
                <w:bCs/>
                <w:i/>
              </w:rPr>
              <w:t>Myog</w:t>
            </w:r>
            <w:r w:rsidRPr="00F76433">
              <w:rPr>
                <w:bCs/>
              </w:rPr>
              <w:t xml:space="preserve"> copies</w:t>
            </w:r>
          </w:p>
          <w:p w:rsidR="00F76433" w:rsidRPr="00F76433" w:rsidRDefault="00F76433" w:rsidP="00002050">
            <w:pPr>
              <w:spacing w:line="360" w:lineRule="auto"/>
              <w:jc w:val="center"/>
              <w:rPr>
                <w:bCs/>
              </w:rPr>
            </w:pPr>
            <w:r w:rsidRPr="00F76433">
              <w:rPr>
                <w:bCs/>
              </w:rPr>
              <w:t>(Chromosome 1)</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Controls</w:t>
            </w:r>
          </w:p>
        </w:tc>
        <w:tc>
          <w:tcPr>
            <w:tcW w:w="1048" w:type="dxa"/>
            <w:vAlign w:val="center"/>
          </w:tcPr>
          <w:p w:rsidR="00F76433" w:rsidRPr="00F76433" w:rsidRDefault="00F76433" w:rsidP="00002050">
            <w:pPr>
              <w:spacing w:line="360" w:lineRule="auto"/>
              <w:jc w:val="center"/>
              <w:rPr>
                <w:bCs/>
              </w:rPr>
            </w:pPr>
          </w:p>
        </w:tc>
        <w:tc>
          <w:tcPr>
            <w:tcW w:w="1843" w:type="dxa"/>
            <w:vAlign w:val="center"/>
          </w:tcPr>
          <w:p w:rsidR="00F76433" w:rsidRPr="00F76433" w:rsidRDefault="00F76433" w:rsidP="00002050">
            <w:pPr>
              <w:spacing w:line="360" w:lineRule="auto"/>
              <w:jc w:val="center"/>
              <w:rPr>
                <w:bCs/>
              </w:rPr>
            </w:pPr>
          </w:p>
        </w:tc>
        <w:tc>
          <w:tcPr>
            <w:tcW w:w="1984" w:type="dxa"/>
            <w:vAlign w:val="center"/>
          </w:tcPr>
          <w:p w:rsidR="00F76433" w:rsidRPr="00F76433" w:rsidRDefault="00F76433" w:rsidP="00002050">
            <w:pPr>
              <w:spacing w:line="360" w:lineRule="auto"/>
              <w:jc w:val="center"/>
              <w:rPr>
                <w:bCs/>
              </w:rPr>
            </w:pPr>
          </w:p>
        </w:tc>
        <w:tc>
          <w:tcPr>
            <w:tcW w:w="1985" w:type="dxa"/>
            <w:vAlign w:val="center"/>
          </w:tcPr>
          <w:p w:rsidR="00F76433" w:rsidRPr="00F76433" w:rsidRDefault="00F76433" w:rsidP="00002050">
            <w:pPr>
              <w:spacing w:line="360" w:lineRule="auto"/>
              <w:jc w:val="center"/>
              <w:rPr>
                <w:bCs/>
              </w:rPr>
            </w:pP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1,1,2 - XY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1</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 xml:space="preserve">1,2,2 - XY* </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2,2,2 - XX</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
                <w:bCs/>
              </w:rPr>
              <w:t>A</w:t>
            </w:r>
            <w:r w:rsidRPr="00F76433">
              <w:rPr>
                <w:bCs/>
              </w:rPr>
              <w:t>: XX x XY*</w:t>
            </w:r>
          </w:p>
        </w:tc>
        <w:tc>
          <w:tcPr>
            <w:tcW w:w="1048" w:type="dxa"/>
            <w:vAlign w:val="center"/>
          </w:tcPr>
          <w:p w:rsidR="00F76433" w:rsidRPr="00F76433" w:rsidRDefault="00F76433" w:rsidP="00002050">
            <w:pPr>
              <w:spacing w:line="360" w:lineRule="auto"/>
              <w:jc w:val="center"/>
              <w:rPr>
                <w:bCs/>
              </w:rPr>
            </w:pPr>
          </w:p>
        </w:tc>
        <w:tc>
          <w:tcPr>
            <w:tcW w:w="1843" w:type="dxa"/>
            <w:vAlign w:val="center"/>
          </w:tcPr>
          <w:p w:rsidR="00F76433" w:rsidRPr="00F76433" w:rsidRDefault="00F76433" w:rsidP="00002050">
            <w:pPr>
              <w:spacing w:line="360" w:lineRule="auto"/>
              <w:jc w:val="center"/>
              <w:rPr>
                <w:bCs/>
              </w:rPr>
            </w:pPr>
          </w:p>
        </w:tc>
        <w:tc>
          <w:tcPr>
            <w:tcW w:w="1984" w:type="dxa"/>
            <w:vAlign w:val="center"/>
          </w:tcPr>
          <w:p w:rsidR="00F76433" w:rsidRPr="00F76433" w:rsidRDefault="00F76433" w:rsidP="00002050">
            <w:pPr>
              <w:spacing w:line="360" w:lineRule="auto"/>
              <w:jc w:val="center"/>
              <w:rPr>
                <w:bCs/>
              </w:rPr>
            </w:pPr>
          </w:p>
        </w:tc>
        <w:tc>
          <w:tcPr>
            <w:tcW w:w="1985" w:type="dxa"/>
            <w:vAlign w:val="center"/>
          </w:tcPr>
          <w:p w:rsidR="00F76433" w:rsidRPr="00F76433" w:rsidRDefault="00F76433" w:rsidP="00002050">
            <w:pPr>
              <w:spacing w:line="360" w:lineRule="auto"/>
              <w:jc w:val="center"/>
              <w:rPr>
                <w:bCs/>
              </w:rPr>
            </w:pP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[XO rare]</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1</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XY*</w:t>
            </w:r>
            <w:r w:rsidRPr="00F76433">
              <w:rPr>
                <w:bCs/>
                <w:vertAlign w:val="superscript"/>
              </w:rPr>
              <w:t>X</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XX</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XX</w:t>
            </w:r>
            <w:r w:rsidRPr="00F76433">
              <w:rPr>
                <w:bCs/>
                <w:vertAlign w:val="superscript"/>
              </w:rPr>
              <w:t>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
                <w:bCs/>
              </w:rPr>
              <w:t>C</w:t>
            </w:r>
            <w:r w:rsidRPr="00F76433">
              <w:rPr>
                <w:bCs/>
              </w:rPr>
              <w:t>: XY*</w:t>
            </w:r>
            <w:r w:rsidRPr="00F76433">
              <w:rPr>
                <w:bCs/>
                <w:vertAlign w:val="superscript"/>
              </w:rPr>
              <w:t>X</w:t>
            </w:r>
            <w:r w:rsidRPr="00F76433">
              <w:rPr>
                <w:bCs/>
              </w:rPr>
              <w:t xml:space="preserve"> x XY</w:t>
            </w:r>
          </w:p>
        </w:tc>
        <w:tc>
          <w:tcPr>
            <w:tcW w:w="1048" w:type="dxa"/>
            <w:vAlign w:val="center"/>
          </w:tcPr>
          <w:p w:rsidR="00F76433" w:rsidRPr="00F76433" w:rsidRDefault="00F76433" w:rsidP="00002050">
            <w:pPr>
              <w:spacing w:line="360" w:lineRule="auto"/>
              <w:jc w:val="center"/>
              <w:rPr>
                <w:bCs/>
              </w:rPr>
            </w:pPr>
          </w:p>
        </w:tc>
        <w:tc>
          <w:tcPr>
            <w:tcW w:w="1843" w:type="dxa"/>
            <w:vAlign w:val="center"/>
          </w:tcPr>
          <w:p w:rsidR="00F76433" w:rsidRPr="00F76433" w:rsidRDefault="00F76433" w:rsidP="00002050">
            <w:pPr>
              <w:spacing w:line="360" w:lineRule="auto"/>
              <w:jc w:val="center"/>
              <w:rPr>
                <w:bCs/>
              </w:rPr>
            </w:pPr>
          </w:p>
        </w:tc>
        <w:tc>
          <w:tcPr>
            <w:tcW w:w="1984" w:type="dxa"/>
            <w:vAlign w:val="center"/>
          </w:tcPr>
          <w:p w:rsidR="00F76433" w:rsidRPr="00F76433" w:rsidRDefault="00F76433" w:rsidP="00002050">
            <w:pPr>
              <w:spacing w:line="360" w:lineRule="auto"/>
              <w:jc w:val="center"/>
              <w:rPr>
                <w:bCs/>
              </w:rPr>
            </w:pPr>
          </w:p>
        </w:tc>
        <w:tc>
          <w:tcPr>
            <w:tcW w:w="1985" w:type="dxa"/>
            <w:vAlign w:val="center"/>
          </w:tcPr>
          <w:p w:rsidR="00F76433" w:rsidRPr="00F76433" w:rsidRDefault="00F76433" w:rsidP="00002050">
            <w:pPr>
              <w:spacing w:line="360" w:lineRule="auto"/>
              <w:jc w:val="center"/>
              <w:rPr>
                <w:bCs/>
              </w:rPr>
            </w:pP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[XO rare]</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1</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XY*</w:t>
            </w:r>
            <w:r w:rsidRPr="00F76433">
              <w:rPr>
                <w:bCs/>
                <w:vertAlign w:val="superscript"/>
              </w:rPr>
              <w:t>X</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XX</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XXY*</w:t>
            </w:r>
            <w:r w:rsidRPr="00F76433">
              <w:rPr>
                <w:bCs/>
                <w:vertAlign w:val="superscript"/>
              </w:rPr>
              <w:t>X</w:t>
            </w:r>
          </w:p>
        </w:tc>
        <w:tc>
          <w:tcPr>
            <w:tcW w:w="1048" w:type="dxa"/>
            <w:vAlign w:val="center"/>
          </w:tcPr>
          <w:p w:rsidR="00F76433" w:rsidRPr="00F76433" w:rsidRDefault="00F76433" w:rsidP="00002050">
            <w:pPr>
              <w:spacing w:line="360" w:lineRule="auto"/>
              <w:jc w:val="center"/>
              <w:rPr>
                <w:bCs/>
              </w:rPr>
            </w:pPr>
            <w:r w:rsidRPr="00F76433">
              <w:rPr>
                <w:bCs/>
              </w:rPr>
              <w:t>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3</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i/>
                <w:vertAlign w:val="subscript"/>
              </w:rPr>
            </w:pPr>
            <w:r w:rsidRPr="00F76433">
              <w:rPr>
                <w:b/>
                <w:bCs/>
              </w:rPr>
              <w:t>D</w:t>
            </w:r>
            <w:r w:rsidRPr="00F76433">
              <w:rPr>
                <w:bCs/>
              </w:rPr>
              <w:t>: XXY*</w:t>
            </w:r>
            <w:r w:rsidRPr="00F76433">
              <w:rPr>
                <w:bCs/>
                <w:vertAlign w:val="superscript"/>
              </w:rPr>
              <w:t xml:space="preserve">X </w:t>
            </w:r>
            <w:r w:rsidRPr="00F76433">
              <w:rPr>
                <w:bCs/>
              </w:rPr>
              <w:t>x XY</w:t>
            </w:r>
            <w:r w:rsidRPr="00F76433">
              <w:rPr>
                <w:bCs/>
                <w:vertAlign w:val="superscript"/>
              </w:rPr>
              <w:t>-</w:t>
            </w:r>
            <w:r w:rsidRPr="00F76433">
              <w:rPr>
                <w:bCs/>
                <w:i/>
              </w:rPr>
              <w:t>Sry</w:t>
            </w:r>
          </w:p>
        </w:tc>
        <w:tc>
          <w:tcPr>
            <w:tcW w:w="1048" w:type="dxa"/>
            <w:vAlign w:val="center"/>
          </w:tcPr>
          <w:p w:rsidR="00F76433" w:rsidRPr="00F76433" w:rsidRDefault="00F76433" w:rsidP="00002050">
            <w:pPr>
              <w:spacing w:line="360" w:lineRule="auto"/>
              <w:jc w:val="center"/>
              <w:rPr>
                <w:bCs/>
              </w:rPr>
            </w:pPr>
          </w:p>
        </w:tc>
        <w:tc>
          <w:tcPr>
            <w:tcW w:w="1843" w:type="dxa"/>
            <w:vAlign w:val="center"/>
          </w:tcPr>
          <w:p w:rsidR="00F76433" w:rsidRPr="00F76433" w:rsidRDefault="00F76433" w:rsidP="00002050">
            <w:pPr>
              <w:spacing w:line="360" w:lineRule="auto"/>
              <w:jc w:val="center"/>
              <w:rPr>
                <w:bCs/>
              </w:rPr>
            </w:pPr>
          </w:p>
        </w:tc>
        <w:tc>
          <w:tcPr>
            <w:tcW w:w="1984" w:type="dxa"/>
            <w:vAlign w:val="center"/>
          </w:tcPr>
          <w:p w:rsidR="00F76433" w:rsidRPr="00F76433" w:rsidRDefault="00F76433" w:rsidP="00002050">
            <w:pPr>
              <w:spacing w:line="360" w:lineRule="auto"/>
              <w:jc w:val="center"/>
              <w:rPr>
                <w:bCs/>
              </w:rPr>
            </w:pPr>
          </w:p>
        </w:tc>
        <w:tc>
          <w:tcPr>
            <w:tcW w:w="1985" w:type="dxa"/>
            <w:vAlign w:val="center"/>
          </w:tcPr>
          <w:p w:rsidR="00F76433" w:rsidRPr="00F76433" w:rsidRDefault="00F76433" w:rsidP="00002050">
            <w:pPr>
              <w:spacing w:line="360" w:lineRule="auto"/>
              <w:jc w:val="center"/>
              <w:rPr>
                <w:bCs/>
              </w:rPr>
            </w:pPr>
          </w:p>
        </w:tc>
      </w:tr>
      <w:tr w:rsidR="00F76433" w:rsidRPr="00F76433" w:rsidTr="00002050">
        <w:tc>
          <w:tcPr>
            <w:tcW w:w="2037" w:type="dxa"/>
            <w:vAlign w:val="center"/>
          </w:tcPr>
          <w:p w:rsidR="00F76433" w:rsidRPr="00F76433" w:rsidRDefault="00F76433" w:rsidP="00002050">
            <w:pPr>
              <w:spacing w:line="360" w:lineRule="auto"/>
              <w:jc w:val="center"/>
              <w:rPr>
                <w:bCs/>
                <w:i/>
              </w:rPr>
            </w:pPr>
            <w:r w:rsidRPr="00F76433">
              <w:rPr>
                <w:bCs/>
              </w:rPr>
              <w:t>XY</w:t>
            </w:r>
            <w:r w:rsidRPr="00F76433">
              <w:rPr>
                <w:bCs/>
                <w:vertAlign w:val="superscript"/>
              </w:rPr>
              <w:t>-</w:t>
            </w:r>
            <w:r w:rsidRPr="00F76433">
              <w:rPr>
                <w:bCs/>
                <w:i/>
              </w:rPr>
              <w:t>Sry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1</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i/>
              </w:rPr>
            </w:pPr>
            <w:r w:rsidRPr="00F76433">
              <w:rPr>
                <w:bCs/>
              </w:rPr>
              <w:t>XX</w:t>
            </w:r>
            <w:r w:rsidRPr="00F76433">
              <w:rPr>
                <w:bCs/>
                <w:i/>
              </w:rPr>
              <w:t>Sry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i/>
              </w:rPr>
            </w:pPr>
            <w:r w:rsidRPr="00F76433">
              <w:rPr>
                <w:bCs/>
              </w:rPr>
              <w:t>XXY*</w:t>
            </w:r>
            <w:r w:rsidRPr="00F76433">
              <w:rPr>
                <w:bCs/>
                <w:vertAlign w:val="superscript"/>
              </w:rPr>
              <w:t>X</w:t>
            </w:r>
            <w:r w:rsidRPr="00F76433">
              <w:rPr>
                <w:bCs/>
                <w:i/>
              </w:rPr>
              <w:t>Sry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3</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i/>
              </w:rPr>
            </w:pPr>
            <w:r w:rsidRPr="00F76433">
              <w:rPr>
                <w:bCs/>
              </w:rPr>
              <w:t>XY</w:t>
            </w:r>
            <w:r w:rsidRPr="00F76433">
              <w:rPr>
                <w:bCs/>
                <w:vertAlign w:val="superscript"/>
              </w:rPr>
              <w:t>-</w:t>
            </w:r>
            <w:r w:rsidRPr="00F76433">
              <w:rPr>
                <w:bCs/>
              </w:rPr>
              <w:t>Y*</w:t>
            </w:r>
            <w:r w:rsidRPr="00F76433">
              <w:rPr>
                <w:bCs/>
                <w:vertAlign w:val="superscript"/>
              </w:rPr>
              <w:t>X</w:t>
            </w:r>
            <w:r w:rsidRPr="00F76433">
              <w:rPr>
                <w:bCs/>
                <w:i/>
              </w:rPr>
              <w:t>Sry</w:t>
            </w:r>
          </w:p>
        </w:tc>
        <w:tc>
          <w:tcPr>
            <w:tcW w:w="1048" w:type="dxa"/>
            <w:vAlign w:val="center"/>
          </w:tcPr>
          <w:p w:rsidR="00F76433" w:rsidRPr="00F76433" w:rsidRDefault="00F76433" w:rsidP="00002050">
            <w:pPr>
              <w:spacing w:line="360" w:lineRule="auto"/>
              <w:jc w:val="center"/>
              <w:rPr>
                <w:bCs/>
              </w:rPr>
            </w:pPr>
            <w:r w:rsidRPr="00F76433">
              <w:rPr>
                <w:bCs/>
              </w:rPr>
              <w:t>M</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
                <w:bCs/>
              </w:rPr>
              <w:t>B</w:t>
            </w:r>
            <w:r w:rsidRPr="00F76433">
              <w:rPr>
                <w:bCs/>
              </w:rPr>
              <w:t>: XY</w:t>
            </w:r>
            <w:r w:rsidRPr="00F76433">
              <w:rPr>
                <w:bCs/>
                <w:vertAlign w:val="superscript"/>
              </w:rPr>
              <w:t>-</w:t>
            </w:r>
            <w:r w:rsidRPr="00F76433">
              <w:rPr>
                <w:bCs/>
              </w:rPr>
              <w:t>Y*</w:t>
            </w:r>
            <w:r w:rsidRPr="00F76433">
              <w:rPr>
                <w:bCs/>
                <w:vertAlign w:val="superscript"/>
              </w:rPr>
              <w:t>X</w:t>
            </w:r>
            <w:r w:rsidRPr="00F76433">
              <w:rPr>
                <w:bCs/>
                <w:i/>
              </w:rPr>
              <w:t>Sry</w:t>
            </w:r>
            <w:r w:rsidRPr="00F76433">
              <w:rPr>
                <w:bCs/>
              </w:rPr>
              <w:t xml:space="preserve"> x XX</w:t>
            </w:r>
          </w:p>
        </w:tc>
        <w:tc>
          <w:tcPr>
            <w:tcW w:w="1048" w:type="dxa"/>
            <w:vAlign w:val="center"/>
          </w:tcPr>
          <w:p w:rsidR="00F76433" w:rsidRPr="00F76433" w:rsidRDefault="00F76433" w:rsidP="00002050">
            <w:pPr>
              <w:spacing w:line="360" w:lineRule="auto"/>
              <w:jc w:val="center"/>
              <w:rPr>
                <w:bCs/>
              </w:rPr>
            </w:pPr>
          </w:p>
        </w:tc>
        <w:tc>
          <w:tcPr>
            <w:tcW w:w="1843" w:type="dxa"/>
            <w:vAlign w:val="center"/>
          </w:tcPr>
          <w:p w:rsidR="00F76433" w:rsidRPr="00F76433" w:rsidRDefault="00F76433" w:rsidP="00002050">
            <w:pPr>
              <w:spacing w:line="360" w:lineRule="auto"/>
              <w:jc w:val="center"/>
              <w:rPr>
                <w:bCs/>
              </w:rPr>
            </w:pPr>
          </w:p>
        </w:tc>
        <w:tc>
          <w:tcPr>
            <w:tcW w:w="1984" w:type="dxa"/>
            <w:vAlign w:val="center"/>
          </w:tcPr>
          <w:p w:rsidR="00F76433" w:rsidRPr="00F76433" w:rsidRDefault="00F76433" w:rsidP="00002050">
            <w:pPr>
              <w:spacing w:line="360" w:lineRule="auto"/>
              <w:jc w:val="center"/>
              <w:rPr>
                <w:bCs/>
              </w:rPr>
            </w:pPr>
          </w:p>
        </w:tc>
        <w:tc>
          <w:tcPr>
            <w:tcW w:w="1985" w:type="dxa"/>
            <w:vAlign w:val="center"/>
          </w:tcPr>
          <w:p w:rsidR="00F76433" w:rsidRPr="00F76433" w:rsidRDefault="00F76433" w:rsidP="00002050">
            <w:pPr>
              <w:spacing w:line="360" w:lineRule="auto"/>
              <w:jc w:val="center"/>
              <w:rPr>
                <w:bCs/>
              </w:rPr>
            </w:pP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[XO rare]</w:t>
            </w:r>
          </w:p>
        </w:tc>
        <w:tc>
          <w:tcPr>
            <w:tcW w:w="1048" w:type="dxa"/>
            <w:vAlign w:val="center"/>
          </w:tcPr>
          <w:p w:rsidR="00F76433" w:rsidRPr="00F76433" w:rsidRDefault="00F76433" w:rsidP="00002050">
            <w:pPr>
              <w:spacing w:line="360" w:lineRule="auto"/>
              <w:jc w:val="center"/>
              <w:rPr>
                <w:bCs/>
              </w:rPr>
            </w:pPr>
            <w:r w:rsidRPr="00F76433">
              <w:rPr>
                <w:bCs/>
              </w:rPr>
              <w:t>M or 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1</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XY</w:t>
            </w:r>
            <w:r w:rsidRPr="00F76433">
              <w:rPr>
                <w:bCs/>
                <w:vertAlign w:val="superscript"/>
              </w:rPr>
              <w:t>-</w:t>
            </w:r>
          </w:p>
        </w:tc>
        <w:tc>
          <w:tcPr>
            <w:tcW w:w="1048" w:type="dxa"/>
            <w:vAlign w:val="center"/>
          </w:tcPr>
          <w:p w:rsidR="00F76433" w:rsidRPr="00F76433" w:rsidRDefault="00F76433" w:rsidP="00002050">
            <w:pPr>
              <w:spacing w:line="360" w:lineRule="auto"/>
              <w:jc w:val="center"/>
              <w:rPr>
                <w:bCs/>
              </w:rPr>
            </w:pPr>
            <w:r w:rsidRPr="00F76433">
              <w:rPr>
                <w:bCs/>
              </w:rPr>
              <w:t>M or 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1</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XY*</w:t>
            </w:r>
            <w:r w:rsidRPr="00F76433">
              <w:rPr>
                <w:bCs/>
                <w:vertAlign w:val="superscript"/>
              </w:rPr>
              <w:t>X</w:t>
            </w:r>
          </w:p>
        </w:tc>
        <w:tc>
          <w:tcPr>
            <w:tcW w:w="1048" w:type="dxa"/>
            <w:vAlign w:val="center"/>
          </w:tcPr>
          <w:p w:rsidR="00F76433" w:rsidRPr="00F76433" w:rsidRDefault="00F76433" w:rsidP="00002050">
            <w:pPr>
              <w:spacing w:line="360" w:lineRule="auto"/>
              <w:jc w:val="center"/>
              <w:rPr>
                <w:bCs/>
              </w:rPr>
            </w:pPr>
            <w:r w:rsidRPr="00F76433">
              <w:rPr>
                <w:bCs/>
              </w:rPr>
              <w:t>M or 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rPr>
            </w:pPr>
            <w:r w:rsidRPr="00F76433">
              <w:rPr>
                <w:bCs/>
              </w:rPr>
              <w:t>XX</w:t>
            </w:r>
          </w:p>
        </w:tc>
        <w:tc>
          <w:tcPr>
            <w:tcW w:w="1048" w:type="dxa"/>
            <w:vAlign w:val="center"/>
          </w:tcPr>
          <w:p w:rsidR="00F76433" w:rsidRPr="00F76433" w:rsidRDefault="00F76433" w:rsidP="00002050">
            <w:pPr>
              <w:spacing w:line="360" w:lineRule="auto"/>
              <w:jc w:val="center"/>
              <w:rPr>
                <w:bCs/>
              </w:rPr>
            </w:pPr>
            <w:r w:rsidRPr="00F76433">
              <w:rPr>
                <w:bCs/>
              </w:rPr>
              <w:t>M or 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XXY*</w:t>
            </w:r>
            <w:r w:rsidRPr="00F76433">
              <w:rPr>
                <w:bCs/>
                <w:vertAlign w:val="superscript"/>
              </w:rPr>
              <w:t>X</w:t>
            </w:r>
          </w:p>
        </w:tc>
        <w:tc>
          <w:tcPr>
            <w:tcW w:w="1048" w:type="dxa"/>
            <w:vAlign w:val="center"/>
          </w:tcPr>
          <w:p w:rsidR="00F76433" w:rsidRPr="00F76433" w:rsidRDefault="00F76433" w:rsidP="00002050">
            <w:pPr>
              <w:spacing w:line="360" w:lineRule="auto"/>
              <w:jc w:val="center"/>
              <w:rPr>
                <w:bCs/>
              </w:rPr>
            </w:pPr>
            <w:r w:rsidRPr="00F76433">
              <w:rPr>
                <w:bCs/>
              </w:rPr>
              <w:t>M of 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3</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RP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XY</w:t>
            </w:r>
            <w:r w:rsidRPr="00F76433">
              <w:rPr>
                <w:bCs/>
                <w:vertAlign w:val="superscript"/>
              </w:rPr>
              <w:t>-</w:t>
            </w:r>
            <w:r w:rsidRPr="00F76433">
              <w:rPr>
                <w:bCs/>
              </w:rPr>
              <w:t>Y*</w:t>
            </w:r>
            <w:r w:rsidRPr="00F76433">
              <w:rPr>
                <w:bCs/>
                <w:vertAlign w:val="superscript"/>
              </w:rPr>
              <w:t>X</w:t>
            </w:r>
          </w:p>
        </w:tc>
        <w:tc>
          <w:tcPr>
            <w:tcW w:w="1048" w:type="dxa"/>
            <w:vAlign w:val="center"/>
          </w:tcPr>
          <w:p w:rsidR="00F76433" w:rsidRPr="00F76433" w:rsidRDefault="00F76433" w:rsidP="00002050">
            <w:pPr>
              <w:spacing w:line="360" w:lineRule="auto"/>
              <w:jc w:val="center"/>
              <w:rPr>
                <w:bCs/>
              </w:rPr>
            </w:pPr>
            <w:r w:rsidRPr="00F76433">
              <w:rPr>
                <w:bCs/>
              </w:rPr>
              <w:t>M or F</w:t>
            </w:r>
          </w:p>
        </w:tc>
        <w:tc>
          <w:tcPr>
            <w:tcW w:w="1843" w:type="dxa"/>
            <w:vAlign w:val="center"/>
          </w:tcPr>
          <w:p w:rsidR="00F76433" w:rsidRPr="00F76433" w:rsidRDefault="00F76433" w:rsidP="00002050">
            <w:pPr>
              <w:spacing w:line="360" w:lineRule="auto"/>
              <w:jc w:val="center"/>
              <w:rPr>
                <w:bCs/>
              </w:rPr>
            </w:pPr>
            <w:r w:rsidRPr="00F76433">
              <w:rPr>
                <w:bCs/>
              </w:rPr>
              <w:t>1</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Pr="00F76433" w:rsidRDefault="00F76433" w:rsidP="00002050">
            <w:pPr>
              <w:spacing w:line="360" w:lineRule="auto"/>
              <w:jc w:val="center"/>
              <w:rPr>
                <w:bCs/>
              </w:rPr>
            </w:pPr>
            <w:r w:rsidRPr="00F76433">
              <w:rPr>
                <w:bCs/>
              </w:rPr>
              <w:t>2</w:t>
            </w:r>
          </w:p>
        </w:tc>
      </w:tr>
      <w:tr w:rsidR="00F76433" w:rsidTr="00002050">
        <w:tc>
          <w:tcPr>
            <w:tcW w:w="2037" w:type="dxa"/>
            <w:vAlign w:val="center"/>
          </w:tcPr>
          <w:p w:rsidR="00F76433" w:rsidRPr="00F76433" w:rsidRDefault="00F76433" w:rsidP="00002050">
            <w:pPr>
              <w:spacing w:line="360" w:lineRule="auto"/>
              <w:jc w:val="center"/>
              <w:rPr>
                <w:bCs/>
                <w:vertAlign w:val="superscript"/>
              </w:rPr>
            </w:pPr>
            <w:r w:rsidRPr="00F76433">
              <w:rPr>
                <w:bCs/>
              </w:rPr>
              <w:t>XXY</w:t>
            </w:r>
            <w:r w:rsidRPr="00F76433">
              <w:rPr>
                <w:bCs/>
                <w:vertAlign w:val="superscript"/>
              </w:rPr>
              <w:t>-</w:t>
            </w:r>
          </w:p>
        </w:tc>
        <w:tc>
          <w:tcPr>
            <w:tcW w:w="1048" w:type="dxa"/>
            <w:vAlign w:val="center"/>
          </w:tcPr>
          <w:p w:rsidR="00F76433" w:rsidRPr="00F76433" w:rsidRDefault="00F76433" w:rsidP="00002050">
            <w:pPr>
              <w:spacing w:line="360" w:lineRule="auto"/>
              <w:jc w:val="center"/>
              <w:rPr>
                <w:bCs/>
              </w:rPr>
            </w:pPr>
            <w:r w:rsidRPr="00F76433">
              <w:rPr>
                <w:bCs/>
              </w:rPr>
              <w:t>M or F</w:t>
            </w:r>
          </w:p>
        </w:tc>
        <w:tc>
          <w:tcPr>
            <w:tcW w:w="1843" w:type="dxa"/>
            <w:vAlign w:val="center"/>
          </w:tcPr>
          <w:p w:rsidR="00F76433" w:rsidRPr="00F76433" w:rsidRDefault="00F76433" w:rsidP="00002050">
            <w:pPr>
              <w:spacing w:line="360" w:lineRule="auto"/>
              <w:jc w:val="center"/>
              <w:rPr>
                <w:bCs/>
              </w:rPr>
            </w:pPr>
            <w:r w:rsidRPr="00F76433">
              <w:rPr>
                <w:bCs/>
              </w:rPr>
              <w:t>2</w:t>
            </w:r>
          </w:p>
        </w:tc>
        <w:tc>
          <w:tcPr>
            <w:tcW w:w="1984" w:type="dxa"/>
            <w:vAlign w:val="center"/>
          </w:tcPr>
          <w:p w:rsidR="00F76433" w:rsidRPr="00F76433" w:rsidRDefault="00F76433" w:rsidP="00002050">
            <w:pPr>
              <w:spacing w:line="360" w:lineRule="auto"/>
              <w:jc w:val="center"/>
              <w:rPr>
                <w:bCs/>
              </w:rPr>
            </w:pPr>
            <w:r w:rsidRPr="00F76433">
              <w:rPr>
                <w:bCs/>
              </w:rPr>
              <w:t>2</w:t>
            </w:r>
          </w:p>
        </w:tc>
        <w:tc>
          <w:tcPr>
            <w:tcW w:w="1985" w:type="dxa"/>
            <w:vAlign w:val="center"/>
          </w:tcPr>
          <w:p w:rsidR="00F76433" w:rsidRDefault="00F76433" w:rsidP="00002050">
            <w:pPr>
              <w:spacing w:line="360" w:lineRule="auto"/>
              <w:jc w:val="center"/>
              <w:rPr>
                <w:bCs/>
              </w:rPr>
            </w:pPr>
            <w:r w:rsidRPr="00F76433">
              <w:rPr>
                <w:bCs/>
              </w:rPr>
              <w:t>2</w:t>
            </w:r>
          </w:p>
        </w:tc>
      </w:tr>
    </w:tbl>
    <w:p w:rsidR="004375B8" w:rsidRDefault="004375B8" w:rsidP="00883A6E"/>
    <w:sectPr w:rsidR="004375B8" w:rsidSect="00437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75A6"/>
    <w:multiLevelType w:val="hybridMultilevel"/>
    <w:tmpl w:val="2A8ED348"/>
    <w:lvl w:ilvl="0" w:tplc="BC4E88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F76433"/>
    <w:rsid w:val="00014289"/>
    <w:rsid w:val="00030D49"/>
    <w:rsid w:val="00036D97"/>
    <w:rsid w:val="000941C2"/>
    <w:rsid w:val="000B1A63"/>
    <w:rsid w:val="000D1588"/>
    <w:rsid w:val="00181272"/>
    <w:rsid w:val="001E1735"/>
    <w:rsid w:val="00253D37"/>
    <w:rsid w:val="003C15AA"/>
    <w:rsid w:val="003E3FDA"/>
    <w:rsid w:val="0041233B"/>
    <w:rsid w:val="004375B8"/>
    <w:rsid w:val="00507BC7"/>
    <w:rsid w:val="00615FF3"/>
    <w:rsid w:val="006643E4"/>
    <w:rsid w:val="00714056"/>
    <w:rsid w:val="0072520B"/>
    <w:rsid w:val="00765586"/>
    <w:rsid w:val="007D336C"/>
    <w:rsid w:val="00863B6A"/>
    <w:rsid w:val="00883A6E"/>
    <w:rsid w:val="008F1843"/>
    <w:rsid w:val="009712F4"/>
    <w:rsid w:val="00A331F6"/>
    <w:rsid w:val="00A80052"/>
    <w:rsid w:val="00AC215F"/>
    <w:rsid w:val="00AC7517"/>
    <w:rsid w:val="00B45585"/>
    <w:rsid w:val="00B77C6A"/>
    <w:rsid w:val="00BD3127"/>
    <w:rsid w:val="00BE4A7B"/>
    <w:rsid w:val="00C5492A"/>
    <w:rsid w:val="00C96AEF"/>
    <w:rsid w:val="00D20140"/>
    <w:rsid w:val="00DC5E28"/>
    <w:rsid w:val="00F76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33"/>
    <w:pPr>
      <w:spacing w:after="0" w:line="240" w:lineRule="auto"/>
      <w:ind w:left="720"/>
    </w:pPr>
    <w:rPr>
      <w:rFonts w:ascii="Arial" w:hAnsi="Arial" w:cs="Arial"/>
    </w:rPr>
  </w:style>
  <w:style w:type="table" w:styleId="TableGrid">
    <w:name w:val="Table Grid"/>
    <w:basedOn w:val="TableNormal"/>
    <w:rsid w:val="00F76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E28"/>
    <w:rPr>
      <w:rFonts w:ascii="Tahoma" w:hAnsi="Tahoma" w:cs="Tahoma"/>
      <w:sz w:val="16"/>
      <w:szCs w:val="16"/>
    </w:rPr>
  </w:style>
  <w:style w:type="paragraph" w:styleId="Caption">
    <w:name w:val="caption"/>
    <w:basedOn w:val="Normal"/>
    <w:next w:val="Normal"/>
    <w:uiPriority w:val="35"/>
    <w:unhideWhenUsed/>
    <w:qFormat/>
    <w:rsid w:val="00DC5E28"/>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33"/>
    <w:pPr>
      <w:spacing w:after="0" w:line="240" w:lineRule="auto"/>
      <w:ind w:left="720"/>
    </w:pPr>
    <w:rPr>
      <w:rFonts w:ascii="Arial" w:hAnsi="Arial" w:cs="Arial"/>
    </w:rPr>
  </w:style>
  <w:style w:type="table" w:styleId="TableGrid">
    <w:name w:val="Table Grid"/>
    <w:basedOn w:val="TableNormal"/>
    <w:rsid w:val="00F76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E28"/>
    <w:rPr>
      <w:rFonts w:ascii="Tahoma" w:hAnsi="Tahoma" w:cs="Tahoma"/>
      <w:sz w:val="16"/>
      <w:szCs w:val="16"/>
    </w:rPr>
  </w:style>
  <w:style w:type="paragraph" w:styleId="Caption">
    <w:name w:val="caption"/>
    <w:basedOn w:val="Normal"/>
    <w:next w:val="Normal"/>
    <w:uiPriority w:val="35"/>
    <w:unhideWhenUsed/>
    <w:qFormat/>
    <w:rsid w:val="00DC5E28"/>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2618</Words>
  <Characters>14928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GSABORDO</dc:creator>
  <cp:lastModifiedBy>Agir, Junalie</cp:lastModifiedBy>
  <cp:revision>13</cp:revision>
  <dcterms:created xsi:type="dcterms:W3CDTF">2016-11-19T21:27:00Z</dcterms:created>
  <dcterms:modified xsi:type="dcterms:W3CDTF">2016-11-26T00:46:00Z</dcterms:modified>
</cp:coreProperties>
</file>