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65A" w:rsidRPr="0006210C" w:rsidRDefault="002A665A" w:rsidP="002A665A">
      <w:pPr>
        <w:spacing w:line="360" w:lineRule="auto"/>
        <w:rPr>
          <w:rFonts w:ascii="Arial" w:hAnsi="Arial" w:cs="Arial"/>
          <w:b/>
          <w:sz w:val="22"/>
          <w:szCs w:val="20"/>
          <w:u w:val="single"/>
        </w:rPr>
      </w:pPr>
      <w:r w:rsidRPr="0006210C">
        <w:rPr>
          <w:rFonts w:ascii="Arial" w:hAnsi="Arial" w:cs="Arial" w:hint="eastAsia"/>
          <w:b/>
          <w:sz w:val="22"/>
          <w:szCs w:val="20"/>
          <w:u w:val="single"/>
        </w:rPr>
        <w:t>Su</w:t>
      </w:r>
      <w:r w:rsidRPr="0006210C">
        <w:rPr>
          <w:rFonts w:ascii="Arial" w:hAnsi="Arial" w:cs="Arial"/>
          <w:b/>
          <w:sz w:val="22"/>
          <w:szCs w:val="20"/>
          <w:u w:val="single"/>
        </w:rPr>
        <w:t>pplemental figures</w:t>
      </w:r>
    </w:p>
    <w:p w:rsidR="00602580" w:rsidRDefault="00C812F3" w:rsidP="00602580">
      <w:pPr>
        <w:spacing w:line="360" w:lineRule="auto"/>
        <w:rPr>
          <w:rFonts w:ascii="Arial" w:hAnsi="Arial" w:cs="Arial"/>
          <w:color w:val="2E2E2E"/>
          <w:szCs w:val="20"/>
        </w:rPr>
      </w:pPr>
      <w:r>
        <w:rPr>
          <w:rFonts w:ascii="Arial" w:hAnsi="Arial" w:cs="Arial"/>
          <w:noProof/>
          <w:color w:val="2E2E2E"/>
          <w:szCs w:val="20"/>
        </w:rPr>
        <w:drawing>
          <wp:inline distT="0" distB="0" distL="0" distR="0">
            <wp:extent cx="1271016" cy="1271016"/>
            <wp:effectExtent l="0" t="0" r="571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1 IgG control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016" cy="127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580" w:rsidRPr="00602580" w:rsidRDefault="00602580" w:rsidP="00602580">
      <w:pPr>
        <w:spacing w:line="360" w:lineRule="auto"/>
        <w:rPr>
          <w:rFonts w:ascii="Arial" w:hAnsi="Arial" w:cs="Arial"/>
          <w:b/>
          <w:color w:val="2E2E2E"/>
          <w:szCs w:val="20"/>
        </w:rPr>
      </w:pPr>
      <w:r w:rsidRPr="00602580">
        <w:rPr>
          <w:rFonts w:ascii="Arial" w:hAnsi="Arial" w:cs="Arial" w:hint="eastAsia"/>
          <w:b/>
          <w:color w:val="2E2E2E"/>
          <w:szCs w:val="20"/>
        </w:rPr>
        <w:t>Figure S</w:t>
      </w:r>
      <w:r w:rsidRPr="00602580">
        <w:rPr>
          <w:rFonts w:ascii="Arial" w:hAnsi="Arial" w:cs="Arial"/>
          <w:b/>
          <w:color w:val="2E2E2E"/>
          <w:szCs w:val="20"/>
        </w:rPr>
        <w:t>1</w:t>
      </w:r>
      <w:r w:rsidRPr="00602580">
        <w:rPr>
          <w:rFonts w:ascii="Arial" w:hAnsi="Arial" w:cs="Arial" w:hint="eastAsia"/>
          <w:b/>
          <w:color w:val="2E2E2E"/>
          <w:szCs w:val="20"/>
        </w:rPr>
        <w:t>. Negative controls</w:t>
      </w:r>
      <w:r w:rsidRPr="00602580">
        <w:rPr>
          <w:rFonts w:ascii="Arial" w:hAnsi="Arial" w:cs="Arial"/>
          <w:b/>
          <w:color w:val="2E2E2E"/>
          <w:szCs w:val="20"/>
        </w:rPr>
        <w:t xml:space="preserve"> used for UCP1 immunostaining in Figure 1C. </w:t>
      </w:r>
    </w:p>
    <w:p w:rsidR="00602580" w:rsidRDefault="00602580" w:rsidP="00602580">
      <w:pPr>
        <w:spacing w:line="360" w:lineRule="auto"/>
        <w:rPr>
          <w:rFonts w:ascii="Arial" w:hAnsi="Arial" w:cs="Arial"/>
          <w:color w:val="2E2E2E"/>
          <w:szCs w:val="20"/>
        </w:rPr>
      </w:pPr>
      <w:r>
        <w:rPr>
          <w:rFonts w:ascii="Arial" w:hAnsi="Arial" w:cs="Arial"/>
          <w:color w:val="2E2E2E"/>
          <w:szCs w:val="20"/>
        </w:rPr>
        <w:t>N</w:t>
      </w:r>
      <w:r>
        <w:rPr>
          <w:rFonts w:ascii="Arial" w:hAnsi="Arial" w:cs="Arial" w:hint="eastAsia"/>
          <w:color w:val="2E2E2E"/>
          <w:szCs w:val="20"/>
        </w:rPr>
        <w:t>ormal rabbit IgG</w:t>
      </w:r>
      <w:r>
        <w:rPr>
          <w:rFonts w:ascii="Arial" w:hAnsi="Arial" w:cs="Arial"/>
          <w:color w:val="2E2E2E"/>
          <w:szCs w:val="20"/>
        </w:rPr>
        <w:t xml:space="preserve"> controls were used for negative controls for UCP1 immunostaining in Figure 1C. </w:t>
      </w:r>
      <w:r w:rsidR="004A05E8">
        <w:rPr>
          <w:rFonts w:ascii="Arial" w:hAnsi="Arial" w:cs="Arial"/>
          <w:color w:val="2E2E2E"/>
          <w:szCs w:val="20"/>
        </w:rPr>
        <w:t>Nuclei</w:t>
      </w:r>
      <w:r>
        <w:rPr>
          <w:rFonts w:ascii="Arial" w:hAnsi="Arial" w:cs="Arial"/>
          <w:color w:val="2E2E2E"/>
          <w:szCs w:val="20"/>
        </w:rPr>
        <w:t xml:space="preserve"> counterstained with DAPI.</w:t>
      </w:r>
    </w:p>
    <w:p w:rsidR="002A665A" w:rsidRPr="00602580" w:rsidRDefault="002A665A" w:rsidP="002A665A">
      <w:pPr>
        <w:spacing w:line="360" w:lineRule="auto"/>
        <w:rPr>
          <w:rFonts w:ascii="Arial" w:hAnsi="Arial" w:cs="Arial"/>
          <w:szCs w:val="20"/>
        </w:rPr>
      </w:pPr>
    </w:p>
    <w:p w:rsidR="002A665A" w:rsidRDefault="002A665A" w:rsidP="002A665A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Cs w:val="20"/>
        </w:rPr>
        <w:drawing>
          <wp:inline distT="0" distB="0" distL="0" distR="0" wp14:anchorId="1673F827" wp14:editId="7A03B3FA">
            <wp:extent cx="5731510" cy="1611630"/>
            <wp:effectExtent l="0" t="0" r="254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65A" w:rsidRDefault="002A665A" w:rsidP="002A665A">
      <w:pPr>
        <w:spacing w:line="360" w:lineRule="auto"/>
        <w:rPr>
          <w:rFonts w:ascii="Arial" w:hAnsi="Arial" w:cs="Arial"/>
          <w:color w:val="000000" w:themeColor="text1"/>
          <w:szCs w:val="20"/>
        </w:rPr>
      </w:pPr>
      <w:r>
        <w:rPr>
          <w:rFonts w:ascii="Arial" w:hAnsi="Arial" w:cs="Arial"/>
          <w:b/>
          <w:color w:val="000000" w:themeColor="text1"/>
          <w:szCs w:val="20"/>
        </w:rPr>
        <w:t>Figure S</w:t>
      </w:r>
      <w:r w:rsidR="00602580">
        <w:rPr>
          <w:rFonts w:ascii="Arial" w:hAnsi="Arial" w:cs="Arial"/>
          <w:b/>
          <w:color w:val="000000" w:themeColor="text1"/>
          <w:szCs w:val="20"/>
        </w:rPr>
        <w:t>2</w:t>
      </w:r>
      <w:r>
        <w:rPr>
          <w:rFonts w:ascii="Arial" w:hAnsi="Arial" w:cs="Arial"/>
          <w:b/>
          <w:color w:val="000000" w:themeColor="text1"/>
          <w:szCs w:val="20"/>
        </w:rPr>
        <w:t>.</w:t>
      </w:r>
      <w:r w:rsidRPr="00E20F38">
        <w:rPr>
          <w:rFonts w:ascii="Arial" w:hAnsi="Arial" w:cs="Arial"/>
          <w:b/>
          <w:color w:val="000000" w:themeColor="text1"/>
          <w:szCs w:val="20"/>
        </w:rPr>
        <w:t xml:space="preserve"> No differences in the induction of brown adipocyte markers in adipocytes </w:t>
      </w:r>
      <w:r>
        <w:rPr>
          <w:rFonts w:ascii="Arial" w:hAnsi="Arial" w:cs="Arial"/>
          <w:b/>
          <w:color w:val="000000" w:themeColor="text1"/>
          <w:szCs w:val="20"/>
        </w:rPr>
        <w:t xml:space="preserve">derived </w:t>
      </w:r>
      <w:r w:rsidRPr="00E20F38">
        <w:rPr>
          <w:rFonts w:ascii="Arial" w:hAnsi="Arial" w:cs="Arial"/>
          <w:b/>
          <w:color w:val="000000" w:themeColor="text1"/>
          <w:szCs w:val="20"/>
        </w:rPr>
        <w:t xml:space="preserve">from </w:t>
      </w:r>
      <w:proofErr w:type="spellStart"/>
      <w:r>
        <w:rPr>
          <w:rFonts w:ascii="Arial" w:hAnsi="Arial" w:cs="Arial"/>
          <w:b/>
          <w:color w:val="000000" w:themeColor="text1"/>
          <w:szCs w:val="20"/>
        </w:rPr>
        <w:t>gWAT</w:t>
      </w:r>
      <w:proofErr w:type="spellEnd"/>
      <w:r>
        <w:rPr>
          <w:rFonts w:ascii="Arial" w:hAnsi="Arial" w:cs="Arial"/>
          <w:b/>
          <w:color w:val="000000" w:themeColor="text1"/>
          <w:szCs w:val="20"/>
        </w:rPr>
        <w:t xml:space="preserve"> of </w:t>
      </w:r>
      <w:r w:rsidRPr="00E20F38">
        <w:rPr>
          <w:rFonts w:ascii="Arial" w:hAnsi="Arial" w:cs="Arial"/>
          <w:b/>
          <w:color w:val="000000" w:themeColor="text1"/>
          <w:szCs w:val="20"/>
        </w:rPr>
        <w:t>male and female</w:t>
      </w:r>
      <w:r>
        <w:rPr>
          <w:rFonts w:ascii="Arial" w:hAnsi="Arial" w:cs="Arial"/>
          <w:b/>
          <w:color w:val="000000" w:themeColor="text1"/>
          <w:szCs w:val="20"/>
        </w:rPr>
        <w:t xml:space="preserve"> mice</w:t>
      </w:r>
      <w:r w:rsidRPr="00E20F38">
        <w:rPr>
          <w:rFonts w:ascii="Arial" w:hAnsi="Arial" w:cs="Arial"/>
          <w:color w:val="000000" w:themeColor="text1"/>
          <w:szCs w:val="20"/>
        </w:rPr>
        <w:t xml:space="preserve">. </w:t>
      </w:r>
    </w:p>
    <w:p w:rsidR="002A665A" w:rsidRPr="00E20F38" w:rsidRDefault="002A665A" w:rsidP="002A665A">
      <w:pPr>
        <w:spacing w:line="360" w:lineRule="auto"/>
        <w:rPr>
          <w:rFonts w:ascii="Arial" w:hAnsi="Arial" w:cs="Arial"/>
          <w:color w:val="000000" w:themeColor="text1"/>
          <w:szCs w:val="20"/>
        </w:rPr>
      </w:pPr>
      <w:proofErr w:type="gramStart"/>
      <w:r w:rsidRPr="00E20F38">
        <w:rPr>
          <w:rFonts w:ascii="Arial" w:hAnsi="Arial" w:cs="Arial"/>
          <w:color w:val="000000" w:themeColor="text1"/>
          <w:szCs w:val="20"/>
        </w:rPr>
        <w:t>qPCR</w:t>
      </w:r>
      <w:proofErr w:type="gramEnd"/>
      <w:r w:rsidRPr="00E20F38">
        <w:rPr>
          <w:rFonts w:ascii="Arial" w:hAnsi="Arial" w:cs="Arial"/>
          <w:color w:val="000000" w:themeColor="text1"/>
          <w:szCs w:val="20"/>
        </w:rPr>
        <w:t xml:space="preserve"> analysis of brown adipocyte markers in differentiated adipocytes from PDGFR</w:t>
      </w:r>
      <w:r>
        <w:rPr>
          <w:rFonts w:ascii="Arial" w:hAnsi="Arial" w:cs="Arial"/>
          <w:color w:val="000000" w:themeColor="text1"/>
          <w:szCs w:val="20"/>
        </w:rPr>
        <w:sym w:font="Symbol" w:char="F061"/>
      </w:r>
      <w:r w:rsidRPr="00E20F38">
        <w:rPr>
          <w:rFonts w:ascii="Arial" w:hAnsi="Arial" w:cs="Arial"/>
          <w:color w:val="000000" w:themeColor="text1"/>
          <w:szCs w:val="20"/>
        </w:rPr>
        <w:t xml:space="preserve">+ cells obtained from </w:t>
      </w:r>
      <w:proofErr w:type="spellStart"/>
      <w:r w:rsidRPr="00E20F38">
        <w:rPr>
          <w:rFonts w:ascii="Arial" w:hAnsi="Arial" w:cs="Arial"/>
          <w:color w:val="000000" w:themeColor="text1"/>
          <w:szCs w:val="20"/>
        </w:rPr>
        <w:t>gWAT</w:t>
      </w:r>
      <w:proofErr w:type="spellEnd"/>
      <w:r w:rsidRPr="00E20F38">
        <w:rPr>
          <w:rFonts w:ascii="Arial" w:hAnsi="Arial" w:cs="Arial"/>
          <w:color w:val="000000" w:themeColor="text1"/>
          <w:szCs w:val="20"/>
        </w:rPr>
        <w:t xml:space="preserve"> of male and female mice. </w:t>
      </w:r>
      <w:r>
        <w:rPr>
          <w:rFonts w:ascii="Arial" w:hAnsi="Arial" w:cs="Arial"/>
          <w:color w:val="000000" w:themeColor="text1"/>
          <w:szCs w:val="20"/>
        </w:rPr>
        <w:t>Primary cultured adipocytes were t</w:t>
      </w:r>
      <w:r w:rsidRPr="00E20F38">
        <w:rPr>
          <w:rFonts w:ascii="Arial" w:hAnsi="Arial" w:cs="Arial"/>
          <w:color w:val="000000" w:themeColor="text1"/>
          <w:szCs w:val="20"/>
        </w:rPr>
        <w:t xml:space="preserve">reated with </w:t>
      </w:r>
      <w:r>
        <w:rPr>
          <w:rFonts w:ascii="Arial" w:hAnsi="Arial" w:cs="Arial"/>
          <w:color w:val="000000" w:themeColor="text1"/>
          <w:szCs w:val="20"/>
        </w:rPr>
        <w:t xml:space="preserve">10 </w:t>
      </w:r>
      <w:r>
        <w:rPr>
          <w:rFonts w:ascii="Arial" w:hAnsi="Arial" w:cs="Arial"/>
          <w:color w:val="000000" w:themeColor="text1"/>
          <w:szCs w:val="20"/>
        </w:rPr>
        <w:sym w:font="Symbol" w:char="F06D"/>
      </w:r>
      <w:r>
        <w:rPr>
          <w:rFonts w:ascii="Arial" w:hAnsi="Arial" w:cs="Arial"/>
          <w:color w:val="000000" w:themeColor="text1"/>
          <w:szCs w:val="20"/>
        </w:rPr>
        <w:t>M i</w:t>
      </w:r>
      <w:r w:rsidRPr="00E20F38">
        <w:rPr>
          <w:rFonts w:ascii="Arial" w:hAnsi="Arial" w:cs="Arial"/>
          <w:color w:val="000000" w:themeColor="text1"/>
          <w:szCs w:val="20"/>
        </w:rPr>
        <w:t xml:space="preserve">soproterenol </w:t>
      </w:r>
      <w:r>
        <w:rPr>
          <w:rFonts w:ascii="Arial" w:hAnsi="Arial" w:cs="Arial"/>
          <w:color w:val="000000" w:themeColor="text1"/>
          <w:szCs w:val="20"/>
        </w:rPr>
        <w:t>(</w:t>
      </w:r>
      <w:proofErr w:type="spellStart"/>
      <w:r>
        <w:rPr>
          <w:rFonts w:ascii="Arial" w:hAnsi="Arial" w:cs="Arial"/>
          <w:color w:val="000000" w:themeColor="text1"/>
          <w:szCs w:val="20"/>
        </w:rPr>
        <w:t>Iso</w:t>
      </w:r>
      <w:proofErr w:type="spellEnd"/>
      <w:r>
        <w:rPr>
          <w:rFonts w:ascii="Arial" w:hAnsi="Arial" w:cs="Arial"/>
          <w:color w:val="000000" w:themeColor="text1"/>
          <w:szCs w:val="20"/>
        </w:rPr>
        <w:t xml:space="preserve">) </w:t>
      </w:r>
      <w:r w:rsidRPr="00E20F38">
        <w:rPr>
          <w:rFonts w:ascii="Arial" w:hAnsi="Arial" w:cs="Arial"/>
          <w:color w:val="000000" w:themeColor="text1"/>
          <w:szCs w:val="20"/>
        </w:rPr>
        <w:t>or vehicle for 1 day</w:t>
      </w:r>
      <w:r>
        <w:rPr>
          <w:rFonts w:ascii="Arial" w:hAnsi="Arial" w:cs="Arial"/>
          <w:color w:val="000000" w:themeColor="text1"/>
          <w:szCs w:val="20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Cs w:val="20"/>
        </w:rPr>
        <w:t>For</w:t>
      </w:r>
      <w:proofErr w:type="gramEnd"/>
      <w:r>
        <w:rPr>
          <w:rFonts w:ascii="Arial" w:hAnsi="Arial" w:cs="Arial"/>
          <w:color w:val="000000" w:themeColor="text1"/>
          <w:szCs w:val="20"/>
        </w:rPr>
        <w:t xml:space="preserve"> adrenergic stimulation, isoproterenol was used</w:t>
      </w:r>
      <w:r w:rsidRPr="00E20F38">
        <w:rPr>
          <w:rFonts w:ascii="Arial" w:hAnsi="Arial" w:cs="Arial"/>
          <w:color w:val="000000" w:themeColor="text1"/>
          <w:szCs w:val="20"/>
        </w:rPr>
        <w:t>. (</w:t>
      </w:r>
      <w:proofErr w:type="gramStart"/>
      <w:r w:rsidRPr="00E20F38">
        <w:rPr>
          <w:rFonts w:ascii="Arial" w:hAnsi="Arial" w:cs="Arial"/>
          <w:color w:val="000000" w:themeColor="text1"/>
          <w:szCs w:val="20"/>
        </w:rPr>
        <w:t>mean</w:t>
      </w:r>
      <w:proofErr w:type="gramEnd"/>
      <w:r w:rsidRPr="00E20F38">
        <w:rPr>
          <w:rFonts w:ascii="Arial" w:hAnsi="Arial" w:cs="Arial"/>
          <w:color w:val="000000" w:themeColor="text1"/>
          <w:szCs w:val="20"/>
        </w:rPr>
        <w:t xml:space="preserve"> ± SEM; n=4)</w:t>
      </w:r>
    </w:p>
    <w:p w:rsidR="002A665A" w:rsidRDefault="002A665A" w:rsidP="002A665A">
      <w:pPr>
        <w:spacing w:line="360" w:lineRule="auto"/>
        <w:rPr>
          <w:rFonts w:ascii="Arial" w:hAnsi="Arial" w:cs="Arial"/>
          <w:szCs w:val="20"/>
        </w:rPr>
      </w:pPr>
    </w:p>
    <w:p w:rsidR="002A665A" w:rsidRDefault="002A665A" w:rsidP="002A665A">
      <w:pPr>
        <w:spacing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Cs w:val="20"/>
        </w:rPr>
        <w:lastRenderedPageBreak/>
        <w:drawing>
          <wp:inline distT="0" distB="0" distL="0" distR="0" wp14:anchorId="7B1C666B" wp14:editId="0B920698">
            <wp:extent cx="4972050" cy="3212877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 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957" cy="322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65A" w:rsidRPr="00585505" w:rsidRDefault="002A665A" w:rsidP="002A665A">
      <w:pPr>
        <w:rPr>
          <w:rFonts w:ascii="Arial" w:hAnsi="Arial" w:cs="Arial"/>
          <w:color w:val="000000" w:themeColor="text1"/>
          <w:szCs w:val="20"/>
        </w:rPr>
      </w:pPr>
      <w:r w:rsidRPr="0006210C">
        <w:rPr>
          <w:rFonts w:ascii="Arial" w:hAnsi="Arial" w:cs="Arial"/>
          <w:b/>
          <w:szCs w:val="20"/>
        </w:rPr>
        <w:t xml:space="preserve">Figure </w:t>
      </w:r>
      <w:r w:rsidRPr="0006210C">
        <w:rPr>
          <w:rFonts w:ascii="Arial" w:hAnsi="Arial" w:cs="Arial" w:hint="eastAsia"/>
          <w:b/>
          <w:szCs w:val="20"/>
        </w:rPr>
        <w:t>S</w:t>
      </w:r>
      <w:r w:rsidR="00602580">
        <w:rPr>
          <w:rFonts w:ascii="Arial" w:hAnsi="Arial" w:cs="Arial"/>
          <w:b/>
          <w:szCs w:val="20"/>
        </w:rPr>
        <w:t>3</w:t>
      </w:r>
      <w:r w:rsidRPr="0006210C">
        <w:rPr>
          <w:rFonts w:ascii="Arial" w:hAnsi="Arial" w:cs="Arial" w:hint="eastAsia"/>
          <w:b/>
          <w:szCs w:val="20"/>
        </w:rPr>
        <w:t>.</w:t>
      </w:r>
      <w:r w:rsidRPr="0006210C">
        <w:rPr>
          <w:rFonts w:hint="eastAsia"/>
          <w:b/>
        </w:rPr>
        <w:t xml:space="preserve"> </w:t>
      </w:r>
      <w:r w:rsidRPr="0006210C">
        <w:rPr>
          <w:b/>
        </w:rPr>
        <w:t>A</w:t>
      </w:r>
      <w:r w:rsidRPr="0006210C">
        <w:rPr>
          <w:rFonts w:ascii="Arial" w:hAnsi="Arial" w:cs="Arial"/>
          <w:b/>
          <w:color w:val="000000" w:themeColor="text1"/>
          <w:szCs w:val="20"/>
        </w:rPr>
        <w:t xml:space="preserve">ctivation of TG hydrolase in </w:t>
      </w:r>
      <w:proofErr w:type="spellStart"/>
      <w:r w:rsidRPr="0006210C">
        <w:rPr>
          <w:rFonts w:ascii="Arial" w:hAnsi="Arial" w:cs="Arial"/>
          <w:b/>
          <w:color w:val="000000" w:themeColor="text1"/>
          <w:szCs w:val="20"/>
        </w:rPr>
        <w:t>iWAT</w:t>
      </w:r>
      <w:proofErr w:type="spellEnd"/>
      <w:r w:rsidRPr="0006210C">
        <w:rPr>
          <w:rFonts w:ascii="Arial" w:hAnsi="Arial" w:cs="Arial"/>
          <w:b/>
          <w:color w:val="000000" w:themeColor="text1"/>
          <w:szCs w:val="20"/>
        </w:rPr>
        <w:t xml:space="preserve"> during </w:t>
      </w:r>
      <w:r w:rsidRPr="0006210C">
        <w:rPr>
          <w:rFonts w:ascii="Arial" w:hAnsi="Arial" w:cs="Arial"/>
          <w:b/>
          <w:color w:val="000000" w:themeColor="text1"/>
          <w:szCs w:val="20"/>
        </w:rPr>
        <w:sym w:font="Symbol" w:char="F062"/>
      </w:r>
      <w:r w:rsidRPr="0006210C">
        <w:rPr>
          <w:rFonts w:ascii="Arial" w:hAnsi="Arial" w:cs="Arial"/>
          <w:b/>
          <w:color w:val="000000" w:themeColor="text1"/>
          <w:szCs w:val="20"/>
        </w:rPr>
        <w:t>3-adrenergic receptor activation.</w:t>
      </w:r>
      <w:r>
        <w:rPr>
          <w:rFonts w:ascii="Arial" w:hAnsi="Arial" w:cs="Arial"/>
          <w:b/>
          <w:color w:val="000000" w:themeColor="text1"/>
          <w:szCs w:val="20"/>
        </w:rPr>
        <w:t xml:space="preserve"> I</w:t>
      </w:r>
      <w:r>
        <w:rPr>
          <w:rFonts w:ascii="Arial" w:hAnsi="Arial" w:cs="Arial"/>
          <w:color w:val="000000" w:themeColor="text1"/>
          <w:szCs w:val="20"/>
        </w:rPr>
        <w:t>mmunoblot analysis of</w:t>
      </w:r>
      <w:r w:rsidRPr="00722334">
        <w:rPr>
          <w:rFonts w:ascii="Arial" w:hAnsi="Arial" w:cs="Arial"/>
          <w:color w:val="000000" w:themeColor="text1"/>
          <w:szCs w:val="20"/>
        </w:rPr>
        <w:t xml:space="preserve"> </w:t>
      </w:r>
      <w:r>
        <w:rPr>
          <w:rFonts w:ascii="Arial" w:hAnsi="Arial" w:cs="Arial"/>
          <w:color w:val="000000" w:themeColor="text1"/>
          <w:szCs w:val="20"/>
        </w:rPr>
        <w:t xml:space="preserve">HSL and p-HSL in </w:t>
      </w:r>
      <w:proofErr w:type="spellStart"/>
      <w:r>
        <w:rPr>
          <w:rFonts w:ascii="Arial" w:hAnsi="Arial" w:cs="Arial" w:hint="eastAsia"/>
          <w:color w:val="000000" w:themeColor="text1"/>
          <w:szCs w:val="20"/>
        </w:rPr>
        <w:t>iWAT</w:t>
      </w:r>
      <w:proofErr w:type="spellEnd"/>
      <w:r>
        <w:rPr>
          <w:rFonts w:ascii="Arial" w:hAnsi="Arial" w:cs="Arial"/>
          <w:color w:val="000000" w:themeColor="text1"/>
          <w:szCs w:val="20"/>
        </w:rPr>
        <w:t xml:space="preserve"> of mice treated with CL for 4h or 3 days and untreated controls. </w:t>
      </w:r>
      <w:r w:rsidRPr="00E20F38">
        <w:rPr>
          <w:rFonts w:ascii="Arial" w:hAnsi="Arial" w:cs="Arial"/>
          <w:color w:val="000000" w:themeColor="text1"/>
          <w:szCs w:val="20"/>
        </w:rPr>
        <w:t>(</w:t>
      </w:r>
      <w:proofErr w:type="gramStart"/>
      <w:r w:rsidRPr="00E20F38">
        <w:rPr>
          <w:rFonts w:ascii="Arial" w:hAnsi="Arial" w:cs="Arial"/>
          <w:color w:val="000000" w:themeColor="text1"/>
          <w:szCs w:val="20"/>
        </w:rPr>
        <w:t>mean</w:t>
      </w:r>
      <w:proofErr w:type="gramEnd"/>
      <w:r w:rsidRPr="00E20F38">
        <w:rPr>
          <w:rFonts w:ascii="Arial" w:hAnsi="Arial" w:cs="Arial"/>
          <w:color w:val="000000" w:themeColor="text1"/>
          <w:szCs w:val="20"/>
        </w:rPr>
        <w:t xml:space="preserve"> ± SEM; n=4)</w:t>
      </w:r>
    </w:p>
    <w:p w:rsidR="002A665A" w:rsidRDefault="002A665A" w:rsidP="002A665A">
      <w:pPr>
        <w:spacing w:line="360" w:lineRule="auto"/>
        <w:rPr>
          <w:rFonts w:ascii="Arial" w:hAnsi="Arial" w:cs="Arial"/>
          <w:color w:val="2E74B5" w:themeColor="accent1" w:themeShade="BF"/>
          <w:szCs w:val="20"/>
        </w:rPr>
      </w:pPr>
    </w:p>
    <w:p w:rsidR="00CF5A1D" w:rsidRDefault="00CF5A1D" w:rsidP="0006210C">
      <w:pPr>
        <w:spacing w:line="360" w:lineRule="auto"/>
        <w:rPr>
          <w:rFonts w:ascii="Arial" w:hAnsi="Arial" w:cs="Arial"/>
          <w:color w:val="2E2E2E"/>
          <w:szCs w:val="20"/>
        </w:rPr>
      </w:pPr>
    </w:p>
    <w:p w:rsidR="0012183E" w:rsidRDefault="009A2616" w:rsidP="0006210C">
      <w:pPr>
        <w:spacing w:line="360" w:lineRule="auto"/>
        <w:rPr>
          <w:rFonts w:ascii="Arial" w:hAnsi="Arial" w:cs="Arial"/>
          <w:color w:val="2E2E2E"/>
          <w:szCs w:val="20"/>
        </w:rPr>
      </w:pPr>
      <w:r>
        <w:rPr>
          <w:rFonts w:ascii="Arial" w:hAnsi="Arial" w:cs="Arial"/>
          <w:noProof/>
          <w:color w:val="2E2E2E"/>
          <w:szCs w:val="20"/>
        </w:rPr>
        <w:drawing>
          <wp:inline distT="0" distB="0" distL="0" distR="0">
            <wp:extent cx="4020312" cy="3429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abstract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31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183E" w:rsidRPr="00602580" w:rsidRDefault="0012183E" w:rsidP="0006210C">
      <w:pPr>
        <w:spacing w:line="360" w:lineRule="auto"/>
        <w:rPr>
          <w:rFonts w:ascii="Arial" w:hAnsi="Arial" w:cs="Arial"/>
          <w:b/>
          <w:color w:val="2E2E2E"/>
          <w:szCs w:val="20"/>
        </w:rPr>
      </w:pPr>
      <w:r w:rsidRPr="00602580">
        <w:rPr>
          <w:rFonts w:ascii="Arial" w:hAnsi="Arial" w:cs="Arial"/>
          <w:b/>
          <w:color w:val="2E2E2E"/>
          <w:szCs w:val="20"/>
        </w:rPr>
        <w:t>Figure S4</w:t>
      </w:r>
      <w:r w:rsidR="00602580">
        <w:rPr>
          <w:rFonts w:ascii="Arial" w:hAnsi="Arial" w:cs="Arial"/>
          <w:b/>
          <w:color w:val="2E2E2E"/>
          <w:szCs w:val="20"/>
        </w:rPr>
        <w:t>.</w:t>
      </w:r>
      <w:r w:rsidRPr="00602580">
        <w:rPr>
          <w:rFonts w:ascii="Arial" w:hAnsi="Arial" w:cs="Arial"/>
          <w:b/>
          <w:color w:val="2E2E2E"/>
          <w:szCs w:val="20"/>
        </w:rPr>
        <w:t xml:space="preserve"> </w:t>
      </w:r>
      <w:r w:rsidR="009A2616">
        <w:rPr>
          <w:rFonts w:ascii="Arial" w:hAnsi="Arial" w:cs="Arial"/>
          <w:b/>
          <w:color w:val="2E2E2E"/>
          <w:szCs w:val="20"/>
        </w:rPr>
        <w:t>Graphical abstract:</w:t>
      </w:r>
      <w:r w:rsidRPr="00602580">
        <w:rPr>
          <w:rFonts w:ascii="Arial" w:hAnsi="Arial" w:cs="Arial"/>
          <w:b/>
          <w:color w:val="2E2E2E"/>
          <w:szCs w:val="20"/>
        </w:rPr>
        <w:t xml:space="preserve"> sex-difference in browning of white adipose tissue of mice.</w:t>
      </w:r>
    </w:p>
    <w:sectPr w:rsidR="0012183E" w:rsidRPr="0060258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D9F"/>
    <w:rsid w:val="00024C32"/>
    <w:rsid w:val="00044BAB"/>
    <w:rsid w:val="0006210C"/>
    <w:rsid w:val="001030BF"/>
    <w:rsid w:val="0012183E"/>
    <w:rsid w:val="001449BF"/>
    <w:rsid w:val="00150CFE"/>
    <w:rsid w:val="00151C28"/>
    <w:rsid w:val="001809AE"/>
    <w:rsid w:val="0027395D"/>
    <w:rsid w:val="00280AFD"/>
    <w:rsid w:val="00292EA3"/>
    <w:rsid w:val="002A665A"/>
    <w:rsid w:val="002E4D5F"/>
    <w:rsid w:val="00315BC4"/>
    <w:rsid w:val="00381E8C"/>
    <w:rsid w:val="00386457"/>
    <w:rsid w:val="003A351D"/>
    <w:rsid w:val="003C20DA"/>
    <w:rsid w:val="003D3FD0"/>
    <w:rsid w:val="00420A20"/>
    <w:rsid w:val="00446C25"/>
    <w:rsid w:val="00447A0A"/>
    <w:rsid w:val="00476D66"/>
    <w:rsid w:val="00482B23"/>
    <w:rsid w:val="00491AAB"/>
    <w:rsid w:val="004A05E8"/>
    <w:rsid w:val="004B72A9"/>
    <w:rsid w:val="004F2A4A"/>
    <w:rsid w:val="00506E80"/>
    <w:rsid w:val="00536559"/>
    <w:rsid w:val="005722BC"/>
    <w:rsid w:val="00585505"/>
    <w:rsid w:val="00595104"/>
    <w:rsid w:val="005A6B49"/>
    <w:rsid w:val="005D275E"/>
    <w:rsid w:val="005F5089"/>
    <w:rsid w:val="00602580"/>
    <w:rsid w:val="00722334"/>
    <w:rsid w:val="00747A78"/>
    <w:rsid w:val="007B4EA2"/>
    <w:rsid w:val="00821D16"/>
    <w:rsid w:val="0091055E"/>
    <w:rsid w:val="00942201"/>
    <w:rsid w:val="00943E4A"/>
    <w:rsid w:val="00952E9C"/>
    <w:rsid w:val="00966344"/>
    <w:rsid w:val="0098012B"/>
    <w:rsid w:val="00987040"/>
    <w:rsid w:val="00996A87"/>
    <w:rsid w:val="009A2616"/>
    <w:rsid w:val="009C7D9F"/>
    <w:rsid w:val="00A2267D"/>
    <w:rsid w:val="00A40A13"/>
    <w:rsid w:val="00AD7487"/>
    <w:rsid w:val="00AF66FA"/>
    <w:rsid w:val="00B85901"/>
    <w:rsid w:val="00C812F3"/>
    <w:rsid w:val="00C91064"/>
    <w:rsid w:val="00CA07F5"/>
    <w:rsid w:val="00CF5A1D"/>
    <w:rsid w:val="00D22356"/>
    <w:rsid w:val="00D25F82"/>
    <w:rsid w:val="00D30A36"/>
    <w:rsid w:val="00D81CFF"/>
    <w:rsid w:val="00DD246A"/>
    <w:rsid w:val="00DF7D49"/>
    <w:rsid w:val="00E0152E"/>
    <w:rsid w:val="00E0315B"/>
    <w:rsid w:val="00E20F38"/>
    <w:rsid w:val="00E44564"/>
    <w:rsid w:val="00E61726"/>
    <w:rsid w:val="00EA4329"/>
    <w:rsid w:val="00F055D2"/>
    <w:rsid w:val="00F114C2"/>
    <w:rsid w:val="00F4487D"/>
    <w:rsid w:val="00FA2AF2"/>
    <w:rsid w:val="00FC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319A97-FB32-4FC5-A236-9D2A3038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4D5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D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yhl</dc:creator>
  <cp:keywords/>
  <dc:description/>
  <cp:lastModifiedBy>yhl</cp:lastModifiedBy>
  <cp:revision>6</cp:revision>
  <cp:lastPrinted>2016-04-24T15:19:00Z</cp:lastPrinted>
  <dcterms:created xsi:type="dcterms:W3CDTF">2016-11-15T12:34:00Z</dcterms:created>
  <dcterms:modified xsi:type="dcterms:W3CDTF">2016-11-15T16:54:00Z</dcterms:modified>
</cp:coreProperties>
</file>