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07196" w14:textId="72A27439" w:rsidR="004F5352" w:rsidRPr="004738E4" w:rsidRDefault="004F5352" w:rsidP="003406EE">
      <w:pPr>
        <w:shd w:val="clear" w:color="auto" w:fill="FFFFFF"/>
        <w:spacing w:after="0" w:line="480" w:lineRule="auto"/>
        <w:contextualSpacing/>
        <w:jc w:val="both"/>
        <w:rPr>
          <w:rFonts w:ascii="Times New Roman" w:hAnsi="Times New Roman" w:cs="Times New Roman"/>
          <w:b/>
          <w:sz w:val="24"/>
          <w:szCs w:val="24"/>
        </w:rPr>
      </w:pPr>
      <w:r w:rsidRPr="004738E4">
        <w:rPr>
          <w:rFonts w:ascii="Times New Roman" w:hAnsi="Times New Roman" w:cs="Times New Roman"/>
          <w:b/>
          <w:sz w:val="24"/>
          <w:szCs w:val="24"/>
        </w:rPr>
        <w:t>Supplementary Results</w:t>
      </w:r>
    </w:p>
    <w:p w14:paraId="1218076B" w14:textId="33E22EFB" w:rsidR="00B60522" w:rsidRPr="004738E4" w:rsidRDefault="00B60522" w:rsidP="003406EE">
      <w:pPr>
        <w:shd w:val="clear" w:color="auto" w:fill="FFFFFF"/>
        <w:spacing w:after="0" w:line="480" w:lineRule="auto"/>
        <w:contextualSpacing/>
        <w:jc w:val="both"/>
        <w:rPr>
          <w:rFonts w:ascii="Times New Roman" w:hAnsi="Times New Roman" w:cs="Times New Roman"/>
          <w:sz w:val="24"/>
          <w:szCs w:val="24"/>
          <w:u w:val="single"/>
        </w:rPr>
      </w:pPr>
      <w:r w:rsidRPr="004738E4">
        <w:rPr>
          <w:rFonts w:ascii="Times New Roman" w:hAnsi="Times New Roman" w:cs="Times New Roman"/>
          <w:sz w:val="24"/>
          <w:szCs w:val="24"/>
          <w:u w:val="single"/>
        </w:rPr>
        <w:t>Sex-specific pharmacokinetics and adverse drug reactions</w:t>
      </w:r>
    </w:p>
    <w:p w14:paraId="5E8FE778" w14:textId="68EA69B8" w:rsidR="00941C8D" w:rsidRPr="004738E4" w:rsidRDefault="00B32712" w:rsidP="003406EE">
      <w:pPr>
        <w:shd w:val="clear" w:color="auto" w:fill="FFFFFF"/>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00F147BE" w:rsidRPr="004738E4">
        <w:rPr>
          <w:rFonts w:ascii="Times New Roman" w:hAnsi="Times New Roman" w:cs="Times New Roman"/>
          <w:sz w:val="24"/>
          <w:szCs w:val="24"/>
        </w:rPr>
        <w:t xml:space="preserve">An abbreviated summary of the findings </w:t>
      </w:r>
      <w:r w:rsidR="00542617" w:rsidRPr="004738E4">
        <w:rPr>
          <w:rFonts w:ascii="Times New Roman" w:hAnsi="Times New Roman" w:cs="Times New Roman"/>
          <w:sz w:val="24"/>
          <w:szCs w:val="24"/>
        </w:rPr>
        <w:t>appears</w:t>
      </w:r>
      <w:r w:rsidR="00F147BE" w:rsidRPr="004738E4">
        <w:rPr>
          <w:rFonts w:ascii="Times New Roman" w:hAnsi="Times New Roman" w:cs="Times New Roman"/>
          <w:sz w:val="24"/>
          <w:szCs w:val="24"/>
        </w:rPr>
        <w:t xml:space="preserve"> in Tables 1-3</w:t>
      </w:r>
      <w:r w:rsidR="004F5352" w:rsidRPr="004738E4">
        <w:rPr>
          <w:rFonts w:ascii="Times New Roman" w:hAnsi="Times New Roman" w:cs="Times New Roman"/>
          <w:sz w:val="24"/>
          <w:szCs w:val="24"/>
        </w:rPr>
        <w:t xml:space="preserve"> </w:t>
      </w:r>
      <w:r w:rsidR="00542617" w:rsidRPr="004738E4">
        <w:rPr>
          <w:rFonts w:ascii="Times New Roman" w:hAnsi="Times New Roman" w:cs="Times New Roman"/>
          <w:sz w:val="24"/>
          <w:szCs w:val="24"/>
        </w:rPr>
        <w:t>of</w:t>
      </w:r>
      <w:r w:rsidR="004F5352" w:rsidRPr="004738E4">
        <w:rPr>
          <w:rFonts w:ascii="Times New Roman" w:hAnsi="Times New Roman" w:cs="Times New Roman"/>
          <w:sz w:val="24"/>
          <w:szCs w:val="24"/>
        </w:rPr>
        <w:t xml:space="preserve"> the main text</w:t>
      </w:r>
      <w:r w:rsidR="00F147BE" w:rsidRPr="004738E4">
        <w:rPr>
          <w:rFonts w:ascii="Times New Roman" w:hAnsi="Times New Roman" w:cs="Times New Roman"/>
          <w:sz w:val="24"/>
          <w:szCs w:val="24"/>
        </w:rPr>
        <w:t xml:space="preserve">. Pharmaceuticals are sorted by the </w:t>
      </w:r>
      <w:r w:rsidR="00542617" w:rsidRPr="004738E4">
        <w:rPr>
          <w:rFonts w:ascii="Times New Roman" w:hAnsi="Times New Roman" w:cs="Times New Roman"/>
          <w:sz w:val="24"/>
          <w:szCs w:val="24"/>
        </w:rPr>
        <w:t xml:space="preserve">WHO </w:t>
      </w:r>
      <w:r w:rsidR="00F147BE" w:rsidRPr="004738E4">
        <w:rPr>
          <w:rFonts w:ascii="Times New Roman" w:hAnsi="Times New Roman" w:cs="Times New Roman"/>
          <w:sz w:val="24"/>
          <w:szCs w:val="24"/>
        </w:rPr>
        <w:t>Anatomical Therapeutic Chemical (ATC) Classification System, which lists active ingredients of drugs according to the primary organ(s) or system(s) upon which they act, along with their therapeutic, pharmacological and chemical properties.</w:t>
      </w:r>
      <w:r w:rsidR="00075F48" w:rsidRPr="004738E4">
        <w:rPr>
          <w:rFonts w:ascii="Times New Roman" w:hAnsi="Times New Roman" w:cs="Times New Roman"/>
          <w:sz w:val="24"/>
          <w:szCs w:val="24"/>
        </w:rPr>
        <w:t xml:space="preserve"> </w:t>
      </w:r>
    </w:p>
    <w:p w14:paraId="605BFE23" w14:textId="77777777" w:rsidR="00941C8D" w:rsidRPr="004738E4" w:rsidRDefault="00941C8D" w:rsidP="003406EE">
      <w:pPr>
        <w:shd w:val="clear" w:color="auto" w:fill="FFFFFF"/>
        <w:spacing w:after="0" w:line="480" w:lineRule="auto"/>
        <w:contextualSpacing/>
        <w:jc w:val="both"/>
        <w:rPr>
          <w:rFonts w:ascii="Times New Roman" w:hAnsi="Times New Roman" w:cs="Times New Roman"/>
          <w:sz w:val="24"/>
          <w:szCs w:val="24"/>
        </w:rPr>
      </w:pPr>
    </w:p>
    <w:p w14:paraId="24C0A512" w14:textId="51AFCD18" w:rsidR="00607590" w:rsidRPr="004738E4" w:rsidRDefault="001D40E5" w:rsidP="003406EE">
      <w:pPr>
        <w:shd w:val="clear" w:color="auto" w:fill="FFFFFF"/>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Classification</w:t>
      </w:r>
      <w:r w:rsidRPr="004738E4">
        <w:rPr>
          <w:rFonts w:ascii="Times New Roman" w:hAnsi="Times New Roman" w:cs="Times New Roman"/>
          <w:i/>
          <w:sz w:val="24"/>
          <w:szCs w:val="24"/>
        </w:rPr>
        <w:t xml:space="preserve"> A: Alimentary tract and metabolism</w:t>
      </w:r>
      <w:r w:rsidR="00672975" w:rsidRPr="004738E4">
        <w:rPr>
          <w:rFonts w:ascii="Times New Roman" w:hAnsi="Times New Roman" w:cs="Times New Roman"/>
          <w:sz w:val="24"/>
          <w:szCs w:val="24"/>
        </w:rPr>
        <w:tab/>
      </w:r>
    </w:p>
    <w:p w14:paraId="12B342FA" w14:textId="590F0B02" w:rsidR="00910C67" w:rsidRPr="004738E4" w:rsidRDefault="00672975" w:rsidP="003406EE">
      <w:pPr>
        <w:kinsoku w:val="0"/>
        <w:overflowPunct w:val="0"/>
        <w:spacing w:after="120" w:line="480" w:lineRule="auto"/>
        <w:ind w:right="99"/>
        <w:contextualSpacing/>
        <w:jc w:val="both"/>
        <w:rPr>
          <w:rFonts w:ascii="Times New Roman" w:eastAsia="Times New Roman" w:hAnsi="Times New Roman" w:cs="Times New Roman"/>
          <w:bCs/>
          <w:sz w:val="24"/>
          <w:szCs w:val="24"/>
        </w:rPr>
      </w:pPr>
      <w:r w:rsidRPr="004738E4">
        <w:rPr>
          <w:rFonts w:ascii="Times New Roman" w:hAnsi="Times New Roman" w:cs="Times New Roman"/>
          <w:sz w:val="24"/>
          <w:szCs w:val="24"/>
        </w:rPr>
        <w:tab/>
      </w:r>
      <w:r w:rsidR="00607590" w:rsidRPr="004738E4">
        <w:rPr>
          <w:rFonts w:ascii="Times New Roman" w:hAnsi="Times New Roman" w:cs="Times New Roman"/>
          <w:sz w:val="24"/>
          <w:szCs w:val="24"/>
          <w:u w:val="single"/>
        </w:rPr>
        <w:t>Liraglutide</w:t>
      </w:r>
      <w:r w:rsidR="00607590" w:rsidRPr="004738E4">
        <w:rPr>
          <w:rFonts w:ascii="Times New Roman" w:hAnsi="Times New Roman" w:cs="Times New Roman"/>
          <w:sz w:val="24"/>
          <w:szCs w:val="24"/>
        </w:rPr>
        <w:t>. Women have 30% lower weight-adjusted clearance compared to men. Significantly more female than male subjects reported adverse events, most frequent</w:t>
      </w:r>
      <w:r w:rsidR="001F2EFD" w:rsidRPr="004738E4">
        <w:rPr>
          <w:rFonts w:ascii="Times New Roman" w:hAnsi="Times New Roman" w:cs="Times New Roman"/>
          <w:sz w:val="24"/>
          <w:szCs w:val="24"/>
        </w:rPr>
        <w:t>ly</w:t>
      </w:r>
      <w:r w:rsidR="00607590" w:rsidRPr="004738E4">
        <w:rPr>
          <w:rFonts w:ascii="Times New Roman" w:hAnsi="Times New Roman" w:cs="Times New Roman"/>
          <w:sz w:val="24"/>
          <w:szCs w:val="24"/>
        </w:rPr>
        <w:t xml:space="preserve"> headache, vomiting and nausea </w:t>
      </w:r>
      <w:r w:rsidR="005941EE" w:rsidRPr="004738E4">
        <w:rPr>
          <w:rFonts w:ascii="Times New Roman" w:hAnsi="Times New Roman" w:cs="Times New Roman"/>
          <w:noProof/>
          <w:sz w:val="24"/>
          <w:szCs w:val="24"/>
        </w:rPr>
        <w:t>(1)</w:t>
      </w:r>
      <w:r w:rsidR="00607590" w:rsidRPr="004738E4">
        <w:rPr>
          <w:rFonts w:ascii="Times New Roman" w:hAnsi="Times New Roman" w:cs="Times New Roman"/>
          <w:sz w:val="24"/>
          <w:szCs w:val="24"/>
        </w:rPr>
        <w:t>. No dose adjustments were suggested (NDA</w:t>
      </w:r>
      <w:r w:rsidR="00607590" w:rsidRPr="004738E4">
        <w:rPr>
          <w:rFonts w:ascii="Times New Roman" w:eastAsia="Times New Roman" w:hAnsi="Times New Roman" w:cs="Times New Roman"/>
          <w:b/>
          <w:bCs/>
          <w:sz w:val="24"/>
          <w:szCs w:val="24"/>
        </w:rPr>
        <w:t xml:space="preserve"> </w:t>
      </w:r>
      <w:r w:rsidR="00607590" w:rsidRPr="004738E4">
        <w:rPr>
          <w:rFonts w:ascii="Times New Roman" w:eastAsia="Times New Roman" w:hAnsi="Times New Roman" w:cs="Times New Roman"/>
          <w:bCs/>
          <w:sz w:val="24"/>
          <w:szCs w:val="24"/>
        </w:rPr>
        <w:t xml:space="preserve">022341). </w:t>
      </w:r>
      <w:r w:rsidR="00D866CF" w:rsidRPr="004738E4">
        <w:rPr>
          <w:rFonts w:ascii="Times New Roman" w:eastAsia="Times New Roman" w:hAnsi="Times New Roman" w:cs="Times New Roman"/>
          <w:bCs/>
          <w:sz w:val="24"/>
          <w:szCs w:val="24"/>
        </w:rPr>
        <w:t xml:space="preserve"> </w:t>
      </w:r>
    </w:p>
    <w:p w14:paraId="41B8A197" w14:textId="53F0F0B8" w:rsidR="00D866CF" w:rsidRPr="004738E4" w:rsidRDefault="00910C67" w:rsidP="003406EE">
      <w:pPr>
        <w:kinsoku w:val="0"/>
        <w:overflowPunct w:val="0"/>
        <w:spacing w:after="120" w:line="480" w:lineRule="auto"/>
        <w:ind w:right="99"/>
        <w:contextualSpacing/>
        <w:jc w:val="both"/>
        <w:rPr>
          <w:rFonts w:ascii="Times New Roman" w:eastAsia="Times New Roman" w:hAnsi="Times New Roman" w:cs="Times New Roman"/>
          <w:bCs/>
          <w:sz w:val="24"/>
          <w:szCs w:val="24"/>
        </w:rPr>
      </w:pPr>
      <w:r w:rsidRPr="004738E4">
        <w:rPr>
          <w:rFonts w:ascii="Times New Roman" w:eastAsia="Times New Roman" w:hAnsi="Times New Roman" w:cs="Times New Roman"/>
          <w:bCs/>
          <w:sz w:val="24"/>
          <w:szCs w:val="24"/>
        </w:rPr>
        <w:tab/>
      </w:r>
      <w:r w:rsidR="00D866CF" w:rsidRPr="004738E4">
        <w:rPr>
          <w:rFonts w:ascii="Times New Roman" w:eastAsia="Times New Roman" w:hAnsi="Times New Roman" w:cs="Times New Roman"/>
          <w:bCs/>
          <w:sz w:val="24"/>
          <w:szCs w:val="24"/>
          <w:u w:val="single"/>
        </w:rPr>
        <w:t>Ranitidine</w:t>
      </w:r>
      <w:r w:rsidR="00D866CF" w:rsidRPr="004738E4">
        <w:rPr>
          <w:rFonts w:ascii="Times New Roman" w:eastAsia="Times New Roman" w:hAnsi="Times New Roman" w:cs="Times New Roman"/>
          <w:bCs/>
          <w:sz w:val="24"/>
          <w:szCs w:val="24"/>
        </w:rPr>
        <w:t>. AUC and T</w:t>
      </w:r>
      <w:r w:rsidR="00D866CF" w:rsidRPr="004738E4">
        <w:rPr>
          <w:rFonts w:ascii="Times New Roman" w:eastAsia="Times New Roman" w:hAnsi="Times New Roman" w:cs="Times New Roman"/>
          <w:bCs/>
          <w:sz w:val="24"/>
          <w:szCs w:val="24"/>
          <w:vertAlign w:val="subscript"/>
        </w:rPr>
        <w:t>max</w:t>
      </w:r>
      <w:r w:rsidR="00D866CF" w:rsidRPr="004738E4">
        <w:rPr>
          <w:rFonts w:ascii="Times New Roman" w:eastAsia="Times New Roman" w:hAnsi="Times New Roman" w:cs="Times New Roman"/>
          <w:bCs/>
          <w:sz w:val="24"/>
          <w:szCs w:val="24"/>
        </w:rPr>
        <w:t xml:space="preserve"> were significantly lower for women than men </w:t>
      </w:r>
      <w:r w:rsidR="005941EE" w:rsidRPr="004738E4">
        <w:rPr>
          <w:rFonts w:ascii="Times New Roman" w:eastAsia="Times New Roman" w:hAnsi="Times New Roman" w:cs="Times New Roman"/>
          <w:bCs/>
          <w:noProof/>
          <w:sz w:val="24"/>
          <w:szCs w:val="24"/>
        </w:rPr>
        <w:t>(2)</w:t>
      </w:r>
      <w:r w:rsidR="00D866CF" w:rsidRPr="004738E4">
        <w:rPr>
          <w:rFonts w:ascii="Times New Roman" w:eastAsia="Times New Roman" w:hAnsi="Times New Roman" w:cs="Times New Roman"/>
          <w:bCs/>
          <w:sz w:val="24"/>
          <w:szCs w:val="24"/>
        </w:rPr>
        <w:t xml:space="preserve">. The incidence of duodenal damage in women at both four and eight weeks of treatment was significantly lower than that in men </w:t>
      </w:r>
      <w:r w:rsidR="005941EE" w:rsidRPr="004738E4">
        <w:rPr>
          <w:rFonts w:ascii="Times New Roman" w:eastAsia="Times New Roman" w:hAnsi="Times New Roman" w:cs="Times New Roman"/>
          <w:bCs/>
          <w:noProof/>
          <w:sz w:val="24"/>
          <w:szCs w:val="24"/>
        </w:rPr>
        <w:t>(3)</w:t>
      </w:r>
      <w:r w:rsidR="00D866CF" w:rsidRPr="004738E4">
        <w:rPr>
          <w:rFonts w:ascii="Times New Roman" w:eastAsia="Times New Roman" w:hAnsi="Times New Roman" w:cs="Times New Roman"/>
          <w:bCs/>
          <w:sz w:val="24"/>
          <w:szCs w:val="24"/>
        </w:rPr>
        <w:t>.</w:t>
      </w:r>
    </w:p>
    <w:p w14:paraId="714084CB" w14:textId="0CB3D41F" w:rsidR="00607590" w:rsidRPr="004738E4" w:rsidRDefault="00672975" w:rsidP="003406EE">
      <w:pPr>
        <w:kinsoku w:val="0"/>
        <w:overflowPunct w:val="0"/>
        <w:spacing w:after="120" w:line="480" w:lineRule="auto"/>
        <w:ind w:right="99"/>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00607590" w:rsidRPr="004738E4">
        <w:rPr>
          <w:rFonts w:ascii="Times New Roman" w:hAnsi="Times New Roman" w:cs="Times New Roman"/>
          <w:sz w:val="24"/>
          <w:szCs w:val="24"/>
          <w:u w:val="single"/>
        </w:rPr>
        <w:t>Rosiglitazone</w:t>
      </w:r>
      <w:r w:rsidR="00607590" w:rsidRPr="004738E4">
        <w:rPr>
          <w:rFonts w:ascii="Times New Roman" w:hAnsi="Times New Roman" w:cs="Times New Roman"/>
          <w:sz w:val="24"/>
          <w:szCs w:val="24"/>
        </w:rPr>
        <w:t xml:space="preserve">. A population PK analysis determined that net clearance in women is about 15% lower than for men (NDA 21071; Avandia). From a meta-analysis of </w:t>
      </w:r>
      <w:r w:rsidR="00607590" w:rsidRPr="004738E4">
        <w:rPr>
          <w:rFonts w:ascii="Times New Roman" w:eastAsiaTheme="minorEastAsia" w:hAnsi="Times New Roman" w:cs="Times New Roman"/>
          <w:sz w:val="24"/>
          <w:szCs w:val="24"/>
        </w:rPr>
        <w:t>10 randomized controlled trials and two large observational studies</w:t>
      </w:r>
      <w:r w:rsidR="00174824" w:rsidRPr="004738E4">
        <w:rPr>
          <w:rFonts w:ascii="Times New Roman" w:eastAsiaTheme="minorEastAsia" w:hAnsi="Times New Roman" w:cs="Times New Roman"/>
          <w:sz w:val="24"/>
          <w:szCs w:val="24"/>
        </w:rPr>
        <w:t>,</w:t>
      </w:r>
      <w:r w:rsidR="00607590" w:rsidRPr="004738E4">
        <w:rPr>
          <w:rFonts w:ascii="Times New Roman" w:eastAsiaTheme="minorEastAsia" w:hAnsi="Times New Roman" w:cs="Times New Roman"/>
          <w:sz w:val="24"/>
          <w:szCs w:val="24"/>
        </w:rPr>
        <w:t xml:space="preserve"> Loke et al. </w:t>
      </w:r>
      <w:r w:rsidR="005941EE" w:rsidRPr="004738E4">
        <w:rPr>
          <w:rFonts w:ascii="Times New Roman" w:eastAsiaTheme="minorEastAsia" w:hAnsi="Times New Roman" w:cs="Times New Roman"/>
          <w:noProof/>
          <w:sz w:val="24"/>
          <w:szCs w:val="24"/>
        </w:rPr>
        <w:t>(4)</w:t>
      </w:r>
      <w:r w:rsidR="00607590" w:rsidRPr="004738E4">
        <w:rPr>
          <w:rFonts w:ascii="Times New Roman" w:eastAsiaTheme="minorEastAsia" w:hAnsi="Times New Roman" w:cs="Times New Roman"/>
          <w:sz w:val="24"/>
          <w:szCs w:val="24"/>
        </w:rPr>
        <w:t xml:space="preserve"> concluded that rosiglitazone and pioglitazone were associated with a significantly increased risk of fractures; in five randomized controlled trials </w:t>
      </w:r>
      <w:r w:rsidR="008C67A8" w:rsidRPr="004738E4">
        <w:rPr>
          <w:rFonts w:ascii="Times New Roman" w:eastAsiaTheme="minorEastAsia" w:hAnsi="Times New Roman" w:cs="Times New Roman"/>
          <w:sz w:val="24"/>
          <w:szCs w:val="24"/>
        </w:rPr>
        <w:t xml:space="preserve">this </w:t>
      </w:r>
      <w:r w:rsidR="00607590" w:rsidRPr="004738E4">
        <w:rPr>
          <w:rFonts w:ascii="Times New Roman" w:eastAsiaTheme="minorEastAsia" w:hAnsi="Times New Roman" w:cs="Times New Roman"/>
          <w:sz w:val="24"/>
          <w:szCs w:val="24"/>
        </w:rPr>
        <w:t>risk w</w:t>
      </w:r>
      <w:r w:rsidR="008C67A8" w:rsidRPr="004738E4">
        <w:rPr>
          <w:rFonts w:ascii="Times New Roman" w:eastAsiaTheme="minorEastAsia" w:hAnsi="Times New Roman" w:cs="Times New Roman"/>
          <w:sz w:val="24"/>
          <w:szCs w:val="24"/>
        </w:rPr>
        <w:t>as</w:t>
      </w:r>
      <w:r w:rsidR="00607590" w:rsidRPr="004738E4">
        <w:rPr>
          <w:rFonts w:ascii="Times New Roman" w:eastAsiaTheme="minorEastAsia" w:hAnsi="Times New Roman" w:cs="Times New Roman"/>
          <w:sz w:val="24"/>
          <w:szCs w:val="24"/>
        </w:rPr>
        <w:t xml:space="preserve"> greater among women </w:t>
      </w:r>
      <w:r w:rsidR="008C67A8" w:rsidRPr="004738E4">
        <w:rPr>
          <w:rFonts w:ascii="Times New Roman" w:eastAsiaTheme="minorEastAsia" w:hAnsi="Times New Roman" w:cs="Times New Roman"/>
          <w:sz w:val="24"/>
          <w:szCs w:val="24"/>
        </w:rPr>
        <w:t xml:space="preserve">but </w:t>
      </w:r>
      <w:r w:rsidR="00607590" w:rsidRPr="004738E4">
        <w:rPr>
          <w:rFonts w:ascii="Times New Roman" w:eastAsiaTheme="minorEastAsia" w:hAnsi="Times New Roman" w:cs="Times New Roman"/>
          <w:sz w:val="24"/>
          <w:szCs w:val="24"/>
        </w:rPr>
        <w:t>not among men.</w:t>
      </w:r>
      <w:r w:rsidR="00607590" w:rsidRPr="004738E4">
        <w:rPr>
          <w:rFonts w:ascii="Times New Roman" w:eastAsia="Times New Roman" w:hAnsi="Times New Roman" w:cs="Times New Roman"/>
          <w:sz w:val="24"/>
          <w:szCs w:val="24"/>
        </w:rPr>
        <w:t xml:space="preserve"> </w:t>
      </w:r>
    </w:p>
    <w:p w14:paraId="313F709A" w14:textId="38840F19" w:rsidR="00607590" w:rsidRPr="004738E4" w:rsidRDefault="00672975" w:rsidP="003406EE">
      <w:pPr>
        <w:kinsoku w:val="0"/>
        <w:overflowPunct w:val="0"/>
        <w:spacing w:after="120" w:line="480" w:lineRule="auto"/>
        <w:ind w:right="99"/>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00607590" w:rsidRPr="004738E4">
        <w:rPr>
          <w:rFonts w:ascii="Times New Roman" w:hAnsi="Times New Roman" w:cs="Times New Roman"/>
          <w:sz w:val="24"/>
          <w:szCs w:val="24"/>
          <w:u w:val="single"/>
        </w:rPr>
        <w:t>Ondansetron</w:t>
      </w:r>
      <w:r w:rsidR="00607590" w:rsidRPr="004738E4">
        <w:rPr>
          <w:rFonts w:ascii="Times New Roman" w:hAnsi="Times New Roman" w:cs="Times New Roman"/>
          <w:sz w:val="24"/>
          <w:szCs w:val="24"/>
        </w:rPr>
        <w:t xml:space="preserve">. Women cleared ondansetron more slowly than men, producing higher absolute bioavailability </w:t>
      </w:r>
      <w:r w:rsidR="005941EE" w:rsidRPr="004738E4">
        <w:rPr>
          <w:rFonts w:ascii="Times New Roman" w:hAnsi="Times New Roman" w:cs="Times New Roman"/>
          <w:noProof/>
          <w:sz w:val="24"/>
          <w:szCs w:val="24"/>
        </w:rPr>
        <w:t>(5)</w:t>
      </w:r>
      <w:r w:rsidR="00607590" w:rsidRPr="004738E4">
        <w:rPr>
          <w:rFonts w:ascii="Times New Roman" w:hAnsi="Times New Roman" w:cs="Times New Roman"/>
          <w:sz w:val="24"/>
          <w:szCs w:val="24"/>
        </w:rPr>
        <w:t xml:space="preserve">. The AUC was &gt;2 fold higher in women than men </w:t>
      </w:r>
      <w:r w:rsidR="006517C7" w:rsidRPr="004738E4">
        <w:rPr>
          <w:rFonts w:ascii="Times New Roman" w:hAnsi="Times New Roman" w:cs="Times New Roman"/>
          <w:sz w:val="24"/>
          <w:szCs w:val="24"/>
        </w:rPr>
        <w:t>(</w:t>
      </w:r>
      <w:r w:rsidR="00607590" w:rsidRPr="004738E4">
        <w:rPr>
          <w:rFonts w:ascii="Times New Roman" w:hAnsi="Times New Roman" w:cs="Times New Roman"/>
          <w:sz w:val="24"/>
          <w:szCs w:val="24"/>
        </w:rPr>
        <w:t>354 vs. 154</w:t>
      </w:r>
      <w:r w:rsidR="006517C7" w:rsidRPr="004738E4">
        <w:rPr>
          <w:rFonts w:ascii="Times New Roman" w:hAnsi="Times New Roman" w:cs="Times New Roman"/>
          <w:sz w:val="24"/>
          <w:szCs w:val="24"/>
        </w:rPr>
        <w:t xml:space="preserve"> ng</w:t>
      </w:r>
      <w:r w:rsidR="005C4383" w:rsidRPr="004738E4">
        <w:rPr>
          <w:rFonts w:ascii="Times New Roman" w:hAnsi="Times New Roman" w:cs="Times New Roman"/>
          <w:sz w:val="24"/>
          <w:szCs w:val="24"/>
        </w:rPr>
        <w:t>·</w:t>
      </w:r>
      <w:r w:rsidR="006517C7" w:rsidRPr="004738E4">
        <w:rPr>
          <w:rFonts w:ascii="Times New Roman" w:hAnsi="Times New Roman" w:cs="Times New Roman"/>
          <w:sz w:val="24"/>
          <w:szCs w:val="24"/>
        </w:rPr>
        <w:t>hr/ml)</w:t>
      </w:r>
      <w:r w:rsidR="00607590" w:rsidRPr="004738E4">
        <w:rPr>
          <w:rFonts w:ascii="Times New Roman" w:hAnsi="Times New Roman" w:cs="Times New Roman"/>
          <w:sz w:val="24"/>
          <w:szCs w:val="24"/>
        </w:rPr>
        <w:t>, and the C</w:t>
      </w:r>
      <w:r w:rsidR="00607590" w:rsidRPr="004738E4">
        <w:rPr>
          <w:rFonts w:ascii="Times New Roman" w:hAnsi="Times New Roman" w:cs="Times New Roman"/>
          <w:sz w:val="24"/>
          <w:szCs w:val="24"/>
          <w:vertAlign w:val="subscript"/>
        </w:rPr>
        <w:t>max</w:t>
      </w:r>
      <w:r w:rsidR="009B7E45" w:rsidRPr="004738E4">
        <w:rPr>
          <w:rFonts w:ascii="Times New Roman" w:hAnsi="Times New Roman" w:cs="Times New Roman"/>
          <w:sz w:val="24"/>
          <w:szCs w:val="24"/>
        </w:rPr>
        <w:t xml:space="preserve"> </w:t>
      </w:r>
      <w:r w:rsidR="00607590" w:rsidRPr="004738E4">
        <w:rPr>
          <w:rFonts w:ascii="Times New Roman" w:hAnsi="Times New Roman" w:cs="Times New Roman"/>
          <w:sz w:val="24"/>
          <w:szCs w:val="24"/>
        </w:rPr>
        <w:t xml:space="preserve">was 83 </w:t>
      </w:r>
      <w:r w:rsidR="006517C7" w:rsidRPr="004738E4">
        <w:rPr>
          <w:rFonts w:ascii="Times New Roman" w:hAnsi="Times New Roman" w:cs="Times New Roman"/>
          <w:sz w:val="24"/>
          <w:szCs w:val="24"/>
        </w:rPr>
        <w:t xml:space="preserve">ng/ml for women </w:t>
      </w:r>
      <w:r w:rsidR="00607590" w:rsidRPr="004738E4">
        <w:rPr>
          <w:rFonts w:ascii="Times New Roman" w:hAnsi="Times New Roman" w:cs="Times New Roman"/>
          <w:sz w:val="24"/>
          <w:szCs w:val="24"/>
        </w:rPr>
        <w:t xml:space="preserve">vs. 51 </w:t>
      </w:r>
      <w:r w:rsidR="006517C7" w:rsidRPr="004738E4">
        <w:rPr>
          <w:rFonts w:ascii="Times New Roman" w:hAnsi="Times New Roman" w:cs="Times New Roman"/>
          <w:sz w:val="24"/>
          <w:szCs w:val="24"/>
        </w:rPr>
        <w:t>ng/ml for</w:t>
      </w:r>
      <w:r w:rsidR="00607590" w:rsidRPr="004738E4">
        <w:rPr>
          <w:rFonts w:ascii="Times New Roman" w:hAnsi="Times New Roman" w:cs="Times New Roman"/>
          <w:sz w:val="24"/>
          <w:szCs w:val="24"/>
        </w:rPr>
        <w:t xml:space="preserve"> men. Although the FDA-approved labeling accurately identified this </w:t>
      </w:r>
      <w:r w:rsidR="00821491" w:rsidRPr="004738E4">
        <w:rPr>
          <w:rFonts w:ascii="Times New Roman" w:hAnsi="Times New Roman" w:cs="Times New Roman"/>
          <w:sz w:val="24"/>
          <w:szCs w:val="24"/>
        </w:rPr>
        <w:t>sex</w:t>
      </w:r>
      <w:r w:rsidR="00607590" w:rsidRPr="004738E4">
        <w:rPr>
          <w:rFonts w:ascii="Times New Roman" w:hAnsi="Times New Roman" w:cs="Times New Roman"/>
          <w:sz w:val="24"/>
          <w:szCs w:val="24"/>
        </w:rPr>
        <w:t xml:space="preserve"> discrepancy in plasma concentrations and </w:t>
      </w:r>
      <w:r w:rsidR="00607590" w:rsidRPr="004738E4">
        <w:rPr>
          <w:rFonts w:ascii="Times New Roman" w:hAnsi="Times New Roman" w:cs="Times New Roman"/>
          <w:sz w:val="24"/>
          <w:szCs w:val="24"/>
        </w:rPr>
        <w:lastRenderedPageBreak/>
        <w:t xml:space="preserve">clearance, no </w:t>
      </w:r>
      <w:r w:rsidR="00323094" w:rsidRPr="004738E4">
        <w:rPr>
          <w:rFonts w:ascii="Times New Roman" w:hAnsi="Times New Roman" w:cs="Times New Roman"/>
          <w:sz w:val="24"/>
          <w:szCs w:val="24"/>
        </w:rPr>
        <w:t>sex</w:t>
      </w:r>
      <w:r w:rsidR="00607590" w:rsidRPr="004738E4">
        <w:rPr>
          <w:rFonts w:ascii="Times New Roman" w:hAnsi="Times New Roman" w:cs="Times New Roman"/>
          <w:sz w:val="24"/>
          <w:szCs w:val="24"/>
        </w:rPr>
        <w:t xml:space="preserve">-aware dosing adjustment is recommended (Zofran, FDA product labeling; </w:t>
      </w:r>
      <w:r w:rsidR="005941EE" w:rsidRPr="004738E4">
        <w:rPr>
          <w:rFonts w:ascii="Times New Roman" w:hAnsi="Times New Roman" w:cs="Times New Roman"/>
          <w:noProof/>
          <w:sz w:val="24"/>
          <w:szCs w:val="24"/>
        </w:rPr>
        <w:t>(6)</w:t>
      </w:r>
      <w:r w:rsidR="00607590" w:rsidRPr="004738E4">
        <w:rPr>
          <w:rFonts w:ascii="Times New Roman" w:hAnsi="Times New Roman" w:cs="Times New Roman"/>
          <w:sz w:val="24"/>
          <w:szCs w:val="24"/>
        </w:rPr>
        <w:t xml:space="preserve">). The </w:t>
      </w:r>
      <w:r w:rsidR="006062A6" w:rsidRPr="004738E4">
        <w:rPr>
          <w:rFonts w:ascii="Times New Roman" w:hAnsi="Times New Roman" w:cs="Times New Roman"/>
          <w:i/>
          <w:sz w:val="24"/>
          <w:szCs w:val="24"/>
        </w:rPr>
        <w:t>VigiBase</w:t>
      </w:r>
      <w:r w:rsidR="006062A6" w:rsidRPr="004738E4">
        <w:rPr>
          <w:rFonts w:ascii="Times New Roman" w:hAnsi="Times New Roman" w:cs="Times New Roman"/>
          <w:sz w:val="24"/>
          <w:szCs w:val="24"/>
        </w:rPr>
        <w:t xml:space="preserve"> </w:t>
      </w:r>
      <w:r w:rsidR="00607590" w:rsidRPr="004738E4">
        <w:rPr>
          <w:rFonts w:ascii="Times New Roman" w:hAnsi="Times New Roman" w:cs="Times New Roman"/>
          <w:sz w:val="24"/>
          <w:szCs w:val="24"/>
        </w:rPr>
        <w:t>ADR ratio was 2.14</w:t>
      </w:r>
      <w:r w:rsidR="006517C7" w:rsidRPr="004738E4">
        <w:rPr>
          <w:rFonts w:ascii="Times New Roman" w:hAnsi="Times New Roman" w:cs="Times New Roman"/>
          <w:sz w:val="24"/>
          <w:szCs w:val="24"/>
        </w:rPr>
        <w:t>,</w:t>
      </w:r>
      <w:r w:rsidR="00607590" w:rsidRPr="004738E4">
        <w:rPr>
          <w:rFonts w:ascii="Times New Roman" w:hAnsi="Times New Roman" w:cs="Times New Roman"/>
          <w:sz w:val="24"/>
          <w:szCs w:val="24"/>
        </w:rPr>
        <w:t xml:space="preserve"> based on 16266 reports.</w:t>
      </w:r>
    </w:p>
    <w:p w14:paraId="0F356ECD" w14:textId="77777777" w:rsidR="0081573C" w:rsidRPr="004738E4" w:rsidRDefault="0081573C" w:rsidP="003406EE">
      <w:pPr>
        <w:shd w:val="clear" w:color="auto" w:fill="FFFFFF"/>
        <w:spacing w:after="0" w:line="480" w:lineRule="auto"/>
        <w:contextualSpacing/>
        <w:jc w:val="both"/>
        <w:rPr>
          <w:rFonts w:ascii="Times New Roman" w:hAnsi="Times New Roman" w:cs="Times New Roman"/>
          <w:i/>
          <w:sz w:val="24"/>
          <w:szCs w:val="24"/>
        </w:rPr>
      </w:pPr>
    </w:p>
    <w:p w14:paraId="4F441C34" w14:textId="79975E77"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B: Blood and blood forming organs</w:t>
      </w:r>
    </w:p>
    <w:p w14:paraId="2FD36994" w14:textId="696FFA1F" w:rsidR="00293A82" w:rsidRPr="004738E4" w:rsidRDefault="00293A82"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Heparin</w:t>
      </w:r>
      <w:r w:rsidRPr="004738E4">
        <w:rPr>
          <w:rFonts w:ascii="Times New Roman" w:hAnsi="Times New Roman" w:cs="Times New Roman"/>
          <w:sz w:val="24"/>
          <w:szCs w:val="24"/>
        </w:rPr>
        <w:t xml:space="preserve">. </w:t>
      </w:r>
      <w:r w:rsidRPr="004738E4">
        <w:rPr>
          <w:rFonts w:ascii="Times New Roman" w:hAnsi="Times New Roman" w:cs="Times New Roman"/>
          <w:sz w:val="24"/>
          <w:szCs w:val="24"/>
          <w:shd w:val="clear" w:color="auto" w:fill="F9F9F9"/>
        </w:rPr>
        <w:t>A</w:t>
      </w:r>
      <w:r w:rsidRPr="004738E4">
        <w:rPr>
          <w:rFonts w:ascii="Times New Roman" w:hAnsi="Times New Roman" w:cs="Times New Roman"/>
          <w:sz w:val="24"/>
          <w:szCs w:val="24"/>
        </w:rPr>
        <w:t xml:space="preserve">fter a standard heparin bolus and infusion, women had significantly higher values than men (0.56 vs. 0.35 units/ml; </w:t>
      </w:r>
      <w:r w:rsidR="005941EE" w:rsidRPr="004738E4">
        <w:rPr>
          <w:rFonts w:ascii="Times New Roman" w:hAnsi="Times New Roman" w:cs="Times New Roman"/>
          <w:noProof/>
          <w:sz w:val="24"/>
          <w:szCs w:val="24"/>
        </w:rPr>
        <w:t>(7)</w:t>
      </w:r>
      <w:r w:rsidRPr="004738E4">
        <w:rPr>
          <w:rFonts w:ascii="Times New Roman" w:hAnsi="Times New Roman" w:cs="Times New Roman"/>
          <w:sz w:val="24"/>
          <w:szCs w:val="24"/>
        </w:rPr>
        <w:t>. Sex differences were reported in 273 out of 621 adverse events associated with heparin.  Heparin-induced blood and lymphatic system disorders were greater for female than male patients. Drug labels indicate that a high risk of bleeding after heparin treatment is increased in women older than 60 years</w:t>
      </w:r>
      <w:r w:rsidR="00274BB0"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After matching for age, body mass index, and type of antithrombotic therapy (e.g., heparin), bleeding risk after percutaneous coronary intervention remained significantly higher in women than men. Bleeding was associated with increased risk of 1-year mortality </w:t>
      </w:r>
      <w:r w:rsidR="005941EE" w:rsidRPr="004738E4">
        <w:rPr>
          <w:rFonts w:ascii="Times New Roman" w:hAnsi="Times New Roman" w:cs="Times New Roman"/>
          <w:noProof/>
          <w:sz w:val="24"/>
          <w:szCs w:val="24"/>
        </w:rPr>
        <w:t>(8)</w:t>
      </w:r>
      <w:r w:rsidRPr="004738E4">
        <w:rPr>
          <w:rFonts w:ascii="Times New Roman" w:hAnsi="Times New Roman" w:cs="Times New Roman"/>
          <w:sz w:val="24"/>
          <w:szCs w:val="24"/>
        </w:rPr>
        <w:t>. Guti</w:t>
      </w:r>
      <w:r w:rsidRPr="004738E4">
        <w:rPr>
          <w:rFonts w:ascii="Times New Roman" w:hAnsi="Times New Roman" w:cs="Times New Roman"/>
          <w:spacing w:val="-76"/>
          <w:sz w:val="24"/>
          <w:szCs w:val="24"/>
        </w:rPr>
        <w:t>e</w:t>
      </w:r>
      <w:r w:rsidRPr="004738E4">
        <w:rPr>
          <w:rFonts w:ascii="Times New Roman" w:hAnsi="Times New Roman" w:cs="Times New Roman"/>
          <w:spacing w:val="8"/>
          <w:position w:val="1"/>
          <w:sz w:val="24"/>
          <w:szCs w:val="24"/>
        </w:rPr>
        <w:t>´</w:t>
      </w:r>
      <w:r w:rsidRPr="004738E4">
        <w:rPr>
          <w:rFonts w:ascii="Times New Roman" w:hAnsi="Times New Roman" w:cs="Times New Roman"/>
          <w:sz w:val="24"/>
          <w:szCs w:val="24"/>
        </w:rPr>
        <w:t>rre</w:t>
      </w:r>
      <w:r w:rsidRPr="004738E4">
        <w:rPr>
          <w:rFonts w:ascii="Times New Roman" w:hAnsi="Times New Roman" w:cs="Times New Roman"/>
          <w:spacing w:val="1"/>
          <w:sz w:val="24"/>
          <w:szCs w:val="24"/>
        </w:rPr>
        <w:t>z</w:t>
      </w:r>
      <w:r w:rsidRPr="004738E4">
        <w:rPr>
          <w:rFonts w:ascii="Times New Roman" w:hAnsi="Times New Roman" w:cs="Times New Roman"/>
          <w:sz w:val="24"/>
          <w:szCs w:val="24"/>
        </w:rPr>
        <w:t xml:space="preserve">-Chico et al. </w:t>
      </w:r>
      <w:r w:rsidR="005941EE" w:rsidRPr="004738E4">
        <w:rPr>
          <w:rFonts w:ascii="Times New Roman" w:hAnsi="Times New Roman" w:cs="Times New Roman"/>
          <w:noProof/>
          <w:sz w:val="24"/>
          <w:szCs w:val="24"/>
        </w:rPr>
        <w:t>(9)</w:t>
      </w:r>
      <w:r w:rsidRPr="004738E4">
        <w:rPr>
          <w:rFonts w:ascii="Times New Roman" w:hAnsi="Times New Roman" w:cs="Times New Roman"/>
          <w:sz w:val="24"/>
          <w:szCs w:val="24"/>
        </w:rPr>
        <w:t xml:space="preserve"> noted a higher incidence of bleeding complications from antithrombotic drug treatment in women that might be related to frequent over-dosage. </w:t>
      </w:r>
    </w:p>
    <w:p w14:paraId="22478989" w14:textId="485ABE9F" w:rsidR="00293A82" w:rsidRPr="004738E4" w:rsidRDefault="00293A82"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pacing w:val="4"/>
          <w:sz w:val="24"/>
          <w:szCs w:val="24"/>
        </w:rPr>
      </w:pPr>
      <w:r w:rsidRPr="004738E4">
        <w:rPr>
          <w:rFonts w:ascii="Times New Roman" w:hAnsi="Times New Roman" w:cs="Times New Roman"/>
          <w:sz w:val="24"/>
          <w:szCs w:val="24"/>
          <w:u w:val="single"/>
        </w:rPr>
        <w:t>Aspirin</w:t>
      </w:r>
      <w:r w:rsidRPr="004738E4">
        <w:rPr>
          <w:rFonts w:ascii="Times New Roman" w:hAnsi="Times New Roman" w:cs="Times New Roman"/>
          <w:sz w:val="24"/>
          <w:szCs w:val="24"/>
        </w:rPr>
        <w:t>.</w:t>
      </w:r>
      <w:r w:rsidRPr="004738E4">
        <w:rPr>
          <w:rFonts w:ascii="Times New Roman" w:eastAsia="Times New Roman" w:hAnsi="Times New Roman" w:cs="Times New Roman"/>
          <w:sz w:val="24"/>
          <w:szCs w:val="24"/>
        </w:rPr>
        <w:t xml:space="preserve"> </w:t>
      </w:r>
      <w:r w:rsidRPr="004738E4">
        <w:rPr>
          <w:rFonts w:ascii="Times New Roman" w:hAnsi="Times New Roman" w:cs="Times New Roman"/>
          <w:sz w:val="24"/>
          <w:szCs w:val="24"/>
        </w:rPr>
        <w:t xml:space="preserve">Aspirin is frequently utilized in treating cardiovascular disease. </w:t>
      </w:r>
      <w:r w:rsidRPr="004738E4">
        <w:rPr>
          <w:rFonts w:ascii="Times New Roman" w:eastAsia="Times New Roman" w:hAnsi="Times New Roman" w:cs="Times New Roman"/>
          <w:sz w:val="24"/>
          <w:szCs w:val="24"/>
        </w:rPr>
        <w:t>O</w:t>
      </w:r>
      <w:r w:rsidRPr="004738E4">
        <w:rPr>
          <w:rFonts w:ascii="Times New Roman" w:hAnsi="Times New Roman" w:cs="Times New Roman"/>
          <w:sz w:val="24"/>
          <w:szCs w:val="24"/>
        </w:rPr>
        <w:t xml:space="preserve">ral bioavailability of aspirin was higher in females than males, with significantly greater plasma </w:t>
      </w:r>
      <w:r w:rsidR="008C67A8" w:rsidRPr="004738E4">
        <w:rPr>
          <w:rFonts w:ascii="Times New Roman" w:hAnsi="Times New Roman" w:cs="Times New Roman"/>
          <w:sz w:val="24"/>
          <w:szCs w:val="24"/>
        </w:rPr>
        <w:t>concentrations</w:t>
      </w:r>
      <w:r w:rsidRPr="004738E4">
        <w:rPr>
          <w:rFonts w:ascii="Times New Roman" w:hAnsi="Times New Roman" w:cs="Times New Roman"/>
          <w:sz w:val="24"/>
          <w:szCs w:val="24"/>
        </w:rPr>
        <w:t xml:space="preserve"> in women </w:t>
      </w:r>
      <w:r w:rsidR="005941EE" w:rsidRPr="004738E4">
        <w:rPr>
          <w:rFonts w:ascii="Times New Roman" w:hAnsi="Times New Roman" w:cs="Times New Roman"/>
          <w:noProof/>
          <w:sz w:val="24"/>
          <w:szCs w:val="24"/>
        </w:rPr>
        <w:t>(10–13)</w:t>
      </w:r>
      <w:r w:rsidRPr="004738E4">
        <w:rPr>
          <w:rFonts w:ascii="Times New Roman" w:hAnsi="Times New Roman" w:cs="Times New Roman"/>
          <w:sz w:val="24"/>
          <w:szCs w:val="24"/>
        </w:rPr>
        <w:t>. The AUC</w:t>
      </w:r>
      <w:r w:rsidRPr="004738E4">
        <w:rPr>
          <w:rFonts w:ascii="Times New Roman" w:hAnsi="Times New Roman" w:cs="Times New Roman"/>
          <w:spacing w:val="5"/>
          <w:sz w:val="24"/>
          <w:szCs w:val="24"/>
        </w:rPr>
        <w:t xml:space="preserve"> </w:t>
      </w:r>
      <w:r w:rsidRPr="004738E4">
        <w:rPr>
          <w:rFonts w:ascii="Times New Roman" w:hAnsi="Times New Roman" w:cs="Times New Roman"/>
          <w:sz w:val="24"/>
          <w:szCs w:val="24"/>
        </w:rPr>
        <w:t>and elimination</w:t>
      </w:r>
      <w:r w:rsidRPr="004738E4">
        <w:rPr>
          <w:rFonts w:ascii="Times New Roman" w:hAnsi="Times New Roman" w:cs="Times New Roman"/>
          <w:spacing w:val="19"/>
          <w:sz w:val="24"/>
          <w:szCs w:val="24"/>
        </w:rPr>
        <w:t xml:space="preserve"> </w:t>
      </w:r>
      <w:r w:rsidRPr="004738E4">
        <w:rPr>
          <w:rFonts w:ascii="Times New Roman" w:hAnsi="Times New Roman" w:cs="Times New Roman"/>
          <w:i/>
          <w:sz w:val="24"/>
          <w:szCs w:val="24"/>
        </w:rPr>
        <w:t>t</w:t>
      </w:r>
      <w:r w:rsidRPr="004738E4">
        <w:rPr>
          <w:rFonts w:ascii="Times New Roman" w:hAnsi="Times New Roman" w:cs="Times New Roman"/>
          <w:sz w:val="24"/>
          <w:szCs w:val="24"/>
          <w:vertAlign w:val="subscript"/>
        </w:rPr>
        <w:t>1/2</w:t>
      </w:r>
      <w:r w:rsidRPr="004738E4">
        <w:rPr>
          <w:rFonts w:ascii="Times New Roman" w:hAnsi="Times New Roman" w:cs="Times New Roman"/>
          <w:spacing w:val="4"/>
          <w:sz w:val="24"/>
          <w:szCs w:val="24"/>
        </w:rPr>
        <w:t xml:space="preserve"> </w:t>
      </w:r>
      <w:r w:rsidRPr="004738E4">
        <w:rPr>
          <w:rFonts w:ascii="Times New Roman" w:hAnsi="Times New Roman" w:cs="Times New Roman"/>
          <w:sz w:val="24"/>
          <w:szCs w:val="24"/>
        </w:rPr>
        <w:t>of</w:t>
      </w:r>
      <w:r w:rsidRPr="004738E4">
        <w:rPr>
          <w:rFonts w:ascii="Times New Roman" w:hAnsi="Times New Roman" w:cs="Times New Roman"/>
          <w:spacing w:val="-5"/>
          <w:sz w:val="24"/>
          <w:szCs w:val="24"/>
        </w:rPr>
        <w:t xml:space="preserve"> </w:t>
      </w:r>
      <w:r w:rsidRPr="004738E4">
        <w:rPr>
          <w:rFonts w:ascii="Times New Roman" w:hAnsi="Times New Roman" w:cs="Times New Roman"/>
          <w:sz w:val="24"/>
          <w:szCs w:val="24"/>
        </w:rPr>
        <w:t>aspirin</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were significantly</w:t>
      </w:r>
      <w:r w:rsidRPr="004738E4">
        <w:rPr>
          <w:rFonts w:ascii="Times New Roman" w:hAnsi="Times New Roman" w:cs="Times New Roman"/>
          <w:spacing w:val="-1"/>
          <w:sz w:val="24"/>
          <w:szCs w:val="24"/>
        </w:rPr>
        <w:t xml:space="preserve"> </w:t>
      </w:r>
      <w:r w:rsidRPr="004738E4">
        <w:rPr>
          <w:rFonts w:ascii="Times New Roman" w:hAnsi="Times New Roman" w:cs="Times New Roman"/>
          <w:sz w:val="24"/>
          <w:szCs w:val="24"/>
        </w:rPr>
        <w:t>greater,</w:t>
      </w:r>
      <w:r w:rsidRPr="004738E4">
        <w:rPr>
          <w:rFonts w:ascii="Times New Roman" w:hAnsi="Times New Roman" w:cs="Times New Roman"/>
          <w:spacing w:val="-1"/>
          <w:sz w:val="24"/>
          <w:szCs w:val="24"/>
        </w:rPr>
        <w:t xml:space="preserve"> </w:t>
      </w:r>
      <w:r w:rsidRPr="004738E4">
        <w:rPr>
          <w:rFonts w:ascii="Times New Roman" w:hAnsi="Times New Roman" w:cs="Times New Roman"/>
          <w:sz w:val="24"/>
          <w:szCs w:val="24"/>
        </w:rPr>
        <w:t>and</w:t>
      </w:r>
      <w:r w:rsidRPr="004738E4">
        <w:rPr>
          <w:rFonts w:ascii="Times New Roman" w:hAnsi="Times New Roman" w:cs="Times New Roman"/>
          <w:spacing w:val="-2"/>
          <w:sz w:val="24"/>
          <w:szCs w:val="24"/>
        </w:rPr>
        <w:t xml:space="preserve"> </w:t>
      </w:r>
      <w:r w:rsidRPr="004738E4">
        <w:rPr>
          <w:rFonts w:ascii="Times New Roman" w:hAnsi="Times New Roman" w:cs="Times New Roman"/>
          <w:sz w:val="24"/>
          <w:szCs w:val="24"/>
        </w:rPr>
        <w:t>aspirin</w:t>
      </w:r>
      <w:r w:rsidRPr="004738E4">
        <w:rPr>
          <w:rFonts w:ascii="Times New Roman" w:hAnsi="Times New Roman" w:cs="Times New Roman"/>
          <w:spacing w:val="5"/>
          <w:sz w:val="24"/>
          <w:szCs w:val="24"/>
        </w:rPr>
        <w:t xml:space="preserve"> </w:t>
      </w:r>
      <w:r w:rsidRPr="004738E4">
        <w:rPr>
          <w:rFonts w:ascii="Times New Roman" w:hAnsi="Times New Roman" w:cs="Times New Roman"/>
          <w:sz w:val="24"/>
          <w:szCs w:val="24"/>
        </w:rPr>
        <w:t>plasma</w:t>
      </w:r>
      <w:r w:rsidRPr="004738E4">
        <w:rPr>
          <w:rFonts w:ascii="Times New Roman" w:hAnsi="Times New Roman" w:cs="Times New Roman"/>
          <w:spacing w:val="6"/>
          <w:sz w:val="24"/>
          <w:szCs w:val="24"/>
        </w:rPr>
        <w:t xml:space="preserve"> </w:t>
      </w:r>
      <w:r w:rsidRPr="004738E4">
        <w:rPr>
          <w:rFonts w:ascii="Times New Roman" w:hAnsi="Times New Roman" w:cs="Times New Roman"/>
          <w:sz w:val="24"/>
          <w:szCs w:val="24"/>
        </w:rPr>
        <w:t>hydrolysis</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rate</w:t>
      </w:r>
      <w:r w:rsidRPr="004738E4">
        <w:rPr>
          <w:rFonts w:ascii="Times New Roman" w:hAnsi="Times New Roman" w:cs="Times New Roman"/>
          <w:spacing w:val="-8"/>
          <w:sz w:val="24"/>
          <w:szCs w:val="24"/>
        </w:rPr>
        <w:t xml:space="preserve"> </w:t>
      </w:r>
      <w:r w:rsidRPr="004738E4">
        <w:rPr>
          <w:rFonts w:ascii="Times New Roman" w:hAnsi="Times New Roman" w:cs="Times New Roman"/>
          <w:sz w:val="24"/>
          <w:szCs w:val="24"/>
        </w:rPr>
        <w:t>significantly</w:t>
      </w:r>
      <w:r w:rsidRPr="004738E4">
        <w:rPr>
          <w:rFonts w:ascii="Times New Roman" w:hAnsi="Times New Roman" w:cs="Times New Roman"/>
          <w:spacing w:val="4"/>
          <w:sz w:val="24"/>
          <w:szCs w:val="24"/>
        </w:rPr>
        <w:t xml:space="preserve"> </w:t>
      </w:r>
      <w:r w:rsidRPr="004738E4">
        <w:rPr>
          <w:rFonts w:ascii="Times New Roman" w:hAnsi="Times New Roman" w:cs="Times New Roman"/>
          <w:sz w:val="24"/>
          <w:szCs w:val="24"/>
        </w:rPr>
        <w:t>lower</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in</w:t>
      </w:r>
      <w:r w:rsidRPr="004738E4">
        <w:rPr>
          <w:rFonts w:ascii="Times New Roman" w:hAnsi="Times New Roman" w:cs="Times New Roman"/>
          <w:spacing w:val="10"/>
          <w:sz w:val="24"/>
          <w:szCs w:val="24"/>
        </w:rPr>
        <w:t xml:space="preserve"> </w:t>
      </w:r>
      <w:r w:rsidRPr="004738E4">
        <w:rPr>
          <w:rFonts w:ascii="Times New Roman" w:hAnsi="Times New Roman" w:cs="Times New Roman"/>
          <w:sz w:val="24"/>
          <w:szCs w:val="24"/>
        </w:rPr>
        <w:t>women.</w:t>
      </w:r>
      <w:r w:rsidRPr="004738E4">
        <w:rPr>
          <w:rFonts w:ascii="Times New Roman" w:hAnsi="Times New Roman" w:cs="Times New Roman"/>
          <w:spacing w:val="4"/>
          <w:sz w:val="24"/>
          <w:szCs w:val="24"/>
        </w:rPr>
        <w:t xml:space="preserve"> </w:t>
      </w:r>
      <w:r w:rsidRPr="004738E4">
        <w:rPr>
          <w:rFonts w:ascii="Times New Roman" w:hAnsi="Times New Roman" w:cs="Times New Roman"/>
          <w:sz w:val="24"/>
          <w:szCs w:val="24"/>
        </w:rPr>
        <w:t>Aspirin</w:t>
      </w:r>
      <w:r w:rsidRPr="004738E4">
        <w:rPr>
          <w:rFonts w:ascii="Times New Roman" w:hAnsi="Times New Roman" w:cs="Times New Roman"/>
          <w:spacing w:val="-13"/>
          <w:sz w:val="24"/>
          <w:szCs w:val="24"/>
        </w:rPr>
        <w:t xml:space="preserve"> </w:t>
      </w:r>
      <w:r w:rsidRPr="004738E4">
        <w:rPr>
          <w:rFonts w:ascii="Times New Roman" w:hAnsi="Times New Roman" w:cs="Times New Roman"/>
          <w:sz w:val="24"/>
          <w:szCs w:val="24"/>
        </w:rPr>
        <w:t>clearance</w:t>
      </w:r>
      <w:r w:rsidRPr="004738E4">
        <w:rPr>
          <w:rFonts w:ascii="Times New Roman" w:hAnsi="Times New Roman" w:cs="Times New Roman"/>
          <w:spacing w:val="-9"/>
          <w:sz w:val="24"/>
          <w:szCs w:val="24"/>
        </w:rPr>
        <w:t xml:space="preserve"> </w:t>
      </w:r>
      <w:r w:rsidRPr="004738E4">
        <w:rPr>
          <w:rFonts w:ascii="Times New Roman" w:hAnsi="Times New Roman" w:cs="Times New Roman"/>
          <w:sz w:val="24"/>
          <w:szCs w:val="24"/>
        </w:rPr>
        <w:t>was</w:t>
      </w:r>
      <w:r w:rsidRPr="004738E4">
        <w:rPr>
          <w:rFonts w:ascii="Times New Roman" w:hAnsi="Times New Roman" w:cs="Times New Roman"/>
          <w:spacing w:val="-25"/>
          <w:sz w:val="24"/>
          <w:szCs w:val="24"/>
        </w:rPr>
        <w:t xml:space="preserve"> </w:t>
      </w:r>
      <w:r w:rsidR="00274BB0" w:rsidRPr="004738E4">
        <w:rPr>
          <w:rFonts w:ascii="Times New Roman" w:hAnsi="Times New Roman" w:cs="Times New Roman"/>
          <w:spacing w:val="-25"/>
          <w:sz w:val="24"/>
          <w:szCs w:val="24"/>
        </w:rPr>
        <w:t xml:space="preserve"> </w:t>
      </w:r>
      <w:r w:rsidRPr="004738E4">
        <w:rPr>
          <w:rFonts w:ascii="Times New Roman" w:hAnsi="Times New Roman" w:cs="Times New Roman"/>
          <w:spacing w:val="-4"/>
          <w:sz w:val="24"/>
          <w:szCs w:val="24"/>
        </w:rPr>
        <w:t>61%</w:t>
      </w:r>
      <w:r w:rsidRPr="004738E4">
        <w:rPr>
          <w:rFonts w:ascii="Times New Roman" w:hAnsi="Times New Roman" w:cs="Times New Roman"/>
          <w:spacing w:val="-21"/>
          <w:sz w:val="24"/>
          <w:szCs w:val="24"/>
        </w:rPr>
        <w:t xml:space="preserve"> </w:t>
      </w:r>
      <w:r w:rsidRPr="004738E4">
        <w:rPr>
          <w:rFonts w:ascii="Times New Roman" w:hAnsi="Times New Roman" w:cs="Times New Roman"/>
          <w:sz w:val="24"/>
          <w:szCs w:val="24"/>
        </w:rPr>
        <w:t>higher</w:t>
      </w:r>
      <w:r w:rsidRPr="004738E4">
        <w:rPr>
          <w:rFonts w:ascii="Times New Roman" w:hAnsi="Times New Roman" w:cs="Times New Roman"/>
          <w:spacing w:val="-19"/>
          <w:sz w:val="24"/>
          <w:szCs w:val="24"/>
        </w:rPr>
        <w:t xml:space="preserve"> </w:t>
      </w:r>
      <w:r w:rsidRPr="004738E4">
        <w:rPr>
          <w:rFonts w:ascii="Times New Roman" w:hAnsi="Times New Roman" w:cs="Times New Roman"/>
          <w:sz w:val="24"/>
          <w:szCs w:val="24"/>
        </w:rPr>
        <w:t>in</w:t>
      </w:r>
      <w:r w:rsidRPr="004738E4">
        <w:rPr>
          <w:rFonts w:ascii="Times New Roman" w:hAnsi="Times New Roman" w:cs="Times New Roman"/>
          <w:spacing w:val="-18"/>
          <w:sz w:val="24"/>
          <w:szCs w:val="24"/>
        </w:rPr>
        <w:t xml:space="preserve"> </w:t>
      </w:r>
      <w:r w:rsidRPr="004738E4">
        <w:rPr>
          <w:rFonts w:ascii="Times New Roman" w:hAnsi="Times New Roman" w:cs="Times New Roman"/>
          <w:sz w:val="24"/>
          <w:szCs w:val="24"/>
        </w:rPr>
        <w:t>men than in women</w:t>
      </w:r>
      <w:r w:rsidRPr="004738E4">
        <w:rPr>
          <w:rFonts w:ascii="Times New Roman" w:hAnsi="Times New Roman" w:cs="Times New Roman"/>
          <w:spacing w:val="4"/>
          <w:sz w:val="24"/>
          <w:szCs w:val="24"/>
        </w:rPr>
        <w:t xml:space="preserve"> </w:t>
      </w:r>
      <w:r w:rsidR="005941EE" w:rsidRPr="004738E4">
        <w:rPr>
          <w:rFonts w:ascii="Times New Roman" w:hAnsi="Times New Roman" w:cs="Times New Roman"/>
          <w:noProof/>
          <w:spacing w:val="4"/>
          <w:sz w:val="24"/>
          <w:szCs w:val="24"/>
        </w:rPr>
        <w:t>(14)</w:t>
      </w:r>
      <w:r w:rsidRPr="004738E4">
        <w:rPr>
          <w:rFonts w:ascii="Times New Roman" w:hAnsi="Times New Roman" w:cs="Times New Roman"/>
          <w:spacing w:val="4"/>
          <w:sz w:val="24"/>
          <w:szCs w:val="24"/>
        </w:rPr>
        <w:t xml:space="preserve">. </w:t>
      </w:r>
      <w:r w:rsidRPr="004738E4">
        <w:rPr>
          <w:rFonts w:ascii="Times New Roman" w:hAnsi="Times New Roman" w:cs="Times New Roman"/>
          <w:sz w:val="24"/>
          <w:szCs w:val="24"/>
        </w:rPr>
        <w:t xml:space="preserve"> </w:t>
      </w:r>
    </w:p>
    <w:p w14:paraId="2D740AE3" w14:textId="70D1186D" w:rsidR="00293A82" w:rsidRPr="004738E4" w:rsidRDefault="00293A82"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rPr>
        <w:t xml:space="preserve">Aspirin is much more effective in preventing myocardial infarction in men </w:t>
      </w:r>
      <w:r w:rsidR="006062A6" w:rsidRPr="004738E4">
        <w:rPr>
          <w:rFonts w:ascii="Times New Roman" w:hAnsi="Times New Roman" w:cs="Times New Roman"/>
          <w:sz w:val="24"/>
          <w:szCs w:val="24"/>
        </w:rPr>
        <w:t>than</w:t>
      </w:r>
      <w:r w:rsidRPr="004738E4">
        <w:rPr>
          <w:rFonts w:ascii="Times New Roman" w:hAnsi="Times New Roman" w:cs="Times New Roman"/>
          <w:sz w:val="24"/>
          <w:szCs w:val="24"/>
        </w:rPr>
        <w:t xml:space="preserve"> women (42% vs. 19%; </w:t>
      </w:r>
      <w:r w:rsidR="005941EE" w:rsidRPr="004738E4">
        <w:rPr>
          <w:rFonts w:ascii="Times New Roman" w:hAnsi="Times New Roman" w:cs="Times New Roman"/>
          <w:noProof/>
          <w:sz w:val="24"/>
          <w:szCs w:val="24"/>
        </w:rPr>
        <w:t>(15–17)</w:t>
      </w:r>
      <w:r w:rsidR="00296569" w:rsidRPr="004738E4">
        <w:rPr>
          <w:rFonts w:ascii="Times New Roman" w:hAnsi="Times New Roman" w:cs="Times New Roman"/>
          <w:noProof/>
          <w:sz w:val="24"/>
          <w:szCs w:val="24"/>
        </w:rPr>
        <w:t>)</w:t>
      </w:r>
      <w:r w:rsidR="005E4019"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The use of aspirin is associated with a higher reduction of risk for ischemic stroke in women </w:t>
      </w:r>
      <w:r w:rsidR="005941EE" w:rsidRPr="004738E4">
        <w:rPr>
          <w:rFonts w:ascii="Times New Roman" w:hAnsi="Times New Roman" w:cs="Times New Roman"/>
          <w:noProof/>
          <w:sz w:val="24"/>
          <w:szCs w:val="24"/>
        </w:rPr>
        <w:t>(17)</w:t>
      </w:r>
      <w:r w:rsidRPr="004738E4">
        <w:rPr>
          <w:rFonts w:ascii="Times New Roman" w:hAnsi="Times New Roman" w:cs="Times New Roman"/>
          <w:sz w:val="24"/>
          <w:szCs w:val="24"/>
        </w:rPr>
        <w:t xml:space="preserve">.  </w:t>
      </w:r>
      <w:r w:rsidRPr="004738E4">
        <w:rPr>
          <w:rFonts w:ascii="Times New Roman" w:eastAsia="Garamond" w:hAnsi="Times New Roman" w:cs="Times New Roman"/>
          <w:sz w:val="24"/>
          <w:szCs w:val="24"/>
        </w:rPr>
        <w:t xml:space="preserve">Aspirin administered to men produced a nonsignificant increase </w:t>
      </w:r>
      <w:r w:rsidR="005E4019" w:rsidRPr="004738E4">
        <w:rPr>
          <w:rFonts w:ascii="Times New Roman" w:eastAsia="Garamond" w:hAnsi="Times New Roman" w:cs="Times New Roman"/>
          <w:sz w:val="24"/>
          <w:szCs w:val="24"/>
        </w:rPr>
        <w:t>in</w:t>
      </w:r>
      <w:r w:rsidRPr="004738E4">
        <w:rPr>
          <w:rFonts w:ascii="Times New Roman" w:eastAsia="Garamond" w:hAnsi="Times New Roman" w:cs="Times New Roman"/>
          <w:sz w:val="24"/>
          <w:szCs w:val="24"/>
        </w:rPr>
        <w:t xml:space="preserve"> stroke. In another report, aspirin administered to women did not significantly reduce the risk </w:t>
      </w:r>
      <w:r w:rsidRPr="004738E4">
        <w:rPr>
          <w:rFonts w:ascii="Times New Roman" w:eastAsia="Garamond" w:hAnsi="Times New Roman" w:cs="Times New Roman"/>
          <w:sz w:val="24"/>
          <w:szCs w:val="24"/>
        </w:rPr>
        <w:lastRenderedPageBreak/>
        <w:t xml:space="preserve">of major cardiovascular events, but significantly decreased risk of stroke </w:t>
      </w:r>
      <w:r w:rsidR="005941EE" w:rsidRPr="004738E4">
        <w:rPr>
          <w:rFonts w:ascii="Times New Roman" w:eastAsia="Garamond" w:hAnsi="Times New Roman" w:cs="Times New Roman"/>
          <w:noProof/>
          <w:sz w:val="24"/>
          <w:szCs w:val="24"/>
        </w:rPr>
        <w:t>(18)</w:t>
      </w:r>
      <w:r w:rsidRPr="004738E4">
        <w:rPr>
          <w:rFonts w:ascii="Times New Roman" w:eastAsia="Garamond" w:hAnsi="Times New Roman" w:cs="Times New Roman"/>
          <w:sz w:val="24"/>
          <w:szCs w:val="24"/>
        </w:rPr>
        <w:t xml:space="preserve">. </w:t>
      </w:r>
      <w:r w:rsidRPr="004738E4">
        <w:rPr>
          <w:rFonts w:ascii="Times New Roman" w:eastAsia="Times New Roman" w:hAnsi="Times New Roman" w:cs="Times New Roman"/>
          <w:sz w:val="24"/>
          <w:szCs w:val="24"/>
        </w:rPr>
        <w:t>Fibrinogen concentration in aspirin-treated women is significantly higher than in men and may contribute to higher platelet aggregation</w:t>
      </w:r>
      <w:r w:rsidR="00D51CC9" w:rsidRPr="004738E4">
        <w:rPr>
          <w:rFonts w:ascii="Times New Roman" w:eastAsia="Times New Roman" w:hAnsi="Times New Roman" w:cs="Times New Roman"/>
          <w:sz w:val="24"/>
          <w:szCs w:val="24"/>
        </w:rPr>
        <w:t xml:space="preserve"> </w:t>
      </w:r>
      <w:r w:rsidR="005941EE" w:rsidRPr="004738E4">
        <w:rPr>
          <w:rFonts w:ascii="Times New Roman" w:eastAsia="Times New Roman" w:hAnsi="Times New Roman" w:cs="Times New Roman"/>
          <w:noProof/>
          <w:sz w:val="24"/>
          <w:szCs w:val="24"/>
        </w:rPr>
        <w:t>(19)</w:t>
      </w:r>
      <w:r w:rsidRPr="004738E4">
        <w:rPr>
          <w:rFonts w:ascii="Times New Roman" w:eastAsia="Times New Roman" w:hAnsi="Times New Roman" w:cs="Times New Roman"/>
          <w:sz w:val="24"/>
          <w:szCs w:val="24"/>
        </w:rPr>
        <w:t>.</w:t>
      </w:r>
      <w:r w:rsidRPr="004738E4">
        <w:rPr>
          <w:rFonts w:ascii="Times New Roman" w:hAnsi="Times New Roman" w:cs="Times New Roman"/>
          <w:spacing w:val="4"/>
          <w:sz w:val="24"/>
          <w:szCs w:val="24"/>
        </w:rPr>
        <w:t xml:space="preserve"> </w:t>
      </w:r>
      <w:r w:rsidRPr="004738E4">
        <w:rPr>
          <w:rFonts w:ascii="Times New Roman" w:hAnsi="Times New Roman" w:cs="Times New Roman"/>
          <w:sz w:val="24"/>
          <w:szCs w:val="24"/>
        </w:rPr>
        <w:t>Women hav</w:t>
      </w:r>
      <w:r w:rsidR="001F2EFD" w:rsidRPr="004738E4">
        <w:rPr>
          <w:rFonts w:ascii="Times New Roman" w:hAnsi="Times New Roman" w:cs="Times New Roman"/>
          <w:sz w:val="24"/>
          <w:szCs w:val="24"/>
        </w:rPr>
        <w:t>e</w:t>
      </w:r>
      <w:r w:rsidRPr="004738E4">
        <w:rPr>
          <w:rFonts w:ascii="Times New Roman" w:hAnsi="Times New Roman" w:cs="Times New Roman"/>
          <w:sz w:val="24"/>
          <w:szCs w:val="24"/>
        </w:rPr>
        <w:t xml:space="preserve"> lower mean percent inhibition of platelet aggregation and greater prevalence of aspirin resistance than men </w:t>
      </w:r>
      <w:r w:rsidR="005941EE" w:rsidRPr="004738E4">
        <w:rPr>
          <w:rFonts w:ascii="Times New Roman" w:hAnsi="Times New Roman" w:cs="Times New Roman"/>
          <w:noProof/>
          <w:sz w:val="24"/>
          <w:szCs w:val="24"/>
        </w:rPr>
        <w:t>(20)</w:t>
      </w:r>
      <w:r w:rsidRPr="004738E4">
        <w:rPr>
          <w:rFonts w:ascii="Times New Roman" w:hAnsi="Times New Roman" w:cs="Times New Roman"/>
          <w:sz w:val="24"/>
          <w:szCs w:val="24"/>
        </w:rPr>
        <w:t>.</w:t>
      </w:r>
      <w:r w:rsidRPr="004738E4">
        <w:rPr>
          <w:rFonts w:ascii="Times New Roman" w:eastAsia="Times New Roman" w:hAnsi="Times New Roman" w:cs="Times New Roman"/>
          <w:sz w:val="24"/>
          <w:szCs w:val="24"/>
        </w:rPr>
        <w:t xml:space="preserve"> </w:t>
      </w:r>
      <w:r w:rsidRPr="004738E4">
        <w:rPr>
          <w:rFonts w:ascii="Times New Roman" w:hAnsi="Times New Roman" w:cs="Times New Roman"/>
          <w:sz w:val="24"/>
          <w:szCs w:val="24"/>
        </w:rPr>
        <w:t>I</w:t>
      </w:r>
      <w:r w:rsidRPr="004738E4">
        <w:rPr>
          <w:rFonts w:ascii="Times New Roman" w:eastAsia="Times New Roman" w:hAnsi="Times New Roman" w:cs="Times New Roman"/>
          <w:sz w:val="24"/>
          <w:szCs w:val="24"/>
        </w:rPr>
        <w:t xml:space="preserve">nhibition of platelet aggregation may be insufficient in women; female patients might benefit from higher maintenance doses </w:t>
      </w:r>
      <w:r w:rsidR="005941EE" w:rsidRPr="004738E4">
        <w:rPr>
          <w:rFonts w:ascii="Times New Roman" w:eastAsia="Times New Roman" w:hAnsi="Times New Roman" w:cs="Times New Roman"/>
          <w:noProof/>
          <w:sz w:val="24"/>
          <w:szCs w:val="24"/>
        </w:rPr>
        <w:t>(21)</w:t>
      </w:r>
      <w:r w:rsidRPr="004738E4">
        <w:rPr>
          <w:rFonts w:ascii="Times New Roman" w:eastAsia="Times New Roman" w:hAnsi="Times New Roman" w:cs="Times New Roman"/>
          <w:sz w:val="24"/>
          <w:szCs w:val="24"/>
        </w:rPr>
        <w:t xml:space="preserve">. </w:t>
      </w:r>
      <w:r w:rsidRPr="004738E4">
        <w:rPr>
          <w:rFonts w:ascii="Times New Roman" w:hAnsi="Times New Roman" w:cs="Times New Roman"/>
          <w:sz w:val="24"/>
          <w:szCs w:val="24"/>
        </w:rPr>
        <w:t xml:space="preserve">Young women exhibit greater post-treatment reactivity while on aspirin, which may contribute to the excess risk observed in this population </w:t>
      </w:r>
      <w:r w:rsidR="005941EE" w:rsidRPr="004738E4">
        <w:rPr>
          <w:rFonts w:ascii="Times New Roman" w:hAnsi="Times New Roman" w:cs="Times New Roman"/>
          <w:noProof/>
          <w:sz w:val="24"/>
          <w:szCs w:val="24"/>
        </w:rPr>
        <w:t>(22)</w:t>
      </w:r>
      <w:r w:rsidRPr="004738E4">
        <w:rPr>
          <w:rFonts w:ascii="Times New Roman" w:hAnsi="Times New Roman" w:cs="Times New Roman"/>
          <w:sz w:val="24"/>
          <w:szCs w:val="24"/>
        </w:rPr>
        <w:t xml:space="preserve">. An </w:t>
      </w:r>
      <w:r w:rsidRPr="004738E4">
        <w:rPr>
          <w:rFonts w:ascii="Times New Roman" w:hAnsi="Times New Roman" w:cs="Times New Roman"/>
          <w:spacing w:val="-3"/>
          <w:sz w:val="24"/>
          <w:szCs w:val="24"/>
        </w:rPr>
        <w:t xml:space="preserve">increased </w:t>
      </w:r>
      <w:r w:rsidRPr="004738E4">
        <w:rPr>
          <w:rFonts w:ascii="Times New Roman" w:hAnsi="Times New Roman" w:cs="Times New Roman"/>
          <w:sz w:val="24"/>
          <w:szCs w:val="24"/>
        </w:rPr>
        <w:t xml:space="preserve">risk of </w:t>
      </w:r>
      <w:r w:rsidRPr="004738E4">
        <w:rPr>
          <w:rFonts w:ascii="Times New Roman" w:hAnsi="Times New Roman" w:cs="Times New Roman"/>
          <w:spacing w:val="-3"/>
          <w:sz w:val="24"/>
          <w:szCs w:val="24"/>
        </w:rPr>
        <w:t xml:space="preserve">non-fatal/fatal </w:t>
      </w:r>
      <w:r w:rsidRPr="004738E4">
        <w:rPr>
          <w:rFonts w:ascii="Times New Roman" w:hAnsi="Times New Roman" w:cs="Times New Roman"/>
          <w:sz w:val="24"/>
          <w:szCs w:val="24"/>
        </w:rPr>
        <w:t>cardiovascular disease asso</w:t>
      </w:r>
      <w:r w:rsidRPr="004738E4">
        <w:rPr>
          <w:rFonts w:ascii="Times New Roman" w:hAnsi="Times New Roman" w:cs="Times New Roman"/>
          <w:spacing w:val="-3"/>
          <w:sz w:val="24"/>
          <w:szCs w:val="24"/>
        </w:rPr>
        <w:t xml:space="preserve">ciated </w:t>
      </w:r>
      <w:r w:rsidRPr="004738E4">
        <w:rPr>
          <w:rFonts w:ascii="Times New Roman" w:hAnsi="Times New Roman" w:cs="Times New Roman"/>
          <w:sz w:val="24"/>
          <w:szCs w:val="24"/>
        </w:rPr>
        <w:t xml:space="preserve">with aspirin treatment in patients with Type 2 diabetes was present in women but not in men </w:t>
      </w:r>
      <w:r w:rsidR="005941EE" w:rsidRPr="004738E4">
        <w:rPr>
          <w:rFonts w:ascii="Times New Roman" w:hAnsi="Times New Roman" w:cs="Times New Roman"/>
          <w:noProof/>
          <w:sz w:val="24"/>
          <w:szCs w:val="24"/>
        </w:rPr>
        <w:t>(23)</w:t>
      </w:r>
      <w:r w:rsidRPr="004738E4">
        <w:rPr>
          <w:rFonts w:ascii="Times New Roman" w:hAnsi="Times New Roman" w:cs="Times New Roman"/>
          <w:sz w:val="24"/>
          <w:szCs w:val="24"/>
        </w:rPr>
        <w:t xml:space="preserve">. Analyses of sex differences in bleeding from antithrombotic treatment with aspirin </w:t>
      </w:r>
      <w:r w:rsidR="001F2EFD" w:rsidRPr="004738E4">
        <w:rPr>
          <w:rFonts w:ascii="Times New Roman" w:hAnsi="Times New Roman" w:cs="Times New Roman"/>
          <w:sz w:val="24"/>
          <w:szCs w:val="24"/>
        </w:rPr>
        <w:t xml:space="preserve">yielded </w:t>
      </w:r>
      <w:r w:rsidRPr="004738E4">
        <w:rPr>
          <w:rFonts w:ascii="Times New Roman" w:hAnsi="Times New Roman" w:cs="Times New Roman"/>
          <w:sz w:val="24"/>
          <w:szCs w:val="24"/>
        </w:rPr>
        <w:t xml:space="preserve">conflicting results. No significant difference in bleeding risk between women and men on aspirin was found in one study, a higher bleeding risk was seen in men in another study and in a meta-analysis no sex difference in bleeding risk was found </w:t>
      </w:r>
      <w:r w:rsidR="005941EE" w:rsidRPr="004738E4">
        <w:rPr>
          <w:rFonts w:ascii="Times New Roman" w:hAnsi="Times New Roman" w:cs="Times New Roman"/>
          <w:noProof/>
          <w:sz w:val="24"/>
          <w:szCs w:val="24"/>
        </w:rPr>
        <w:t>(24)</w:t>
      </w:r>
      <w:r w:rsidRPr="004738E4">
        <w:rPr>
          <w:rFonts w:ascii="Times New Roman" w:hAnsi="Times New Roman" w:cs="Times New Roman"/>
          <w:sz w:val="24"/>
          <w:szCs w:val="24"/>
        </w:rPr>
        <w:t>.</w:t>
      </w:r>
    </w:p>
    <w:p w14:paraId="6915CFBC" w14:textId="594A1CCB" w:rsidR="00293A82" w:rsidRPr="004738E4" w:rsidRDefault="00293A82"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Warfarin</w:t>
      </w:r>
      <w:r w:rsidRPr="004738E4">
        <w:rPr>
          <w:rFonts w:ascii="Times New Roman" w:hAnsi="Times New Roman" w:cs="Times New Roman"/>
          <w:sz w:val="24"/>
          <w:szCs w:val="24"/>
        </w:rPr>
        <w:t xml:space="preserve">.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was a significant independent contributor to warfarin clearance with women having 22% lower S-warfarin clearance than men </w:t>
      </w:r>
      <w:r w:rsidR="005941EE" w:rsidRPr="004738E4">
        <w:rPr>
          <w:rFonts w:ascii="Times New Roman" w:hAnsi="Times New Roman" w:cs="Times New Roman"/>
          <w:noProof/>
          <w:sz w:val="24"/>
          <w:szCs w:val="24"/>
        </w:rPr>
        <w:t>(25)</w:t>
      </w:r>
      <w:r w:rsidRPr="004738E4">
        <w:rPr>
          <w:rFonts w:ascii="Times New Roman" w:hAnsi="Times New Roman" w:cs="Times New Roman"/>
          <w:sz w:val="24"/>
          <w:szCs w:val="24"/>
        </w:rPr>
        <w:t xml:space="preserve"> as also reported by Takahashi et al. </w:t>
      </w:r>
      <w:r w:rsidR="005941EE" w:rsidRPr="004738E4">
        <w:rPr>
          <w:rFonts w:ascii="Times New Roman" w:hAnsi="Times New Roman" w:cs="Times New Roman"/>
          <w:noProof/>
          <w:sz w:val="24"/>
          <w:szCs w:val="24"/>
        </w:rPr>
        <w:t>(26)</w:t>
      </w:r>
      <w:r w:rsidRPr="004738E4">
        <w:rPr>
          <w:rFonts w:ascii="Times New Roman" w:hAnsi="Times New Roman" w:cs="Times New Roman"/>
          <w:sz w:val="24"/>
          <w:szCs w:val="24"/>
        </w:rPr>
        <w:t xml:space="preserve">. Studies cited by Whitley </w:t>
      </w:r>
      <w:r w:rsidR="00D866CF" w:rsidRPr="004738E4">
        <w:rPr>
          <w:rFonts w:ascii="Times New Roman" w:hAnsi="Times New Roman" w:cs="Times New Roman"/>
          <w:sz w:val="24"/>
          <w:szCs w:val="24"/>
        </w:rPr>
        <w:t xml:space="preserve">et </w:t>
      </w:r>
      <w:r w:rsidRPr="004738E4">
        <w:rPr>
          <w:rFonts w:ascii="Times New Roman" w:hAnsi="Times New Roman" w:cs="Times New Roman"/>
          <w:sz w:val="24"/>
          <w:szCs w:val="24"/>
        </w:rPr>
        <w:t xml:space="preserve">al. </w:t>
      </w:r>
      <w:r w:rsidR="005941EE" w:rsidRPr="004738E4">
        <w:rPr>
          <w:rFonts w:ascii="Times New Roman" w:hAnsi="Times New Roman" w:cs="Times New Roman"/>
          <w:noProof/>
          <w:sz w:val="24"/>
          <w:szCs w:val="24"/>
        </w:rPr>
        <w:t>(27)</w:t>
      </w:r>
      <w:r w:rsidRPr="004738E4">
        <w:rPr>
          <w:rFonts w:ascii="Times New Roman" w:hAnsi="Times New Roman" w:cs="Times New Roman"/>
          <w:sz w:val="24"/>
          <w:szCs w:val="24"/>
        </w:rPr>
        <w:t xml:space="preserve"> consistently report lower warfarin doses are required for women compared with men, e.g., median warfarin daily dose requirements varied significantly with sex and were 2.9 mg for women and 3.7 mg for men </w:t>
      </w:r>
      <w:r w:rsidR="005941EE" w:rsidRPr="004738E4">
        <w:rPr>
          <w:rFonts w:ascii="Times New Roman" w:hAnsi="Times New Roman" w:cs="Times New Roman"/>
          <w:noProof/>
          <w:sz w:val="24"/>
          <w:szCs w:val="24"/>
        </w:rPr>
        <w:t>(28)</w:t>
      </w:r>
      <w:r w:rsidRPr="004738E4">
        <w:rPr>
          <w:rFonts w:ascii="Times New Roman" w:hAnsi="Times New Roman" w:cs="Times New Roman"/>
          <w:sz w:val="24"/>
          <w:szCs w:val="24"/>
        </w:rPr>
        <w:t xml:space="preserve">. Garcia et al. </w:t>
      </w:r>
      <w:r w:rsidR="005941EE" w:rsidRPr="004738E4">
        <w:rPr>
          <w:rFonts w:ascii="Times New Roman" w:hAnsi="Times New Roman" w:cs="Times New Roman"/>
          <w:noProof/>
          <w:sz w:val="24"/>
          <w:szCs w:val="24"/>
        </w:rPr>
        <w:t>(29)</w:t>
      </w:r>
      <w:r w:rsidRPr="004738E4">
        <w:rPr>
          <w:rFonts w:ascii="Times New Roman" w:hAnsi="Times New Roman" w:cs="Times New Roman"/>
          <w:sz w:val="24"/>
          <w:szCs w:val="24"/>
        </w:rPr>
        <w:t xml:space="preserve"> note that </w:t>
      </w:r>
      <w:r w:rsidRPr="004738E4">
        <w:rPr>
          <w:rFonts w:ascii="Times New Roman" w:hAnsi="Times New Roman" w:cs="Times New Roman"/>
          <w:bCs/>
          <w:sz w:val="24"/>
          <w:szCs w:val="24"/>
        </w:rPr>
        <w:t xml:space="preserve">women required 4.5 mg less warfarin per week; the recommended initiation dose of 5 mg/day will be excessive for 82% of women and 65% of men. </w:t>
      </w:r>
      <w:r w:rsidRPr="004738E4">
        <w:rPr>
          <w:rFonts w:ascii="Times New Roman" w:hAnsi="Times New Roman" w:cs="Times New Roman"/>
          <w:sz w:val="24"/>
          <w:szCs w:val="24"/>
        </w:rPr>
        <w:t xml:space="preserve">Major bleeding complications occur more often in women than men treated with warfarin and thrombolytics for venous thromboembolism </w:t>
      </w:r>
      <w:r w:rsidR="005941EE" w:rsidRPr="004738E4">
        <w:rPr>
          <w:rFonts w:ascii="Times New Roman" w:hAnsi="Times New Roman" w:cs="Times New Roman"/>
          <w:noProof/>
          <w:sz w:val="24"/>
          <w:szCs w:val="24"/>
        </w:rPr>
        <w:t>(30)</w:t>
      </w:r>
      <w:r w:rsidRPr="004738E4">
        <w:rPr>
          <w:rFonts w:ascii="Times New Roman" w:hAnsi="Times New Roman" w:cs="Times New Roman"/>
          <w:sz w:val="24"/>
          <w:szCs w:val="24"/>
        </w:rPr>
        <w:t xml:space="preserve">. Women on warfarin were 3.35 times more likely than men to experience a major bleed </w:t>
      </w:r>
      <w:r w:rsidR="005941EE" w:rsidRPr="004738E4">
        <w:rPr>
          <w:rFonts w:ascii="Times New Roman" w:hAnsi="Times New Roman" w:cs="Times New Roman"/>
          <w:noProof/>
          <w:sz w:val="24"/>
          <w:szCs w:val="24"/>
        </w:rPr>
        <w:t>(31)</w:t>
      </w:r>
      <w:r w:rsidRPr="004738E4">
        <w:rPr>
          <w:rFonts w:ascii="Times New Roman" w:hAnsi="Times New Roman" w:cs="Times New Roman"/>
          <w:sz w:val="24"/>
          <w:szCs w:val="24"/>
        </w:rPr>
        <w:t>.</w:t>
      </w:r>
    </w:p>
    <w:p w14:paraId="047FA792" w14:textId="7B97CDDF" w:rsidR="00293A82" w:rsidRPr="004738E4" w:rsidRDefault="00293A82" w:rsidP="003406EE">
      <w:pPr>
        <w:kinsoku w:val="0"/>
        <w:overflowPunct w:val="0"/>
        <w:autoSpaceDE w:val="0"/>
        <w:autoSpaceDN w:val="0"/>
        <w:adjustRightInd w:val="0"/>
        <w:spacing w:after="0" w:line="480" w:lineRule="auto"/>
        <w:ind w:left="39" w:firstLine="681"/>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lastRenderedPageBreak/>
        <w:t>Clopidogrel</w:t>
      </w:r>
      <w:r w:rsidRPr="004738E4">
        <w:rPr>
          <w:rFonts w:ascii="Times New Roman" w:hAnsi="Times New Roman" w:cs="Times New Roman"/>
          <w:sz w:val="24"/>
          <w:szCs w:val="24"/>
        </w:rPr>
        <w:t>. The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was 1.7 fold higher and the AUC 1.88 times higher in female than male patients </w:t>
      </w:r>
      <w:r w:rsidR="005941EE" w:rsidRPr="004738E4">
        <w:rPr>
          <w:rFonts w:ascii="Times New Roman" w:hAnsi="Times New Roman" w:cs="Times New Roman"/>
          <w:noProof/>
          <w:sz w:val="24"/>
          <w:szCs w:val="24"/>
        </w:rPr>
        <w:t>(22)</w:t>
      </w:r>
      <w:r w:rsidRPr="004738E4">
        <w:rPr>
          <w:rFonts w:ascii="Times New Roman" w:hAnsi="Times New Roman" w:cs="Times New Roman"/>
          <w:sz w:val="24"/>
          <w:szCs w:val="24"/>
        </w:rPr>
        <w:t xml:space="preserve">. A low dose of this blood thinner increased fracture risk in women but fracture incidence for men was only increased at higher doses </w:t>
      </w:r>
      <w:r w:rsidR="005941EE" w:rsidRPr="004738E4">
        <w:rPr>
          <w:rFonts w:ascii="Times New Roman" w:hAnsi="Times New Roman" w:cs="Times New Roman"/>
          <w:noProof/>
          <w:sz w:val="24"/>
          <w:szCs w:val="24"/>
        </w:rPr>
        <w:t>(32)</w:t>
      </w:r>
      <w:r w:rsidRPr="004738E4">
        <w:rPr>
          <w:rFonts w:ascii="Times New Roman" w:hAnsi="Times New Roman" w:cs="Times New Roman"/>
          <w:sz w:val="24"/>
          <w:szCs w:val="24"/>
        </w:rPr>
        <w:t xml:space="preserve">. Clopidogrel is associated with higher incidence of gastrointestinal symptoms in women with irritable bowel disease symptoms </w:t>
      </w:r>
      <w:r w:rsidR="005941EE" w:rsidRPr="004738E4">
        <w:rPr>
          <w:rFonts w:ascii="Times New Roman" w:hAnsi="Times New Roman" w:cs="Times New Roman"/>
          <w:noProof/>
          <w:sz w:val="24"/>
          <w:szCs w:val="24"/>
        </w:rPr>
        <w:t>(33)</w:t>
      </w:r>
      <w:r w:rsidRPr="004738E4">
        <w:rPr>
          <w:rFonts w:ascii="Times New Roman" w:hAnsi="Times New Roman" w:cs="Times New Roman"/>
          <w:sz w:val="24"/>
          <w:szCs w:val="24"/>
        </w:rPr>
        <w:t xml:space="preserve"> with a higher prevalence of bleeding reports in women </w:t>
      </w:r>
      <w:r w:rsidR="005941EE" w:rsidRPr="004738E4">
        <w:rPr>
          <w:rFonts w:ascii="Times New Roman" w:hAnsi="Times New Roman" w:cs="Times New Roman"/>
          <w:noProof/>
          <w:sz w:val="24"/>
          <w:szCs w:val="24"/>
        </w:rPr>
        <w:t>(24)</w:t>
      </w:r>
      <w:r w:rsidRPr="004738E4">
        <w:rPr>
          <w:rFonts w:ascii="Times New Roman" w:hAnsi="Times New Roman" w:cs="Times New Roman"/>
          <w:sz w:val="24"/>
          <w:szCs w:val="24"/>
        </w:rPr>
        <w:t xml:space="preserve">. Young women have greater baseline clotting tendency, reduced response to clopidogrel, and greater post-treatment reactivity which may contribute to the excess risk observed in young women </w:t>
      </w:r>
      <w:r w:rsidR="005941EE" w:rsidRPr="004738E4">
        <w:rPr>
          <w:rFonts w:ascii="Times New Roman" w:hAnsi="Times New Roman" w:cs="Times New Roman"/>
          <w:noProof/>
          <w:sz w:val="24"/>
          <w:szCs w:val="24"/>
        </w:rPr>
        <w:t>(22)</w:t>
      </w:r>
      <w:r w:rsidRPr="004738E4">
        <w:rPr>
          <w:rFonts w:ascii="Times New Roman" w:hAnsi="Times New Roman" w:cs="Times New Roman"/>
          <w:sz w:val="24"/>
          <w:szCs w:val="24"/>
        </w:rPr>
        <w:t>.</w:t>
      </w:r>
    </w:p>
    <w:p w14:paraId="38C31721" w14:textId="1B6B5F60" w:rsidR="00293A82" w:rsidRPr="004738E4" w:rsidRDefault="00293A82"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Dabigatran</w:t>
      </w:r>
      <w:r w:rsidRPr="004738E4">
        <w:rPr>
          <w:rFonts w:ascii="Times New Roman" w:hAnsi="Times New Roman" w:cs="Times New Roman"/>
          <w:sz w:val="24"/>
          <w:szCs w:val="24"/>
        </w:rPr>
        <w:t xml:space="preserve">. The AUC is 20-30% higher in elderly women than elderly men </w:t>
      </w:r>
      <w:r w:rsidR="005941EE" w:rsidRPr="004738E4">
        <w:rPr>
          <w:rFonts w:ascii="Times New Roman" w:hAnsi="Times New Roman" w:cs="Times New Roman"/>
          <w:noProof/>
          <w:sz w:val="24"/>
          <w:szCs w:val="24"/>
        </w:rPr>
        <w:t>(34)</w:t>
      </w:r>
      <w:r w:rsidRPr="004738E4">
        <w:rPr>
          <w:rFonts w:ascii="Times New Roman" w:hAnsi="Times New Roman" w:cs="Times New Roman"/>
          <w:sz w:val="24"/>
          <w:szCs w:val="24"/>
        </w:rPr>
        <w:t xml:space="preserve">. Dabigatran was similarly effective for stroke prevention in both sexes, but it decreased the risk of major bleeding in men but not in women </w:t>
      </w:r>
      <w:r w:rsidR="005941EE" w:rsidRPr="004738E4">
        <w:rPr>
          <w:rFonts w:ascii="Times New Roman" w:hAnsi="Times New Roman" w:cs="Times New Roman"/>
          <w:noProof/>
          <w:sz w:val="24"/>
          <w:szCs w:val="24"/>
        </w:rPr>
        <w:t>(35)</w:t>
      </w:r>
      <w:r w:rsidRPr="004738E4">
        <w:rPr>
          <w:rFonts w:ascii="Times New Roman" w:hAnsi="Times New Roman" w:cs="Times New Roman"/>
          <w:sz w:val="24"/>
          <w:szCs w:val="24"/>
        </w:rPr>
        <w:t xml:space="preserve"> and a stratified analysis suggests increasing odds of dabigatran</w:t>
      </w:r>
      <w:r w:rsidR="00296569" w:rsidRPr="004738E4">
        <w:rPr>
          <w:rFonts w:ascii="Times New Roman" w:hAnsi="Times New Roman" w:cs="Times New Roman"/>
          <w:sz w:val="24"/>
          <w:szCs w:val="24"/>
        </w:rPr>
        <w:t>-</w:t>
      </w:r>
      <w:r w:rsidR="0081573C" w:rsidRPr="004738E4">
        <w:rPr>
          <w:rFonts w:ascii="Times New Roman" w:hAnsi="Times New Roman" w:cs="Times New Roman"/>
          <w:sz w:val="24"/>
          <w:szCs w:val="24"/>
        </w:rPr>
        <w:t>induced adverse bleeding</w:t>
      </w:r>
      <w:r w:rsidRPr="004738E4">
        <w:rPr>
          <w:rFonts w:ascii="Times New Roman" w:hAnsi="Times New Roman" w:cs="Times New Roman"/>
          <w:sz w:val="24"/>
          <w:szCs w:val="24"/>
        </w:rPr>
        <w:t xml:space="preserve"> as age increases among women </w:t>
      </w:r>
      <w:r w:rsidR="005941EE" w:rsidRPr="004738E4">
        <w:rPr>
          <w:rFonts w:ascii="Times New Roman" w:hAnsi="Times New Roman" w:cs="Times New Roman"/>
          <w:noProof/>
          <w:sz w:val="24"/>
          <w:szCs w:val="24"/>
        </w:rPr>
        <w:t>(36)</w:t>
      </w:r>
      <w:r w:rsidRPr="004738E4">
        <w:rPr>
          <w:rFonts w:ascii="Times New Roman" w:hAnsi="Times New Roman" w:cs="Times New Roman"/>
          <w:sz w:val="24"/>
          <w:szCs w:val="24"/>
        </w:rPr>
        <w:t>.</w:t>
      </w:r>
    </w:p>
    <w:p w14:paraId="6C3483F9" w14:textId="6338B2F5" w:rsidR="00293A82" w:rsidRPr="004738E4" w:rsidRDefault="009D6D2A"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Icatibant</w:t>
      </w:r>
      <w:r w:rsidR="00293A82" w:rsidRPr="004738E4">
        <w:rPr>
          <w:rFonts w:ascii="Times New Roman" w:hAnsi="Times New Roman" w:cs="Times New Roman"/>
          <w:sz w:val="24"/>
          <w:szCs w:val="24"/>
        </w:rPr>
        <w:t>. Younger women exhi</w:t>
      </w:r>
      <w:r w:rsidRPr="004738E4">
        <w:rPr>
          <w:rFonts w:ascii="Times New Roman" w:hAnsi="Times New Roman" w:cs="Times New Roman"/>
          <w:sz w:val="24"/>
          <w:szCs w:val="24"/>
        </w:rPr>
        <w:t xml:space="preserve">bited lower clearance rates </w:t>
      </w:r>
      <w:r w:rsidR="00293A82" w:rsidRPr="004738E4">
        <w:rPr>
          <w:rFonts w:ascii="Times New Roman" w:hAnsi="Times New Roman" w:cs="Times New Roman"/>
          <w:sz w:val="24"/>
          <w:szCs w:val="24"/>
        </w:rPr>
        <w:t>with 2.3-fold increases in both C</w:t>
      </w:r>
      <w:r w:rsidR="00293A82" w:rsidRPr="004738E4">
        <w:rPr>
          <w:rFonts w:ascii="Times New Roman" w:hAnsi="Times New Roman" w:cs="Times New Roman"/>
          <w:sz w:val="24"/>
          <w:szCs w:val="24"/>
          <w:vertAlign w:val="subscript"/>
        </w:rPr>
        <w:t>max</w:t>
      </w:r>
      <w:r w:rsidR="00293A82" w:rsidRPr="004738E4">
        <w:rPr>
          <w:rFonts w:ascii="Times New Roman" w:hAnsi="Times New Roman" w:cs="Times New Roman"/>
          <w:sz w:val="24"/>
          <w:szCs w:val="24"/>
        </w:rPr>
        <w:t xml:space="preserve"> and AUC compared to men (</w:t>
      </w:r>
      <w:r w:rsidR="00293A82" w:rsidRPr="004738E4">
        <w:rPr>
          <w:rFonts w:ascii="Times New Roman" w:hAnsi="Times New Roman" w:cs="Times New Roman"/>
          <w:sz w:val="24"/>
          <w:szCs w:val="24"/>
          <w:shd w:val="clear" w:color="auto" w:fill="FFFFFF"/>
        </w:rPr>
        <w:t>NDA 022150)</w:t>
      </w:r>
      <w:r w:rsidR="00293A82" w:rsidRPr="004738E4">
        <w:rPr>
          <w:rFonts w:ascii="Times New Roman" w:hAnsi="Times New Roman" w:cs="Times New Roman"/>
          <w:sz w:val="24"/>
          <w:szCs w:val="24"/>
        </w:rPr>
        <w:t>. In elderly females, C</w:t>
      </w:r>
      <w:r w:rsidR="00293A82" w:rsidRPr="004738E4">
        <w:rPr>
          <w:rFonts w:ascii="Times New Roman" w:hAnsi="Times New Roman" w:cs="Times New Roman"/>
          <w:sz w:val="24"/>
          <w:szCs w:val="24"/>
          <w:vertAlign w:val="subscript"/>
        </w:rPr>
        <w:t>max</w:t>
      </w:r>
      <w:r w:rsidR="00293A82" w:rsidRPr="004738E4">
        <w:rPr>
          <w:rFonts w:ascii="Times New Roman" w:hAnsi="Times New Roman" w:cs="Times New Roman"/>
          <w:sz w:val="24"/>
          <w:szCs w:val="24"/>
        </w:rPr>
        <w:t xml:space="preserve"> was similarly increased 2.3-fold compared to age-matched males, and AUC was 1.8-fold higher. Nevertheless, no dosage reductions are recommended for women on the drug label, justified based on post hoc PK analyses from two additional trials and a population PK analysis of all available data. The ADR ratio was 3.18</w:t>
      </w:r>
      <w:r w:rsidR="00D31750" w:rsidRPr="004738E4">
        <w:rPr>
          <w:rFonts w:ascii="Times New Roman" w:hAnsi="Times New Roman" w:cs="Times New Roman"/>
          <w:sz w:val="24"/>
          <w:szCs w:val="24"/>
        </w:rPr>
        <w:t>,</w:t>
      </w:r>
      <w:r w:rsidR="00293A82" w:rsidRPr="004738E4">
        <w:rPr>
          <w:rFonts w:ascii="Times New Roman" w:hAnsi="Times New Roman" w:cs="Times New Roman"/>
          <w:sz w:val="24"/>
          <w:szCs w:val="24"/>
        </w:rPr>
        <w:t xml:space="preserve"> based on 1765 reports.</w:t>
      </w:r>
    </w:p>
    <w:p w14:paraId="3A92317E" w14:textId="77777777" w:rsidR="00D31750" w:rsidRPr="004738E4" w:rsidRDefault="00D31750" w:rsidP="003406EE">
      <w:pPr>
        <w:shd w:val="clear" w:color="auto" w:fill="FFFFFF"/>
        <w:spacing w:after="0" w:line="480" w:lineRule="auto"/>
        <w:contextualSpacing/>
        <w:jc w:val="both"/>
        <w:rPr>
          <w:rFonts w:ascii="Times New Roman" w:hAnsi="Times New Roman" w:cs="Times New Roman"/>
          <w:sz w:val="24"/>
          <w:szCs w:val="24"/>
        </w:rPr>
      </w:pPr>
    </w:p>
    <w:p w14:paraId="14BB948C" w14:textId="614AB8CC"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C: Cardiovascular system</w:t>
      </w:r>
    </w:p>
    <w:p w14:paraId="14A1EE22" w14:textId="1549C4DE" w:rsidR="009D6D2A" w:rsidRPr="004738E4" w:rsidRDefault="00BF4F07" w:rsidP="003406EE">
      <w:pPr>
        <w:kinsoku w:val="0"/>
        <w:overflowPunct w:val="0"/>
        <w:autoSpaceDE w:val="0"/>
        <w:autoSpaceDN w:val="0"/>
        <w:adjustRightInd w:val="0"/>
        <w:spacing w:before="7" w:after="0" w:line="480" w:lineRule="auto"/>
        <w:ind w:right="104" w:firstLine="720"/>
        <w:contextualSpacing/>
        <w:jc w:val="both"/>
        <w:rPr>
          <w:rFonts w:ascii="Times New Roman" w:eastAsia="Times New Roman" w:hAnsi="Times New Roman" w:cs="Times New Roman"/>
          <w:sz w:val="24"/>
          <w:szCs w:val="24"/>
        </w:rPr>
      </w:pPr>
      <w:r w:rsidRPr="004738E4">
        <w:rPr>
          <w:rFonts w:ascii="Times New Roman" w:hAnsi="Times New Roman" w:cs="Times New Roman"/>
          <w:sz w:val="24"/>
          <w:szCs w:val="24"/>
        </w:rPr>
        <w:t xml:space="preserve">Over the past 4 decades the </w:t>
      </w:r>
      <w:r w:rsidR="00391AB5" w:rsidRPr="004738E4">
        <w:rPr>
          <w:rFonts w:ascii="Times New Roman" w:hAnsi="Times New Roman" w:cs="Times New Roman"/>
          <w:sz w:val="24"/>
          <w:szCs w:val="24"/>
        </w:rPr>
        <w:t xml:space="preserve">incidence of cardiovascular diseases has </w:t>
      </w:r>
      <w:r w:rsidRPr="004738E4">
        <w:rPr>
          <w:rFonts w:ascii="Times New Roman" w:hAnsi="Times New Roman" w:cs="Times New Roman"/>
          <w:sz w:val="24"/>
          <w:szCs w:val="24"/>
        </w:rPr>
        <w:t xml:space="preserve">been reported to </w:t>
      </w:r>
      <w:r w:rsidR="00391AB5" w:rsidRPr="004738E4">
        <w:rPr>
          <w:rFonts w:ascii="Times New Roman" w:hAnsi="Times New Roman" w:cs="Times New Roman"/>
          <w:sz w:val="24"/>
          <w:szCs w:val="24"/>
        </w:rPr>
        <w:t xml:space="preserve">progressively decline in men, but it has continued </w:t>
      </w:r>
      <w:r w:rsidRPr="004738E4">
        <w:rPr>
          <w:rFonts w:ascii="Times New Roman" w:hAnsi="Times New Roman" w:cs="Times New Roman"/>
          <w:sz w:val="24"/>
          <w:szCs w:val="24"/>
        </w:rPr>
        <w:t xml:space="preserve">nearly </w:t>
      </w:r>
      <w:r w:rsidR="00391AB5" w:rsidRPr="004738E4">
        <w:rPr>
          <w:rFonts w:ascii="Times New Roman" w:hAnsi="Times New Roman" w:cs="Times New Roman"/>
          <w:sz w:val="24"/>
          <w:szCs w:val="24"/>
        </w:rPr>
        <w:t xml:space="preserve">unchanged in women </w:t>
      </w:r>
      <w:r w:rsidR="005941EE" w:rsidRPr="004738E4">
        <w:rPr>
          <w:rFonts w:ascii="Times New Roman" w:hAnsi="Times New Roman" w:cs="Times New Roman"/>
          <w:noProof/>
          <w:sz w:val="24"/>
          <w:szCs w:val="24"/>
        </w:rPr>
        <w:t>(37)</w:t>
      </w:r>
      <w:r w:rsidRPr="004738E4">
        <w:rPr>
          <w:rFonts w:ascii="Times New Roman" w:hAnsi="Times New Roman" w:cs="Times New Roman"/>
          <w:sz w:val="24"/>
          <w:szCs w:val="24"/>
        </w:rPr>
        <w:t>.</w:t>
      </w:r>
      <w:r w:rsidR="00391AB5" w:rsidRPr="004738E4">
        <w:rPr>
          <w:rFonts w:ascii="Times New Roman" w:hAnsi="Times New Roman" w:cs="Times New Roman"/>
          <w:sz w:val="24"/>
          <w:szCs w:val="24"/>
        </w:rPr>
        <w:t xml:space="preserve"> HMG-CoA reductase inhibitors</w:t>
      </w:r>
      <w:r w:rsidRPr="004738E4">
        <w:rPr>
          <w:rFonts w:ascii="Times New Roman" w:hAnsi="Times New Roman" w:cs="Times New Roman"/>
          <w:sz w:val="24"/>
          <w:szCs w:val="24"/>
        </w:rPr>
        <w:t xml:space="preserve"> (statins) are a frontline treatment protocol for lipid management; statins</w:t>
      </w:r>
      <w:r w:rsidR="00391AB5" w:rsidRPr="004738E4">
        <w:rPr>
          <w:rFonts w:ascii="Times New Roman" w:hAnsi="Times New Roman" w:cs="Times New Roman"/>
          <w:sz w:val="24"/>
          <w:szCs w:val="24"/>
        </w:rPr>
        <w:t xml:space="preserve"> interfere with the action of HMG-CoA reductase, a key enzyme in the synthesis of cholesterol. </w:t>
      </w:r>
      <w:r w:rsidR="00391AB5" w:rsidRPr="004738E4">
        <w:rPr>
          <w:rFonts w:ascii="Times New Roman" w:hAnsi="Times New Roman" w:cs="Times New Roman"/>
          <w:sz w:val="24"/>
          <w:szCs w:val="24"/>
        </w:rPr>
        <w:lastRenderedPageBreak/>
        <w:t>The</w:t>
      </w:r>
      <w:r w:rsidR="00391AB5" w:rsidRPr="004738E4">
        <w:rPr>
          <w:rFonts w:ascii="Times New Roman" w:hAnsi="Times New Roman" w:cs="Times New Roman"/>
          <w:spacing w:val="16"/>
          <w:sz w:val="24"/>
          <w:szCs w:val="24"/>
        </w:rPr>
        <w:t xml:space="preserve"> </w:t>
      </w:r>
      <w:r w:rsidR="00391AB5" w:rsidRPr="004738E4">
        <w:rPr>
          <w:rFonts w:ascii="Times New Roman" w:hAnsi="Times New Roman" w:cs="Times New Roman"/>
          <w:sz w:val="24"/>
          <w:szCs w:val="24"/>
        </w:rPr>
        <w:t>benefit of statins in</w:t>
      </w:r>
      <w:r w:rsidR="00391AB5" w:rsidRPr="004738E4">
        <w:rPr>
          <w:rFonts w:ascii="Times New Roman" w:hAnsi="Times New Roman" w:cs="Times New Roman"/>
          <w:spacing w:val="16"/>
          <w:sz w:val="24"/>
          <w:szCs w:val="24"/>
        </w:rPr>
        <w:t xml:space="preserve"> </w:t>
      </w:r>
      <w:r w:rsidR="00391AB5" w:rsidRPr="004738E4">
        <w:rPr>
          <w:rFonts w:ascii="Times New Roman" w:hAnsi="Times New Roman" w:cs="Times New Roman"/>
          <w:sz w:val="24"/>
          <w:szCs w:val="24"/>
        </w:rPr>
        <w:t>women</w:t>
      </w:r>
      <w:r w:rsidR="00391AB5" w:rsidRPr="004738E4">
        <w:rPr>
          <w:rFonts w:ascii="Times New Roman" w:hAnsi="Times New Roman" w:cs="Times New Roman"/>
          <w:spacing w:val="16"/>
          <w:sz w:val="24"/>
          <w:szCs w:val="24"/>
        </w:rPr>
        <w:t xml:space="preserve"> </w:t>
      </w:r>
      <w:r w:rsidR="00391AB5" w:rsidRPr="004738E4">
        <w:rPr>
          <w:rFonts w:ascii="Times New Roman" w:hAnsi="Times New Roman" w:cs="Times New Roman"/>
          <w:sz w:val="24"/>
          <w:szCs w:val="24"/>
        </w:rPr>
        <w:t>for</w:t>
      </w:r>
      <w:r w:rsidR="00391AB5" w:rsidRPr="004738E4">
        <w:rPr>
          <w:rFonts w:ascii="Times New Roman" w:hAnsi="Times New Roman" w:cs="Times New Roman"/>
          <w:spacing w:val="17"/>
          <w:sz w:val="24"/>
          <w:szCs w:val="24"/>
        </w:rPr>
        <w:t xml:space="preserve"> </w:t>
      </w:r>
      <w:r w:rsidR="00391AB5" w:rsidRPr="004738E4">
        <w:rPr>
          <w:rFonts w:ascii="Times New Roman" w:hAnsi="Times New Roman" w:cs="Times New Roman"/>
          <w:sz w:val="24"/>
          <w:szCs w:val="24"/>
        </w:rPr>
        <w:t>secondary prevention has been demonstrated but, their role in primary prevention of</w:t>
      </w:r>
      <w:r w:rsidR="00391AB5" w:rsidRPr="004738E4">
        <w:rPr>
          <w:rFonts w:ascii="Times New Roman" w:hAnsi="Times New Roman" w:cs="Times New Roman"/>
          <w:spacing w:val="-16"/>
          <w:sz w:val="24"/>
          <w:szCs w:val="24"/>
        </w:rPr>
        <w:t xml:space="preserve"> </w:t>
      </w:r>
      <w:r w:rsidR="00391AB5" w:rsidRPr="004738E4">
        <w:rPr>
          <w:rFonts w:ascii="Times New Roman" w:hAnsi="Times New Roman" w:cs="Times New Roman"/>
          <w:sz w:val="24"/>
          <w:szCs w:val="24"/>
        </w:rPr>
        <w:t xml:space="preserve">cardiovascular disease remains controversial </w:t>
      </w:r>
      <w:r w:rsidR="005941EE" w:rsidRPr="004738E4">
        <w:rPr>
          <w:rFonts w:ascii="Times New Roman" w:hAnsi="Times New Roman" w:cs="Times New Roman"/>
          <w:noProof/>
          <w:sz w:val="24"/>
          <w:szCs w:val="24"/>
        </w:rPr>
        <w:t>(38)</w:t>
      </w:r>
      <w:r w:rsidR="00391AB5"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Clinical trials on statins have been conducted almost entirely on men </w:t>
      </w:r>
      <w:r w:rsidR="005941EE" w:rsidRPr="004738E4">
        <w:rPr>
          <w:rFonts w:ascii="Times New Roman" w:hAnsi="Times New Roman" w:cs="Times New Roman"/>
          <w:noProof/>
          <w:sz w:val="24"/>
          <w:szCs w:val="24"/>
        </w:rPr>
        <w:t>(39,40)</w:t>
      </w:r>
      <w:r w:rsidRPr="004738E4">
        <w:rPr>
          <w:rFonts w:ascii="Times New Roman" w:hAnsi="Times New Roman" w:cs="Times New Roman"/>
          <w:sz w:val="24"/>
          <w:szCs w:val="24"/>
        </w:rPr>
        <w:t xml:space="preserve">. </w:t>
      </w:r>
      <w:r w:rsidR="00391AB5" w:rsidRPr="004738E4">
        <w:rPr>
          <w:rFonts w:ascii="Times New Roman" w:hAnsi="Times New Roman" w:cs="Times New Roman"/>
          <w:sz w:val="24"/>
          <w:szCs w:val="24"/>
        </w:rPr>
        <w:t xml:space="preserve">Because statins have not been adequately tested in women, treatment decisions such as drug selection and dosing regimens for women are potentially dangerous </w:t>
      </w:r>
      <w:r w:rsidR="005941EE" w:rsidRPr="004738E4">
        <w:rPr>
          <w:rFonts w:ascii="Times New Roman" w:hAnsi="Times New Roman" w:cs="Times New Roman"/>
          <w:noProof/>
          <w:sz w:val="24"/>
          <w:szCs w:val="24"/>
        </w:rPr>
        <w:t>(41)</w:t>
      </w:r>
      <w:r w:rsidR="00391AB5" w:rsidRPr="004738E4">
        <w:rPr>
          <w:rFonts w:ascii="Times New Roman" w:hAnsi="Times New Roman" w:cs="Times New Roman"/>
          <w:sz w:val="24"/>
          <w:szCs w:val="24"/>
        </w:rPr>
        <w:t xml:space="preserve">. </w:t>
      </w:r>
      <w:r w:rsidR="009D6D2A" w:rsidRPr="004738E4">
        <w:rPr>
          <w:rFonts w:ascii="Times New Roman" w:eastAsia="Arial" w:hAnsi="Times New Roman" w:cs="Times New Roman"/>
          <w:sz w:val="24"/>
          <w:szCs w:val="24"/>
        </w:rPr>
        <w:t xml:space="preserve">In addition, women are more prone than men to develop </w:t>
      </w:r>
      <w:r w:rsidR="009D6D2A" w:rsidRPr="004738E4">
        <w:rPr>
          <w:rFonts w:ascii="Times New Roman" w:eastAsia="Times New Roman" w:hAnsi="Times New Roman" w:cs="Times New Roman"/>
          <w:i/>
          <w:sz w:val="24"/>
          <w:szCs w:val="24"/>
        </w:rPr>
        <w:t>torsades de pointes</w:t>
      </w:r>
      <w:r w:rsidR="009D6D2A" w:rsidRPr="004738E4">
        <w:rPr>
          <w:rFonts w:ascii="Times New Roman" w:eastAsia="Times New Roman" w:hAnsi="Times New Roman" w:cs="Times New Roman"/>
          <w:sz w:val="24"/>
          <w:szCs w:val="24"/>
        </w:rPr>
        <w:t xml:space="preserve"> (TdP), a life-threatening cardiac rhythm disturbance </w:t>
      </w:r>
      <w:r w:rsidR="009D6D2A" w:rsidRPr="004738E4">
        <w:rPr>
          <w:rFonts w:ascii="Times New Roman" w:eastAsia="Arial" w:hAnsi="Times New Roman" w:cs="Times New Roman"/>
          <w:sz w:val="24"/>
          <w:szCs w:val="24"/>
        </w:rPr>
        <w:t xml:space="preserve">during administration of multiple cardiovascular drugs that prolong cardiac repolarization </w:t>
      </w:r>
      <w:r w:rsidR="005941EE" w:rsidRPr="004738E4">
        <w:rPr>
          <w:rFonts w:ascii="Times New Roman" w:eastAsia="Arial" w:hAnsi="Times New Roman" w:cs="Times New Roman"/>
          <w:noProof/>
          <w:sz w:val="24"/>
          <w:szCs w:val="24"/>
        </w:rPr>
        <w:t>(42)</w:t>
      </w:r>
      <w:r w:rsidR="009D6D2A" w:rsidRPr="004738E4">
        <w:rPr>
          <w:rFonts w:ascii="Times New Roman" w:eastAsia="Arial" w:hAnsi="Times New Roman" w:cs="Times New Roman"/>
          <w:sz w:val="24"/>
          <w:szCs w:val="24"/>
        </w:rPr>
        <w:t xml:space="preserve">. </w:t>
      </w:r>
      <w:r w:rsidR="009D6D2A" w:rsidRPr="004738E4">
        <w:rPr>
          <w:rFonts w:ascii="Times New Roman" w:eastAsia="Times New Roman" w:hAnsi="Times New Roman" w:cs="Times New Roman"/>
          <w:sz w:val="24"/>
          <w:szCs w:val="24"/>
        </w:rPr>
        <w:t xml:space="preserve"> </w:t>
      </w:r>
    </w:p>
    <w:p w14:paraId="11A75E39" w14:textId="684DB89F" w:rsidR="00AF2088" w:rsidRPr="004738E4" w:rsidRDefault="00AF2088" w:rsidP="003406EE">
      <w:pPr>
        <w:spacing w:after="0" w:line="480" w:lineRule="auto"/>
        <w:ind w:firstLine="720"/>
        <w:contextualSpacing/>
        <w:jc w:val="both"/>
        <w:rPr>
          <w:rFonts w:ascii="Times New Roman" w:hAnsi="Times New Roman" w:cs="Times New Roman"/>
          <w:iCs/>
          <w:sz w:val="24"/>
          <w:szCs w:val="24"/>
        </w:rPr>
      </w:pPr>
      <w:r w:rsidRPr="004738E4">
        <w:rPr>
          <w:rFonts w:ascii="Times New Roman" w:hAnsi="Times New Roman" w:cs="Times New Roman"/>
          <w:bCs/>
          <w:iCs/>
          <w:sz w:val="24"/>
          <w:szCs w:val="24"/>
          <w:u w:val="single"/>
        </w:rPr>
        <w:t>Torasemide</w:t>
      </w:r>
      <w:r w:rsidRPr="004738E4">
        <w:rPr>
          <w:rFonts w:ascii="Times New Roman" w:hAnsi="Times New Roman" w:cs="Times New Roman"/>
          <w:bCs/>
          <w:iCs/>
          <w:sz w:val="24"/>
          <w:szCs w:val="24"/>
        </w:rPr>
        <w:t>. Both absolute and body weight-adjusted AUC and C</w:t>
      </w:r>
      <w:r w:rsidRPr="004738E4">
        <w:rPr>
          <w:rFonts w:ascii="Times New Roman" w:hAnsi="Times New Roman" w:cs="Times New Roman"/>
          <w:bCs/>
          <w:iCs/>
          <w:sz w:val="24"/>
          <w:szCs w:val="24"/>
          <w:vertAlign w:val="subscript"/>
        </w:rPr>
        <w:t>max</w:t>
      </w:r>
      <w:r w:rsidRPr="004738E4">
        <w:rPr>
          <w:rFonts w:ascii="Times New Roman" w:hAnsi="Times New Roman" w:cs="Times New Roman"/>
          <w:bCs/>
          <w:iCs/>
          <w:sz w:val="24"/>
          <w:szCs w:val="24"/>
        </w:rPr>
        <w:t xml:space="preserve"> values </w:t>
      </w:r>
      <w:r w:rsidRPr="004738E4">
        <w:rPr>
          <w:rFonts w:ascii="Times New Roman" w:hAnsi="Times New Roman" w:cs="Times New Roman"/>
          <w:sz w:val="24"/>
          <w:szCs w:val="24"/>
        </w:rPr>
        <w:t>were 30% to 40% higher in women than men</w:t>
      </w:r>
      <w:r w:rsidR="00D31750" w:rsidRPr="004738E4">
        <w:rPr>
          <w:rFonts w:ascii="Times New Roman" w:hAnsi="Times New Roman" w:cs="Times New Roman"/>
          <w:sz w:val="24"/>
          <w:szCs w:val="24"/>
        </w:rPr>
        <w:t xml:space="preserve">, </w:t>
      </w:r>
      <w:r w:rsidR="00D31750" w:rsidRPr="004738E4">
        <w:rPr>
          <w:rFonts w:ascii="Times New Roman" w:hAnsi="Times New Roman" w:cs="Times New Roman"/>
          <w:i/>
          <w:sz w:val="24"/>
          <w:szCs w:val="24"/>
        </w:rPr>
        <w:t>t</w:t>
      </w:r>
      <w:r w:rsidR="00D31750" w:rsidRPr="004738E4">
        <w:rPr>
          <w:rFonts w:ascii="Times New Roman" w:hAnsi="Times New Roman" w:cs="Times New Roman"/>
          <w:sz w:val="24"/>
          <w:szCs w:val="24"/>
          <w:vertAlign w:val="subscript"/>
        </w:rPr>
        <w:t>1/2</w:t>
      </w:r>
      <w:r w:rsidR="00D31750" w:rsidRPr="004738E4">
        <w:rPr>
          <w:rFonts w:ascii="Times New Roman" w:hAnsi="Times New Roman" w:cs="Times New Roman"/>
          <w:sz w:val="24"/>
          <w:szCs w:val="24"/>
        </w:rPr>
        <w:t xml:space="preserve"> was significantly longer and oral clearance was slower</w:t>
      </w:r>
      <w:r w:rsidR="00AF7840" w:rsidRPr="004738E4">
        <w:rPr>
          <w:rFonts w:ascii="Times New Roman" w:hAnsi="Times New Roman" w:cs="Times New Roman"/>
          <w:sz w:val="24"/>
          <w:szCs w:val="24"/>
        </w:rPr>
        <w:t xml:space="preserve"> </w:t>
      </w:r>
      <w:r w:rsidR="00D31750" w:rsidRPr="004738E4">
        <w:rPr>
          <w:rFonts w:ascii="Times New Roman" w:hAnsi="Times New Roman" w:cs="Times New Roman"/>
          <w:sz w:val="24"/>
          <w:szCs w:val="24"/>
        </w:rPr>
        <w:t>in women</w:t>
      </w:r>
      <w:r w:rsidR="00225E2D"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(43)</w:t>
      </w:r>
      <w:r w:rsidR="00BF4F07" w:rsidRPr="004738E4">
        <w:rPr>
          <w:rFonts w:ascii="Times New Roman" w:hAnsi="Times New Roman" w:cs="Times New Roman"/>
          <w:iCs/>
          <w:sz w:val="24"/>
          <w:szCs w:val="24"/>
        </w:rPr>
        <w:t xml:space="preserve">. These </w:t>
      </w:r>
      <w:r w:rsidR="00821491" w:rsidRPr="004738E4">
        <w:rPr>
          <w:rFonts w:ascii="Times New Roman" w:hAnsi="Times New Roman" w:cs="Times New Roman"/>
          <w:iCs/>
          <w:sz w:val="24"/>
          <w:szCs w:val="24"/>
        </w:rPr>
        <w:t>sex</w:t>
      </w:r>
      <w:r w:rsidR="00BF4F07" w:rsidRPr="004738E4">
        <w:rPr>
          <w:rFonts w:ascii="Times New Roman" w:hAnsi="Times New Roman" w:cs="Times New Roman"/>
          <w:iCs/>
          <w:sz w:val="24"/>
          <w:szCs w:val="24"/>
        </w:rPr>
        <w:t xml:space="preserve"> differences </w:t>
      </w:r>
      <w:r w:rsidR="00BE2A6E" w:rsidRPr="004738E4">
        <w:rPr>
          <w:rFonts w:ascii="Times New Roman" w:hAnsi="Times New Roman" w:cs="Times New Roman"/>
          <w:iCs/>
          <w:sz w:val="24"/>
          <w:szCs w:val="24"/>
        </w:rPr>
        <w:t xml:space="preserve">are </w:t>
      </w:r>
      <w:r w:rsidR="00BF4F07" w:rsidRPr="004738E4">
        <w:rPr>
          <w:rFonts w:ascii="Times New Roman" w:hAnsi="Times New Roman" w:cs="Times New Roman"/>
          <w:iCs/>
          <w:sz w:val="24"/>
          <w:szCs w:val="24"/>
        </w:rPr>
        <w:t>accompan</w:t>
      </w:r>
      <w:r w:rsidR="00BE2A6E" w:rsidRPr="004738E4">
        <w:rPr>
          <w:rFonts w:ascii="Times New Roman" w:hAnsi="Times New Roman" w:cs="Times New Roman"/>
          <w:iCs/>
          <w:sz w:val="24"/>
          <w:szCs w:val="24"/>
        </w:rPr>
        <w:t>ied by</w:t>
      </w:r>
      <w:r w:rsidR="00BF4F07" w:rsidRPr="004738E4">
        <w:rPr>
          <w:rFonts w:ascii="Times New Roman" w:hAnsi="Times New Roman" w:cs="Times New Roman"/>
          <w:iCs/>
          <w:sz w:val="24"/>
          <w:szCs w:val="24"/>
        </w:rPr>
        <w:t xml:space="preserve"> a higher rate of major ADRs in women; a pharmacovigilance project indicated that 66% of hospitalizations due to torasemide ADRs occurred in women</w:t>
      </w:r>
      <w:r w:rsidR="00FF4B3B" w:rsidRPr="004738E4">
        <w:rPr>
          <w:rFonts w:ascii="Times New Roman" w:hAnsi="Times New Roman" w:cs="Times New Roman"/>
          <w:iCs/>
          <w:sz w:val="24"/>
          <w:szCs w:val="24"/>
        </w:rPr>
        <w:t xml:space="preserve">, a number that was not accounted for by </w:t>
      </w:r>
      <w:r w:rsidR="00821491" w:rsidRPr="004738E4">
        <w:rPr>
          <w:rFonts w:ascii="Times New Roman" w:hAnsi="Times New Roman" w:cs="Times New Roman"/>
          <w:iCs/>
          <w:sz w:val="24"/>
          <w:szCs w:val="24"/>
        </w:rPr>
        <w:t>sex</w:t>
      </w:r>
      <w:r w:rsidR="00FF4B3B" w:rsidRPr="004738E4">
        <w:rPr>
          <w:rFonts w:ascii="Adobe Caslon Pro" w:hAnsi="Adobe Caslon Pro" w:cs="Adobe Caslon Pro"/>
          <w:iCs/>
          <w:sz w:val="24"/>
          <w:szCs w:val="24"/>
        </w:rPr>
        <w:t>‐</w:t>
      </w:r>
      <w:r w:rsidR="00FF4B3B" w:rsidRPr="004738E4">
        <w:rPr>
          <w:rFonts w:ascii="Times New Roman" w:hAnsi="Times New Roman" w:cs="Times New Roman"/>
          <w:iCs/>
          <w:sz w:val="24"/>
          <w:szCs w:val="24"/>
        </w:rPr>
        <w:t xml:space="preserve">specific differences in drug prescription rates </w:t>
      </w:r>
      <w:r w:rsidR="005941EE" w:rsidRPr="004738E4">
        <w:rPr>
          <w:rFonts w:ascii="Times New Roman" w:hAnsi="Times New Roman" w:cs="Times New Roman"/>
          <w:iCs/>
          <w:noProof/>
          <w:sz w:val="24"/>
          <w:szCs w:val="24"/>
        </w:rPr>
        <w:t>(43)</w:t>
      </w:r>
      <w:r w:rsidR="00BF4F07" w:rsidRPr="004738E4">
        <w:rPr>
          <w:rFonts w:ascii="Times New Roman" w:hAnsi="Times New Roman" w:cs="Times New Roman"/>
          <w:iCs/>
          <w:sz w:val="24"/>
          <w:szCs w:val="24"/>
        </w:rPr>
        <w:t xml:space="preserve">. </w:t>
      </w:r>
    </w:p>
    <w:p w14:paraId="2FF4D5A8" w14:textId="68EB796F" w:rsidR="00AF2088" w:rsidRPr="004738E4" w:rsidRDefault="00AF2088"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bCs/>
          <w:sz w:val="24"/>
          <w:szCs w:val="24"/>
          <w:u w:val="single"/>
        </w:rPr>
        <w:t>Pravastatin.</w:t>
      </w:r>
      <w:r w:rsidRPr="004738E4">
        <w:rPr>
          <w:rFonts w:ascii="Times New Roman" w:hAnsi="Times New Roman" w:cs="Times New Roman"/>
          <w:sz w:val="24"/>
          <w:szCs w:val="24"/>
        </w:rPr>
        <w:t xml:space="preserve"> Among patients </w:t>
      </w:r>
      <w:r w:rsidRPr="004738E4">
        <w:rPr>
          <w:rFonts w:ascii="Times New Roman" w:hAnsi="Times New Roman" w:cs="Times New Roman"/>
          <w:bCs/>
          <w:sz w:val="24"/>
          <w:szCs w:val="24"/>
        </w:rPr>
        <w:t xml:space="preserve">with a specific hepatic transporter molecule genotype (SLCO1B1 c.521TT genotype) </w:t>
      </w:r>
      <w:r w:rsidRPr="004738E4">
        <w:rPr>
          <w:rFonts w:ascii="Times New Roman" w:hAnsi="Times New Roman" w:cs="Times New Roman"/>
          <w:sz w:val="24"/>
          <w:szCs w:val="24"/>
        </w:rPr>
        <w:t>w</w:t>
      </w:r>
      <w:r w:rsidRPr="004738E4">
        <w:rPr>
          <w:rFonts w:ascii="Times New Roman" w:hAnsi="Times New Roman" w:cs="Times New Roman"/>
          <w:bCs/>
          <w:sz w:val="24"/>
          <w:szCs w:val="24"/>
        </w:rPr>
        <w:t xml:space="preserve">omen administered a single dose of pravastatin had a 147% greater peak concentration in plasma over the next 12 h, and a 142% greater AUC than men </w:t>
      </w:r>
      <w:r w:rsidR="005941EE" w:rsidRPr="004738E4">
        <w:rPr>
          <w:rFonts w:ascii="Times New Roman" w:hAnsi="Times New Roman" w:cs="Times New Roman"/>
          <w:bCs/>
          <w:noProof/>
          <w:sz w:val="24"/>
          <w:szCs w:val="24"/>
        </w:rPr>
        <w:t>(44)</w:t>
      </w:r>
      <w:r w:rsidRPr="004738E4">
        <w:rPr>
          <w:rFonts w:ascii="Times New Roman" w:hAnsi="Times New Roman" w:cs="Times New Roman"/>
          <w:bCs/>
          <w:sz w:val="24"/>
          <w:szCs w:val="24"/>
        </w:rPr>
        <w:t>.</w:t>
      </w:r>
      <w:r w:rsidRPr="004738E4">
        <w:rPr>
          <w:rFonts w:ascii="Times New Roman" w:hAnsi="Times New Roman" w:cs="Times New Roman"/>
          <w:sz w:val="24"/>
          <w:szCs w:val="24"/>
        </w:rPr>
        <w:t xml:space="preserve"> The incidence of coronary heart disease was more pronounced in older women than in older men </w:t>
      </w:r>
      <w:r w:rsidR="005941EE" w:rsidRPr="004738E4">
        <w:rPr>
          <w:rFonts w:ascii="Times New Roman" w:hAnsi="Times New Roman" w:cs="Times New Roman"/>
          <w:noProof/>
          <w:sz w:val="24"/>
          <w:szCs w:val="24"/>
        </w:rPr>
        <w:t>(45)</w:t>
      </w:r>
      <w:r w:rsidRPr="004738E4">
        <w:rPr>
          <w:rFonts w:ascii="Times New Roman" w:hAnsi="Times New Roman" w:cs="Times New Roman"/>
          <w:sz w:val="24"/>
          <w:szCs w:val="24"/>
        </w:rPr>
        <w:t xml:space="preserve">. </w:t>
      </w:r>
    </w:p>
    <w:p w14:paraId="5C4506C8" w14:textId="5CDFD357" w:rsidR="00AF2088" w:rsidRPr="004738E4" w:rsidRDefault="00607150"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u w:val="single"/>
        </w:rPr>
        <w:t>Amlo</w:t>
      </w:r>
      <w:r w:rsidR="00AF2088" w:rsidRPr="004738E4">
        <w:rPr>
          <w:rFonts w:ascii="Times New Roman" w:eastAsia="Times New Roman" w:hAnsi="Times New Roman" w:cs="Times New Roman"/>
          <w:sz w:val="24"/>
          <w:szCs w:val="24"/>
          <w:u w:val="single"/>
        </w:rPr>
        <w:t>dipine</w:t>
      </w:r>
      <w:r w:rsidR="00AF2088" w:rsidRPr="004738E4">
        <w:rPr>
          <w:rFonts w:ascii="Times New Roman" w:eastAsia="Times New Roman" w:hAnsi="Times New Roman" w:cs="Times New Roman"/>
          <w:sz w:val="24"/>
          <w:szCs w:val="24"/>
        </w:rPr>
        <w:t xml:space="preserve">. In middle-aged and older patients, clearance was ~30% faster in women than men </w:t>
      </w:r>
      <w:r w:rsidR="005941EE" w:rsidRPr="004738E4">
        <w:rPr>
          <w:rFonts w:ascii="Times New Roman" w:eastAsia="Times New Roman" w:hAnsi="Times New Roman" w:cs="Times New Roman"/>
          <w:noProof/>
          <w:sz w:val="24"/>
          <w:szCs w:val="24"/>
        </w:rPr>
        <w:t>(46)</w:t>
      </w:r>
      <w:r w:rsidR="00AF2088" w:rsidRPr="004738E4">
        <w:rPr>
          <w:rFonts w:ascii="Times New Roman" w:eastAsia="Times New Roman" w:hAnsi="Times New Roman" w:cs="Times New Roman"/>
          <w:sz w:val="24"/>
          <w:szCs w:val="24"/>
        </w:rPr>
        <w:t>. Adverse reactions are substantially more common in women for edema, flushing and palpitations (Norvasc; product label).</w:t>
      </w:r>
      <w:r w:rsidR="00AF2088" w:rsidRPr="004738E4">
        <w:rPr>
          <w:rFonts w:ascii="Times New Roman" w:hAnsi="Times New Roman" w:cs="Times New Roman"/>
          <w:sz w:val="24"/>
          <w:szCs w:val="24"/>
        </w:rPr>
        <w:t xml:space="preserve"> </w:t>
      </w:r>
    </w:p>
    <w:p w14:paraId="1AFC9AD9" w14:textId="06078B93" w:rsidR="00AF2088" w:rsidRPr="004738E4" w:rsidRDefault="00AF2088"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Digoxin</w:t>
      </w:r>
      <w:r w:rsidRPr="004738E4">
        <w:rPr>
          <w:rFonts w:ascii="Times New Roman" w:hAnsi="Times New Roman" w:cs="Times New Roman"/>
          <w:sz w:val="24"/>
          <w:szCs w:val="24"/>
        </w:rPr>
        <w:t xml:space="preserve">. Clearance is 12-14% lower in women than men </w:t>
      </w:r>
      <w:r w:rsidR="005941EE" w:rsidRPr="004738E4">
        <w:rPr>
          <w:rFonts w:ascii="Times New Roman" w:hAnsi="Times New Roman" w:cs="Times New Roman"/>
          <w:noProof/>
          <w:sz w:val="24"/>
          <w:szCs w:val="24"/>
        </w:rPr>
        <w:t>(47)</w:t>
      </w:r>
      <w:r w:rsidRPr="004738E4">
        <w:rPr>
          <w:rFonts w:ascii="Times New Roman" w:hAnsi="Times New Roman" w:cs="Times New Roman"/>
          <w:sz w:val="24"/>
          <w:szCs w:val="24"/>
        </w:rPr>
        <w:t xml:space="preserve">. The original digoxin trial suggested increased mortality among women. Death from any cause was 5.8% higher in women </w:t>
      </w:r>
      <w:r w:rsidR="005941EE" w:rsidRPr="004738E4">
        <w:rPr>
          <w:rFonts w:ascii="Times New Roman" w:hAnsi="Times New Roman" w:cs="Times New Roman"/>
          <w:noProof/>
          <w:sz w:val="24"/>
          <w:szCs w:val="24"/>
        </w:rPr>
        <w:lastRenderedPageBreak/>
        <w:t>(48)</w:t>
      </w:r>
      <w:r w:rsidRPr="004738E4">
        <w:rPr>
          <w:rFonts w:ascii="Times New Roman" w:hAnsi="Times New Roman" w:cs="Times New Roman"/>
          <w:sz w:val="24"/>
          <w:szCs w:val="24"/>
        </w:rPr>
        <w:t xml:space="preserve"> perhaps reflecting higher drug concentrations </w:t>
      </w:r>
      <w:r w:rsidR="005941EE" w:rsidRPr="004738E4">
        <w:rPr>
          <w:rFonts w:ascii="Times New Roman" w:hAnsi="Times New Roman" w:cs="Times New Roman"/>
          <w:noProof/>
          <w:sz w:val="24"/>
          <w:szCs w:val="24"/>
        </w:rPr>
        <w:t>(49)</w:t>
      </w:r>
      <w:r w:rsidRPr="004738E4">
        <w:rPr>
          <w:rFonts w:ascii="Times New Roman" w:hAnsi="Times New Roman" w:cs="Times New Roman"/>
          <w:sz w:val="24"/>
          <w:szCs w:val="24"/>
        </w:rPr>
        <w:t>. Digoxin therapy is associated with an increased risk of death from any</w:t>
      </w:r>
      <w:r w:rsidR="00225E2D" w:rsidRPr="004738E4">
        <w:rPr>
          <w:rFonts w:ascii="Times New Roman" w:hAnsi="Times New Roman" w:cs="Times New Roman"/>
          <w:sz w:val="24"/>
          <w:szCs w:val="24"/>
        </w:rPr>
        <w:t xml:space="preserve"> cause among women, but not men</w:t>
      </w:r>
      <w:r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(50)</w:t>
      </w:r>
      <w:r w:rsidRPr="004738E4">
        <w:rPr>
          <w:rFonts w:ascii="Times New Roman" w:hAnsi="Times New Roman" w:cs="Times New Roman"/>
          <w:sz w:val="24"/>
          <w:szCs w:val="24"/>
        </w:rPr>
        <w:t xml:space="preserve">. It has been suggested that patient sex should be considered when prescribing this drug </w:t>
      </w:r>
      <w:r w:rsidR="005941EE" w:rsidRPr="004738E4">
        <w:rPr>
          <w:rFonts w:ascii="Times New Roman" w:hAnsi="Times New Roman" w:cs="Times New Roman"/>
          <w:noProof/>
          <w:sz w:val="24"/>
          <w:szCs w:val="24"/>
        </w:rPr>
        <w:t>(51,52)</w:t>
      </w:r>
      <w:r w:rsidRPr="004738E4">
        <w:rPr>
          <w:rFonts w:ascii="Times New Roman" w:hAnsi="Times New Roman" w:cs="Times New Roman"/>
          <w:sz w:val="24"/>
          <w:szCs w:val="24"/>
        </w:rPr>
        <w:t xml:space="preserve">. </w:t>
      </w:r>
    </w:p>
    <w:p w14:paraId="785744CB" w14:textId="6F2E50AE" w:rsidR="00AF2088" w:rsidRPr="004738E4" w:rsidRDefault="00AF2088" w:rsidP="003406EE">
      <w:pPr>
        <w:tabs>
          <w:tab w:val="left" w:pos="8730"/>
        </w:tabs>
        <w:kinsoku w:val="0"/>
        <w:overflowPunct w:val="0"/>
        <w:spacing w:before="8" w:after="120" w:line="480" w:lineRule="auto"/>
        <w:ind w:left="39" w:firstLine="681"/>
        <w:contextualSpacing/>
        <w:jc w:val="both"/>
        <w:rPr>
          <w:rFonts w:ascii="Times New Roman" w:hAnsi="Times New Roman" w:cs="Times New Roman"/>
          <w:bCs/>
          <w:sz w:val="24"/>
          <w:szCs w:val="24"/>
        </w:rPr>
      </w:pPr>
      <w:r w:rsidRPr="004738E4">
        <w:rPr>
          <w:rFonts w:ascii="Times New Roman" w:hAnsi="Times New Roman" w:cs="Times New Roman"/>
          <w:sz w:val="24"/>
          <w:szCs w:val="24"/>
          <w:u w:val="single"/>
        </w:rPr>
        <w:t>Verapamil</w:t>
      </w:r>
      <w:r w:rsidRPr="004738E4">
        <w:rPr>
          <w:rFonts w:ascii="Times New Roman" w:hAnsi="Times New Roman" w:cs="Times New Roman"/>
          <w:sz w:val="24"/>
          <w:szCs w:val="24"/>
        </w:rPr>
        <w:t>.</w:t>
      </w:r>
      <w:r w:rsidRPr="004738E4">
        <w:rPr>
          <w:rFonts w:ascii="Times New Roman" w:hAnsi="Times New Roman" w:cs="Times New Roman"/>
          <w:spacing w:val="13"/>
          <w:sz w:val="24"/>
          <w:szCs w:val="24"/>
        </w:rPr>
        <w:t xml:space="preserve"> </w:t>
      </w:r>
      <w:r w:rsidRPr="004738E4">
        <w:rPr>
          <w:rFonts w:ascii="Times New Roman" w:hAnsi="Times New Roman" w:cs="Times New Roman"/>
          <w:bCs/>
          <w:sz w:val="24"/>
          <w:szCs w:val="24"/>
        </w:rPr>
        <w:t xml:space="preserve">Clearance of oral verapamil was accelerated in women </w:t>
      </w:r>
      <w:r w:rsidR="005941EE" w:rsidRPr="004738E4">
        <w:rPr>
          <w:rFonts w:ascii="Times New Roman" w:hAnsi="Times New Roman" w:cs="Times New Roman"/>
          <w:noProof/>
          <w:sz w:val="24"/>
          <w:szCs w:val="24"/>
        </w:rPr>
        <w:t>(53)</w:t>
      </w:r>
      <w:r w:rsidRPr="004738E4">
        <w:rPr>
          <w:rFonts w:ascii="Times New Roman" w:hAnsi="Times New Roman" w:cs="Times New Roman"/>
          <w:bCs/>
          <w:sz w:val="24"/>
          <w:szCs w:val="24"/>
        </w:rPr>
        <w:t>; the</w:t>
      </w:r>
      <w:r w:rsidRPr="004738E4">
        <w:rPr>
          <w:rFonts w:ascii="Times New Roman" w:hAnsi="Times New Roman" w:cs="Times New Roman"/>
          <w:sz w:val="24"/>
          <w:szCs w:val="24"/>
        </w:rPr>
        <w:t xml:space="preserve"> </w:t>
      </w:r>
      <w:r w:rsidRPr="004738E4">
        <w:rPr>
          <w:rFonts w:ascii="Times New Roman" w:hAnsi="Times New Roman" w:cs="Times New Roman"/>
          <w:i/>
          <w:sz w:val="24"/>
          <w:szCs w:val="24"/>
        </w:rPr>
        <w:t>t</w:t>
      </w:r>
      <w:r w:rsidRPr="004738E4">
        <w:rPr>
          <w:rFonts w:ascii="Times New Roman" w:hAnsi="Times New Roman" w:cs="Times New Roman"/>
          <w:sz w:val="24"/>
          <w:szCs w:val="24"/>
          <w:vertAlign w:val="subscript"/>
        </w:rPr>
        <w:t>1/2</w:t>
      </w:r>
      <w:r w:rsidRPr="004738E4">
        <w:rPr>
          <w:rFonts w:ascii="Times New Roman" w:hAnsi="Times New Roman" w:cs="Times New Roman"/>
          <w:spacing w:val="13"/>
          <w:sz w:val="24"/>
          <w:szCs w:val="24"/>
        </w:rPr>
        <w:t xml:space="preserve"> </w:t>
      </w:r>
      <w:r w:rsidRPr="004738E4">
        <w:rPr>
          <w:rFonts w:ascii="Times New Roman" w:hAnsi="Times New Roman" w:cs="Times New Roman"/>
          <w:spacing w:val="-1"/>
          <w:sz w:val="24"/>
          <w:szCs w:val="24"/>
        </w:rPr>
        <w:t xml:space="preserve">of </w:t>
      </w:r>
      <w:r w:rsidRPr="004738E4">
        <w:rPr>
          <w:rFonts w:ascii="Times New Roman" w:hAnsi="Times New Roman" w:cs="Times New Roman"/>
          <w:sz w:val="24"/>
          <w:szCs w:val="24"/>
        </w:rPr>
        <w:t>verapamil</w:t>
      </w:r>
      <w:r w:rsidRPr="004738E4">
        <w:rPr>
          <w:rFonts w:ascii="Times New Roman" w:hAnsi="Times New Roman" w:cs="Times New Roman"/>
          <w:spacing w:val="13"/>
          <w:sz w:val="24"/>
          <w:szCs w:val="24"/>
        </w:rPr>
        <w:t xml:space="preserve"> </w:t>
      </w:r>
      <w:r w:rsidRPr="004738E4">
        <w:rPr>
          <w:rFonts w:ascii="Times New Roman" w:hAnsi="Times New Roman" w:cs="Times New Roman"/>
          <w:sz w:val="24"/>
          <w:szCs w:val="24"/>
        </w:rPr>
        <w:t>and</w:t>
      </w:r>
      <w:r w:rsidRPr="004738E4">
        <w:rPr>
          <w:rFonts w:ascii="Times New Roman" w:hAnsi="Times New Roman" w:cs="Times New Roman"/>
          <w:spacing w:val="13"/>
          <w:sz w:val="24"/>
          <w:szCs w:val="24"/>
        </w:rPr>
        <w:t xml:space="preserve"> </w:t>
      </w:r>
      <w:r w:rsidRPr="004738E4">
        <w:rPr>
          <w:rFonts w:ascii="Times New Roman" w:hAnsi="Times New Roman" w:cs="Times New Roman"/>
          <w:sz w:val="24"/>
          <w:szCs w:val="24"/>
        </w:rPr>
        <w:t>mean</w:t>
      </w:r>
      <w:r w:rsidRPr="004738E4">
        <w:rPr>
          <w:rFonts w:ascii="Times New Roman" w:hAnsi="Times New Roman" w:cs="Times New Roman"/>
          <w:spacing w:val="12"/>
          <w:sz w:val="24"/>
          <w:szCs w:val="24"/>
        </w:rPr>
        <w:t xml:space="preserve"> </w:t>
      </w:r>
      <w:r w:rsidRPr="004738E4">
        <w:rPr>
          <w:rFonts w:ascii="Times New Roman" w:hAnsi="Times New Roman" w:cs="Times New Roman"/>
          <w:sz w:val="24"/>
          <w:szCs w:val="24"/>
        </w:rPr>
        <w:t>res</w:t>
      </w:r>
      <w:r w:rsidRPr="004738E4">
        <w:rPr>
          <w:rFonts w:ascii="Times New Roman" w:hAnsi="Times New Roman" w:cs="Times New Roman"/>
          <w:spacing w:val="-3"/>
          <w:sz w:val="24"/>
          <w:szCs w:val="24"/>
        </w:rPr>
        <w:t>i</w:t>
      </w:r>
      <w:r w:rsidRPr="004738E4">
        <w:rPr>
          <w:rFonts w:ascii="Times New Roman" w:hAnsi="Times New Roman" w:cs="Times New Roman"/>
          <w:sz w:val="24"/>
          <w:szCs w:val="24"/>
        </w:rPr>
        <w:t>dence</w:t>
      </w:r>
      <w:r w:rsidRPr="004738E4">
        <w:rPr>
          <w:rFonts w:ascii="Times New Roman" w:hAnsi="Times New Roman" w:cs="Times New Roman"/>
          <w:spacing w:val="13"/>
          <w:sz w:val="24"/>
          <w:szCs w:val="24"/>
        </w:rPr>
        <w:t xml:space="preserve"> </w:t>
      </w:r>
      <w:r w:rsidRPr="004738E4">
        <w:rPr>
          <w:rFonts w:ascii="Times New Roman" w:hAnsi="Times New Roman" w:cs="Times New Roman"/>
          <w:sz w:val="24"/>
          <w:szCs w:val="24"/>
        </w:rPr>
        <w:t>time</w:t>
      </w:r>
      <w:r w:rsidRPr="004738E4">
        <w:rPr>
          <w:rFonts w:ascii="Times New Roman" w:hAnsi="Times New Roman" w:cs="Times New Roman"/>
          <w:spacing w:val="13"/>
          <w:sz w:val="24"/>
          <w:szCs w:val="24"/>
        </w:rPr>
        <w:t xml:space="preserve"> </w:t>
      </w:r>
      <w:r w:rsidRPr="004738E4">
        <w:rPr>
          <w:rFonts w:ascii="Times New Roman" w:hAnsi="Times New Roman" w:cs="Times New Roman"/>
          <w:sz w:val="24"/>
          <w:szCs w:val="24"/>
        </w:rPr>
        <w:t>we</w:t>
      </w:r>
      <w:r w:rsidRPr="004738E4">
        <w:rPr>
          <w:rFonts w:ascii="Times New Roman" w:hAnsi="Times New Roman" w:cs="Times New Roman"/>
          <w:spacing w:val="-3"/>
          <w:sz w:val="24"/>
          <w:szCs w:val="24"/>
        </w:rPr>
        <w:t>r</w:t>
      </w:r>
      <w:r w:rsidRPr="004738E4">
        <w:rPr>
          <w:rFonts w:ascii="Times New Roman" w:hAnsi="Times New Roman" w:cs="Times New Roman"/>
          <w:sz w:val="24"/>
          <w:szCs w:val="24"/>
        </w:rPr>
        <w:t>e significantly shorter</w:t>
      </w:r>
      <w:r w:rsidRPr="004738E4">
        <w:rPr>
          <w:rFonts w:ascii="Times New Roman" w:hAnsi="Times New Roman" w:cs="Times New Roman"/>
          <w:spacing w:val="7"/>
          <w:sz w:val="24"/>
          <w:szCs w:val="24"/>
        </w:rPr>
        <w:t xml:space="preserve"> </w:t>
      </w:r>
      <w:r w:rsidRPr="004738E4">
        <w:rPr>
          <w:rFonts w:ascii="Times New Roman" w:hAnsi="Times New Roman" w:cs="Times New Roman"/>
          <w:sz w:val="24"/>
          <w:szCs w:val="24"/>
        </w:rPr>
        <w:t>in women than men</w:t>
      </w:r>
      <w:r w:rsidRPr="004738E4">
        <w:rPr>
          <w:rFonts w:ascii="Times New Roman" w:hAnsi="Times New Roman" w:cs="Times New Roman"/>
          <w:spacing w:val="7"/>
          <w:sz w:val="24"/>
          <w:szCs w:val="24"/>
        </w:rPr>
        <w:t xml:space="preserve"> </w:t>
      </w:r>
      <w:r w:rsidR="005941EE" w:rsidRPr="004738E4">
        <w:rPr>
          <w:rFonts w:ascii="Times New Roman" w:hAnsi="Times New Roman" w:cs="Times New Roman"/>
          <w:noProof/>
          <w:spacing w:val="-1"/>
          <w:sz w:val="24"/>
          <w:szCs w:val="24"/>
        </w:rPr>
        <w:t>(54)</w:t>
      </w:r>
      <w:r w:rsidRPr="004738E4">
        <w:rPr>
          <w:rFonts w:ascii="Times New Roman" w:hAnsi="Times New Roman" w:cs="Times New Roman"/>
          <w:sz w:val="24"/>
          <w:szCs w:val="24"/>
        </w:rPr>
        <w:t>. A</w:t>
      </w:r>
      <w:r w:rsidRPr="004738E4">
        <w:rPr>
          <w:rFonts w:ascii="Times New Roman" w:hAnsi="Times New Roman" w:cs="Times New Roman"/>
          <w:bCs/>
          <w:sz w:val="24"/>
          <w:szCs w:val="24"/>
        </w:rPr>
        <w:t xml:space="preserve">fter administration of sustained-release verapamil, </w:t>
      </w:r>
      <w:r w:rsidR="00BE2A6E" w:rsidRPr="004738E4">
        <w:rPr>
          <w:rFonts w:ascii="Times New Roman" w:hAnsi="Times New Roman" w:cs="Times New Roman"/>
          <w:bCs/>
          <w:sz w:val="24"/>
          <w:szCs w:val="24"/>
        </w:rPr>
        <w:t xml:space="preserve">however, </w:t>
      </w:r>
      <w:r w:rsidRPr="004738E4">
        <w:rPr>
          <w:rFonts w:ascii="Times New Roman" w:hAnsi="Times New Roman" w:cs="Times New Roman"/>
          <w:bCs/>
          <w:sz w:val="24"/>
          <w:szCs w:val="24"/>
        </w:rPr>
        <w:t>oral clearance was lowe</w:t>
      </w:r>
      <w:r w:rsidR="00225E2D" w:rsidRPr="004738E4">
        <w:rPr>
          <w:rFonts w:ascii="Times New Roman" w:hAnsi="Times New Roman" w:cs="Times New Roman"/>
          <w:bCs/>
          <w:sz w:val="24"/>
          <w:szCs w:val="24"/>
        </w:rPr>
        <w:t xml:space="preserve">r in women than men, 43 vs. 75 </w:t>
      </w:r>
      <w:r w:rsidR="005D171B" w:rsidRPr="004738E4">
        <w:rPr>
          <w:rFonts w:ascii="Times New Roman" w:hAnsi="Times New Roman" w:cs="Times New Roman"/>
          <w:bCs/>
          <w:sz w:val="24"/>
          <w:szCs w:val="24"/>
        </w:rPr>
        <w:t>ml</w:t>
      </w:r>
      <w:r w:rsidRPr="004738E4">
        <w:rPr>
          <w:rFonts w:ascii="Times New Roman" w:hAnsi="Times New Roman" w:cs="Times New Roman"/>
          <w:bCs/>
          <w:sz w:val="24"/>
          <w:szCs w:val="24"/>
        </w:rPr>
        <w:t>/min/kg, with a similar sex difference after regular-release verapamil</w:t>
      </w:r>
      <w:r w:rsidR="00D31750" w:rsidRPr="004738E4">
        <w:rPr>
          <w:rFonts w:ascii="Times New Roman" w:hAnsi="Times New Roman" w:cs="Times New Roman"/>
          <w:bCs/>
          <w:sz w:val="24"/>
          <w:szCs w:val="24"/>
        </w:rPr>
        <w:t>.</w:t>
      </w:r>
      <w:r w:rsidR="00225E2D" w:rsidRPr="004738E4">
        <w:rPr>
          <w:rFonts w:ascii="Times New Roman" w:hAnsi="Times New Roman" w:cs="Times New Roman"/>
          <w:bCs/>
          <w:sz w:val="24"/>
          <w:szCs w:val="24"/>
        </w:rPr>
        <w:t xml:space="preserve"> </w:t>
      </w:r>
      <w:r w:rsidRPr="004738E4">
        <w:rPr>
          <w:rFonts w:ascii="Times New Roman" w:hAnsi="Times New Roman" w:cs="Times New Roman"/>
          <w:bCs/>
          <w:sz w:val="24"/>
          <w:szCs w:val="24"/>
        </w:rPr>
        <w:t>This sex difference was not evident when verapamil was administered intravenous</w:t>
      </w:r>
      <w:r w:rsidR="0081455C" w:rsidRPr="004738E4">
        <w:rPr>
          <w:rFonts w:ascii="Times New Roman" w:hAnsi="Times New Roman" w:cs="Times New Roman"/>
          <w:bCs/>
          <w:sz w:val="24"/>
          <w:szCs w:val="24"/>
        </w:rPr>
        <w:t>ly</w:t>
      </w:r>
      <w:r w:rsidRPr="004738E4">
        <w:rPr>
          <w:rFonts w:ascii="Times New Roman" w:hAnsi="Times New Roman" w:cs="Times New Roman"/>
          <w:bCs/>
          <w:sz w:val="24"/>
          <w:szCs w:val="24"/>
        </w:rPr>
        <w:t xml:space="preserve">, suggesting that intestinal processes likely influence </w:t>
      </w:r>
      <w:r w:rsidR="00821491" w:rsidRPr="004738E4">
        <w:rPr>
          <w:rFonts w:ascii="Times New Roman" w:hAnsi="Times New Roman" w:cs="Times New Roman"/>
          <w:bCs/>
          <w:sz w:val="24"/>
          <w:szCs w:val="24"/>
        </w:rPr>
        <w:t>sex</w:t>
      </w:r>
      <w:r w:rsidRPr="004738E4">
        <w:rPr>
          <w:rFonts w:ascii="Times New Roman" w:hAnsi="Times New Roman" w:cs="Times New Roman"/>
          <w:bCs/>
          <w:sz w:val="24"/>
          <w:szCs w:val="24"/>
        </w:rPr>
        <w:t xml:space="preserve">-specific differences in </w:t>
      </w:r>
      <w:r w:rsidR="00225E2D" w:rsidRPr="004738E4">
        <w:rPr>
          <w:rFonts w:ascii="Times New Roman" w:hAnsi="Times New Roman" w:cs="Times New Roman"/>
          <w:bCs/>
          <w:sz w:val="24"/>
          <w:szCs w:val="24"/>
        </w:rPr>
        <w:t xml:space="preserve">drug </w:t>
      </w:r>
      <w:r w:rsidRPr="004738E4">
        <w:rPr>
          <w:rFonts w:ascii="Times New Roman" w:hAnsi="Times New Roman" w:cs="Times New Roman"/>
          <w:bCs/>
          <w:sz w:val="24"/>
          <w:szCs w:val="24"/>
        </w:rPr>
        <w:t xml:space="preserve">clearance </w:t>
      </w:r>
      <w:r w:rsidR="005941EE" w:rsidRPr="004738E4">
        <w:rPr>
          <w:rFonts w:ascii="Times New Roman" w:hAnsi="Times New Roman" w:cs="Times New Roman"/>
          <w:bCs/>
          <w:noProof/>
          <w:sz w:val="24"/>
          <w:szCs w:val="24"/>
        </w:rPr>
        <w:t>(55)</w:t>
      </w:r>
      <w:r w:rsidRPr="004738E4">
        <w:rPr>
          <w:rFonts w:ascii="Times New Roman" w:hAnsi="Times New Roman" w:cs="Times New Roman"/>
          <w:bCs/>
          <w:sz w:val="24"/>
          <w:szCs w:val="24"/>
        </w:rPr>
        <w:t>.</w:t>
      </w:r>
      <w:r w:rsidRPr="004738E4">
        <w:rPr>
          <w:rFonts w:ascii="Times New Roman" w:hAnsi="Times New Roman" w:cs="Times New Roman"/>
          <w:sz w:val="24"/>
          <w:szCs w:val="24"/>
        </w:rPr>
        <w:t xml:space="preserve"> </w:t>
      </w:r>
      <w:r w:rsidRPr="004738E4">
        <w:rPr>
          <w:rFonts w:ascii="Times New Roman" w:hAnsi="Times New Roman" w:cs="Times New Roman"/>
          <w:bCs/>
          <w:sz w:val="24"/>
          <w:szCs w:val="24"/>
        </w:rPr>
        <w:t xml:space="preserve">Constipation, edema, fatigue and headache occur more frequently in women than men </w:t>
      </w:r>
      <w:r w:rsidR="005941EE" w:rsidRPr="004738E4">
        <w:rPr>
          <w:rFonts w:ascii="Times New Roman" w:hAnsi="Times New Roman" w:cs="Times New Roman"/>
          <w:bCs/>
          <w:noProof/>
          <w:sz w:val="24"/>
          <w:szCs w:val="24"/>
        </w:rPr>
        <w:t>(56)</w:t>
      </w:r>
      <w:r w:rsidRPr="004738E4">
        <w:rPr>
          <w:rFonts w:ascii="Times New Roman" w:hAnsi="Times New Roman" w:cs="Times New Roman"/>
          <w:bCs/>
          <w:sz w:val="24"/>
          <w:szCs w:val="24"/>
        </w:rPr>
        <w:t xml:space="preserve"> treated with controlled-onset, extended-release verapamil.</w:t>
      </w:r>
    </w:p>
    <w:p w14:paraId="7558C67B" w14:textId="575F22A3" w:rsidR="00AF2088" w:rsidRPr="004738E4" w:rsidRDefault="00AF2088"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Aliskiren</w:t>
      </w:r>
      <w:r w:rsidRPr="004738E4">
        <w:rPr>
          <w:rFonts w:ascii="Times New Roman" w:hAnsi="Times New Roman" w:cs="Times New Roman"/>
          <w:sz w:val="24"/>
          <w:szCs w:val="24"/>
        </w:rPr>
        <w:t>. The AUC was 22% lower and C</w:t>
      </w:r>
      <w:r w:rsidRPr="004738E4">
        <w:rPr>
          <w:rFonts w:ascii="Times New Roman" w:hAnsi="Times New Roman" w:cs="Times New Roman"/>
          <w:sz w:val="24"/>
          <w:szCs w:val="24"/>
          <w:vertAlign w:val="subscript"/>
        </w:rPr>
        <w:t xml:space="preserve">max </w:t>
      </w:r>
      <w:r w:rsidRPr="004738E4">
        <w:rPr>
          <w:rFonts w:ascii="Times New Roman" w:hAnsi="Times New Roman" w:cs="Times New Roman"/>
          <w:sz w:val="24"/>
          <w:szCs w:val="24"/>
        </w:rPr>
        <w:t xml:space="preserve">was 24% lower in men than women, but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differences were abolished when corrected for body weight </w:t>
      </w:r>
      <w:r w:rsidR="005941EE" w:rsidRPr="004738E4">
        <w:rPr>
          <w:rFonts w:ascii="Times New Roman" w:hAnsi="Times New Roman" w:cs="Times New Roman"/>
          <w:noProof/>
          <w:sz w:val="24"/>
          <w:szCs w:val="24"/>
        </w:rPr>
        <w:t>(57)</w:t>
      </w:r>
      <w:r w:rsidRPr="004738E4">
        <w:rPr>
          <w:rFonts w:ascii="Times New Roman" w:hAnsi="Times New Roman" w:cs="Times New Roman"/>
          <w:sz w:val="24"/>
          <w:szCs w:val="24"/>
        </w:rPr>
        <w:t>. In women increases in diarrhea rates were evident starting at a dose of 150 mg daily, comparable to those seen at 300 mg for men</w:t>
      </w:r>
      <w:r w:rsidRPr="004738E4">
        <w:rPr>
          <w:rFonts w:ascii="Times New Roman" w:eastAsia="Times New Roman" w:hAnsi="Times New Roman" w:cs="Times New Roman"/>
          <w:sz w:val="24"/>
          <w:szCs w:val="24"/>
          <w:u w:val="single"/>
          <w:shd w:val="clear" w:color="auto" w:fill="FFFFFF"/>
        </w:rPr>
        <w:t>.</w:t>
      </w:r>
    </w:p>
    <w:p w14:paraId="5F424BD4" w14:textId="4A1234A1" w:rsidR="00AF2088" w:rsidRPr="004738E4" w:rsidRDefault="00AF2088"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Losartan</w:t>
      </w:r>
      <w:r w:rsidRPr="004738E4">
        <w:rPr>
          <w:rFonts w:ascii="Times New Roman" w:hAnsi="Times New Roman" w:cs="Times New Roman"/>
          <w:sz w:val="24"/>
          <w:szCs w:val="24"/>
        </w:rPr>
        <w:t>.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was 100% higher and AUC was 250% higher in women than men.  Despite these differences no dose adjustment was recommended for women (</w:t>
      </w:r>
      <w:r w:rsidR="005941EE" w:rsidRPr="004738E4">
        <w:rPr>
          <w:rFonts w:ascii="Times New Roman" w:hAnsi="Times New Roman" w:cs="Times New Roman"/>
          <w:noProof/>
          <w:sz w:val="24"/>
          <w:szCs w:val="24"/>
        </w:rPr>
        <w:t>(58)</w:t>
      </w:r>
      <w:r w:rsidR="00D31750" w:rsidRPr="004738E4">
        <w:rPr>
          <w:rFonts w:ascii="Times New Roman" w:hAnsi="Times New Roman" w:cs="Times New Roman"/>
          <w:sz w:val="24"/>
          <w:szCs w:val="24"/>
        </w:rPr>
        <w:t>,</w:t>
      </w:r>
      <w:r w:rsidRPr="004738E4">
        <w:rPr>
          <w:rFonts w:ascii="Times New Roman" w:hAnsi="Times New Roman" w:cs="Times New Roman"/>
          <w:sz w:val="24"/>
          <w:szCs w:val="24"/>
        </w:rPr>
        <w:t xml:space="preserve"> citing drug prescribing information from the </w:t>
      </w:r>
      <w:r w:rsidRPr="004738E4">
        <w:rPr>
          <w:rFonts w:ascii="Times New Roman" w:hAnsi="Times New Roman" w:cs="Times New Roman"/>
          <w:i/>
          <w:sz w:val="24"/>
          <w:szCs w:val="24"/>
        </w:rPr>
        <w:t>Physicians Desk Reference</w:t>
      </w:r>
      <w:r w:rsidRPr="004738E4">
        <w:rPr>
          <w:rFonts w:ascii="Times New Roman" w:hAnsi="Times New Roman" w:cs="Times New Roman"/>
          <w:sz w:val="24"/>
          <w:szCs w:val="24"/>
        </w:rPr>
        <w:t xml:space="preserve"> and Novartis).</w:t>
      </w:r>
      <w:r w:rsidRPr="004738E4">
        <w:rPr>
          <w:rFonts w:ascii="Times New Roman" w:eastAsia="Times New Roman" w:hAnsi="Times New Roman" w:cs="Times New Roman"/>
          <w:sz w:val="24"/>
          <w:szCs w:val="24"/>
        </w:rPr>
        <w:t xml:space="preserve"> </w:t>
      </w:r>
      <w:r w:rsidRPr="004738E4">
        <w:rPr>
          <w:rFonts w:ascii="Times New Roman" w:hAnsi="Times New Roman" w:cs="Times New Roman"/>
          <w:sz w:val="24"/>
          <w:szCs w:val="24"/>
        </w:rPr>
        <w:t xml:space="preserve">Os et al. </w:t>
      </w:r>
      <w:r w:rsidR="005941EE" w:rsidRPr="004738E4">
        <w:rPr>
          <w:rFonts w:ascii="Times New Roman" w:hAnsi="Times New Roman" w:cs="Times New Roman"/>
          <w:noProof/>
          <w:sz w:val="24"/>
          <w:szCs w:val="24"/>
        </w:rPr>
        <w:t>(59)</w:t>
      </w:r>
      <w:r w:rsidRPr="004738E4">
        <w:rPr>
          <w:rFonts w:ascii="Times New Roman" w:hAnsi="Times New Roman" w:cs="Times New Roman"/>
          <w:sz w:val="24"/>
          <w:szCs w:val="24"/>
        </w:rPr>
        <w:t xml:space="preserve"> reported that </w:t>
      </w:r>
      <w:r w:rsidR="00CC2454" w:rsidRPr="004738E4">
        <w:rPr>
          <w:rFonts w:ascii="Times New Roman" w:hAnsi="Times New Roman" w:cs="Times New Roman"/>
          <w:sz w:val="24"/>
          <w:szCs w:val="24"/>
        </w:rPr>
        <w:t>wome</w:t>
      </w:r>
      <w:r w:rsidR="001E7DED" w:rsidRPr="004738E4">
        <w:rPr>
          <w:rFonts w:ascii="Times New Roman" w:hAnsi="Times New Roman" w:cs="Times New Roman"/>
          <w:sz w:val="24"/>
          <w:szCs w:val="24"/>
        </w:rPr>
        <w:t xml:space="preserve">n had more adverse events </w:t>
      </w:r>
      <w:r w:rsidR="00CC2454" w:rsidRPr="004738E4">
        <w:rPr>
          <w:rFonts w:ascii="Times New Roman" w:hAnsi="Times New Roman" w:cs="Times New Roman"/>
          <w:sz w:val="24"/>
          <w:szCs w:val="24"/>
        </w:rPr>
        <w:t xml:space="preserve">but fewer serious drug-related </w:t>
      </w:r>
      <w:r w:rsidR="00296569" w:rsidRPr="004738E4">
        <w:rPr>
          <w:rFonts w:ascii="Times New Roman" w:hAnsi="Times New Roman" w:cs="Times New Roman"/>
          <w:sz w:val="24"/>
          <w:szCs w:val="24"/>
        </w:rPr>
        <w:t xml:space="preserve">adverse events </w:t>
      </w:r>
      <w:r w:rsidR="00CC2454" w:rsidRPr="004738E4">
        <w:rPr>
          <w:rFonts w:ascii="Times New Roman" w:hAnsi="Times New Roman" w:cs="Times New Roman"/>
          <w:sz w:val="24"/>
          <w:szCs w:val="24"/>
        </w:rPr>
        <w:t xml:space="preserve">than men, but none of these differences was </w:t>
      </w:r>
      <w:r w:rsidR="001E7DED" w:rsidRPr="004738E4">
        <w:rPr>
          <w:rFonts w:ascii="Times New Roman" w:hAnsi="Times New Roman" w:cs="Times New Roman"/>
          <w:sz w:val="24"/>
          <w:szCs w:val="24"/>
        </w:rPr>
        <w:t xml:space="preserve">statistically </w:t>
      </w:r>
      <w:r w:rsidR="00CC2454" w:rsidRPr="004738E4">
        <w:rPr>
          <w:rFonts w:ascii="Times New Roman" w:hAnsi="Times New Roman" w:cs="Times New Roman"/>
          <w:sz w:val="24"/>
          <w:szCs w:val="24"/>
        </w:rPr>
        <w:t>significant. Men on losartan were more likely to be hospitalized for angina and tended to have overall higher mortality (</w:t>
      </w:r>
      <w:r w:rsidR="001E7DED" w:rsidRPr="004738E4">
        <w:rPr>
          <w:rFonts w:ascii="Times New Roman" w:hAnsi="Times New Roman" w:cs="Times New Roman"/>
          <w:sz w:val="24"/>
          <w:szCs w:val="24"/>
        </w:rPr>
        <w:t xml:space="preserve">3.6% vs. 1.8%; </w:t>
      </w:r>
      <w:r w:rsidR="005941EE" w:rsidRPr="004738E4">
        <w:rPr>
          <w:rFonts w:ascii="Times New Roman" w:hAnsi="Times New Roman" w:cs="Times New Roman"/>
          <w:noProof/>
          <w:sz w:val="24"/>
          <w:szCs w:val="24"/>
        </w:rPr>
        <w:t>(59)</w:t>
      </w:r>
      <w:r w:rsidR="00CC2454" w:rsidRPr="004738E4">
        <w:rPr>
          <w:rFonts w:ascii="Times New Roman" w:hAnsi="Times New Roman" w:cs="Times New Roman"/>
          <w:sz w:val="24"/>
          <w:szCs w:val="24"/>
        </w:rPr>
        <w:t>).</w:t>
      </w:r>
      <w:r w:rsidR="00157948" w:rsidRPr="004738E4">
        <w:rPr>
          <w:rFonts w:ascii="Times New Roman" w:hAnsi="Times New Roman" w:cs="Times New Roman"/>
          <w:sz w:val="24"/>
          <w:szCs w:val="24"/>
        </w:rPr>
        <w:t xml:space="preserve"> </w:t>
      </w:r>
    </w:p>
    <w:p w14:paraId="0D63E188" w14:textId="44ACC4EA" w:rsidR="00AF2088" w:rsidRPr="004738E4" w:rsidRDefault="00AF2088"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u w:val="single"/>
        </w:rPr>
        <w:lastRenderedPageBreak/>
        <w:t>Propranolol</w:t>
      </w:r>
      <w:r w:rsidRPr="004738E4">
        <w:rPr>
          <w:rFonts w:ascii="Times New Roman" w:eastAsia="Times New Roman" w:hAnsi="Times New Roman" w:cs="Times New Roman"/>
          <w:sz w:val="24"/>
          <w:szCs w:val="24"/>
        </w:rPr>
        <w:t xml:space="preserve">. Oral clearance was 63% higher in men than women </w:t>
      </w:r>
      <w:r w:rsidR="005941EE" w:rsidRPr="004738E4">
        <w:rPr>
          <w:rFonts w:ascii="Times New Roman" w:eastAsia="Times New Roman" w:hAnsi="Times New Roman" w:cs="Times New Roman"/>
          <w:noProof/>
          <w:sz w:val="24"/>
          <w:szCs w:val="24"/>
        </w:rPr>
        <w:t>(60)</w:t>
      </w:r>
      <w:r w:rsidRPr="004738E4">
        <w:rPr>
          <w:rFonts w:ascii="Times New Roman" w:eastAsia="Times New Roman" w:hAnsi="Times New Roman" w:cs="Times New Roman"/>
          <w:sz w:val="24"/>
          <w:szCs w:val="24"/>
        </w:rPr>
        <w:t xml:space="preserve"> and AUC and C</w:t>
      </w:r>
      <w:r w:rsidRPr="004738E4">
        <w:rPr>
          <w:rFonts w:ascii="Times New Roman" w:eastAsia="Times New Roman" w:hAnsi="Times New Roman" w:cs="Times New Roman"/>
          <w:sz w:val="24"/>
          <w:szCs w:val="24"/>
          <w:vertAlign w:val="subscript"/>
        </w:rPr>
        <w:t>max</w:t>
      </w:r>
      <w:r w:rsidR="00404B53" w:rsidRPr="004738E4">
        <w:rPr>
          <w:rFonts w:ascii="Times New Roman" w:eastAsia="Times New Roman" w:hAnsi="Times New Roman" w:cs="Times New Roman"/>
          <w:sz w:val="24"/>
          <w:szCs w:val="24"/>
        </w:rPr>
        <w:t xml:space="preserve"> in women were 74% and 99</w:t>
      </w:r>
      <w:r w:rsidRPr="004738E4">
        <w:rPr>
          <w:rFonts w:ascii="Times New Roman" w:eastAsia="Times New Roman" w:hAnsi="Times New Roman" w:cs="Times New Roman"/>
          <w:sz w:val="24"/>
          <w:szCs w:val="24"/>
        </w:rPr>
        <w:t xml:space="preserve">% higher, respectively, than in men </w:t>
      </w:r>
      <w:r w:rsidR="005941EE" w:rsidRPr="004738E4">
        <w:rPr>
          <w:rFonts w:ascii="Times New Roman" w:eastAsia="Times New Roman" w:hAnsi="Times New Roman" w:cs="Times New Roman"/>
          <w:noProof/>
          <w:sz w:val="24"/>
          <w:szCs w:val="24"/>
        </w:rPr>
        <w:t>(61)</w:t>
      </w:r>
      <w:r w:rsidRPr="004738E4">
        <w:rPr>
          <w:rFonts w:ascii="Times New Roman" w:eastAsia="Times New Roman" w:hAnsi="Times New Roman" w:cs="Times New Roman"/>
          <w:sz w:val="24"/>
          <w:szCs w:val="24"/>
        </w:rPr>
        <w:t xml:space="preserve">. The incidence of dizziness, muscle pain, headaches and dry mouth was substantial higher in women than men </w:t>
      </w:r>
      <w:r w:rsidR="005941EE" w:rsidRPr="004738E4">
        <w:rPr>
          <w:rFonts w:ascii="Times New Roman" w:eastAsia="Times New Roman" w:hAnsi="Times New Roman" w:cs="Times New Roman"/>
          <w:noProof/>
          <w:sz w:val="24"/>
          <w:szCs w:val="24"/>
        </w:rPr>
        <w:t>(62)</w:t>
      </w:r>
      <w:r w:rsidRPr="004738E4">
        <w:rPr>
          <w:rFonts w:ascii="Times New Roman" w:eastAsia="Times New Roman" w:hAnsi="Times New Roman" w:cs="Times New Roman"/>
          <w:sz w:val="24"/>
          <w:szCs w:val="24"/>
        </w:rPr>
        <w:t>.</w:t>
      </w:r>
      <w:r w:rsidRPr="004738E4">
        <w:rPr>
          <w:rFonts w:ascii="Times New Roman" w:hAnsi="Times New Roman" w:cs="Times New Roman"/>
          <w:sz w:val="24"/>
          <w:szCs w:val="24"/>
        </w:rPr>
        <w:t xml:space="preserve"> </w:t>
      </w:r>
    </w:p>
    <w:p w14:paraId="1CC70AF8" w14:textId="261EDE52" w:rsidR="00AF2088" w:rsidRPr="004738E4" w:rsidRDefault="00AF2088"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u w:val="single"/>
        </w:rPr>
        <w:t>Dofetilide</w:t>
      </w:r>
      <w:r w:rsidRPr="004738E4">
        <w:rPr>
          <w:rFonts w:ascii="Times New Roman" w:eastAsia="Times New Roman" w:hAnsi="Times New Roman" w:cs="Times New Roman"/>
          <w:sz w:val="24"/>
          <w:szCs w:val="24"/>
        </w:rPr>
        <w:t xml:space="preserve">. Women’s systemic exposure is 14–22% higher after correcting for body weight and creatinine clearance (FDA label; </w:t>
      </w:r>
      <w:r w:rsidR="00311AFF" w:rsidRPr="004738E4">
        <w:rPr>
          <w:rFonts w:ascii="Times New Roman" w:eastAsia="Times New Roman" w:hAnsi="Times New Roman" w:cs="Times New Roman"/>
          <w:noProof/>
          <w:sz w:val="24"/>
          <w:szCs w:val="24"/>
        </w:rPr>
        <w:t>Roukoz and Saliba, 2007)</w:t>
      </w:r>
      <w:r w:rsidRPr="004738E4">
        <w:rPr>
          <w:rFonts w:ascii="Times New Roman" w:eastAsia="Times New Roman" w:hAnsi="Times New Roman" w:cs="Times New Roman"/>
          <w:sz w:val="24"/>
          <w:szCs w:val="24"/>
        </w:rPr>
        <w:t>. The risk of TdP in women was approximately three-times that in men and directly related to plasma concentration and dose</w:t>
      </w:r>
      <w:r w:rsidRPr="004738E4">
        <w:rPr>
          <w:rFonts w:ascii="Times New Roman" w:eastAsia="Times New Roman" w:hAnsi="Times New Roman" w:cs="Times New Roman"/>
          <w:b/>
          <w:sz w:val="24"/>
          <w:szCs w:val="24"/>
        </w:rPr>
        <w:t xml:space="preserve"> </w:t>
      </w:r>
      <w:r w:rsidR="005941EE" w:rsidRPr="004738E4">
        <w:rPr>
          <w:rFonts w:ascii="Times New Roman" w:eastAsia="Times New Roman" w:hAnsi="Times New Roman" w:cs="Times New Roman"/>
          <w:noProof/>
          <w:sz w:val="24"/>
          <w:szCs w:val="24"/>
        </w:rPr>
        <w:t>(63)</w:t>
      </w:r>
      <w:r w:rsidRPr="004738E4">
        <w:rPr>
          <w:rFonts w:ascii="Times New Roman" w:eastAsia="Times New Roman" w:hAnsi="Times New Roman" w:cs="Times New Roman"/>
          <w:sz w:val="24"/>
          <w:szCs w:val="24"/>
        </w:rPr>
        <w:t>.  Modification of doses based on creatinine clearance and baseline QT</w:t>
      </w:r>
      <w:r w:rsidRPr="004738E4">
        <w:rPr>
          <w:rFonts w:ascii="Times New Roman" w:eastAsia="Times New Roman" w:hAnsi="Times New Roman" w:cs="Times New Roman"/>
          <w:sz w:val="24"/>
          <w:szCs w:val="24"/>
          <w:vertAlign w:val="subscript"/>
        </w:rPr>
        <w:t>c</w:t>
      </w:r>
      <w:r w:rsidRPr="004738E4">
        <w:rPr>
          <w:rFonts w:ascii="Times New Roman" w:eastAsia="Times New Roman" w:hAnsi="Times New Roman" w:cs="Times New Roman"/>
          <w:sz w:val="24"/>
          <w:szCs w:val="24"/>
        </w:rPr>
        <w:t xml:space="preserve"> measurements can accommodate sex-specific dosing of dofetilide</w:t>
      </w:r>
      <w:r w:rsidRPr="004738E4">
        <w:rPr>
          <w:rFonts w:ascii="Times New Roman" w:hAnsi="Times New Roman" w:cs="Times New Roman"/>
          <w:sz w:val="24"/>
          <w:szCs w:val="24"/>
        </w:rPr>
        <w:t>.</w:t>
      </w:r>
    </w:p>
    <w:p w14:paraId="062C23AD" w14:textId="55407674" w:rsidR="00AF2088" w:rsidRPr="004738E4" w:rsidRDefault="00672975" w:rsidP="003406EE">
      <w:pPr>
        <w:autoSpaceDE w:val="0"/>
        <w:autoSpaceDN w:val="0"/>
        <w:adjustRightInd w:val="0"/>
        <w:spacing w:after="0" w:line="480" w:lineRule="auto"/>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rPr>
        <w:tab/>
      </w:r>
      <w:r w:rsidR="00AF2088" w:rsidRPr="004738E4">
        <w:rPr>
          <w:rFonts w:ascii="Times New Roman" w:eastAsia="Times New Roman" w:hAnsi="Times New Roman" w:cs="Times New Roman"/>
          <w:sz w:val="24"/>
          <w:szCs w:val="24"/>
          <w:u w:val="single"/>
        </w:rPr>
        <w:t>Pitavastatin</w:t>
      </w:r>
      <w:r w:rsidR="00AF2088" w:rsidRPr="004738E4">
        <w:rPr>
          <w:rFonts w:ascii="Times New Roman" w:eastAsia="Times New Roman" w:hAnsi="Times New Roman" w:cs="Times New Roman"/>
          <w:sz w:val="24"/>
          <w:szCs w:val="24"/>
        </w:rPr>
        <w:t xml:space="preserve">. </w:t>
      </w:r>
      <w:r w:rsidR="00AF2088" w:rsidRPr="004738E4">
        <w:rPr>
          <w:rFonts w:ascii="Times New Roman" w:hAnsi="Times New Roman" w:cs="Times New Roman"/>
          <w:sz w:val="24"/>
          <w:szCs w:val="24"/>
        </w:rPr>
        <w:t xml:space="preserve">Among healthy </w:t>
      </w:r>
      <w:r w:rsidR="002A5155" w:rsidRPr="004738E4">
        <w:rPr>
          <w:rFonts w:ascii="Times New Roman" w:hAnsi="Times New Roman" w:cs="Times New Roman"/>
          <w:sz w:val="24"/>
          <w:szCs w:val="24"/>
        </w:rPr>
        <w:t>subjects</w:t>
      </w:r>
      <w:r w:rsidR="00AF2088" w:rsidRPr="004738E4">
        <w:rPr>
          <w:rFonts w:ascii="Times New Roman" w:hAnsi="Times New Roman" w:cs="Times New Roman"/>
          <w:sz w:val="24"/>
          <w:szCs w:val="24"/>
        </w:rPr>
        <w:t xml:space="preserve"> C</w:t>
      </w:r>
      <w:r w:rsidR="00AF2088" w:rsidRPr="004738E4">
        <w:rPr>
          <w:rFonts w:ascii="Times New Roman" w:hAnsi="Times New Roman" w:cs="Times New Roman"/>
          <w:sz w:val="24"/>
          <w:szCs w:val="24"/>
          <w:vertAlign w:val="subscript"/>
        </w:rPr>
        <w:t>max</w:t>
      </w:r>
      <w:r w:rsidR="00AF2088" w:rsidRPr="004738E4">
        <w:rPr>
          <w:rFonts w:ascii="Times New Roman" w:hAnsi="Times New Roman" w:cs="Times New Roman"/>
          <w:sz w:val="24"/>
          <w:szCs w:val="24"/>
        </w:rPr>
        <w:t xml:space="preserve"> and AUC were 60 and 54% higher, respectively, in women than men without affecting efficacy or safety in clinical studies (NDA 22363). The ADR ratio was 1.12</w:t>
      </w:r>
      <w:r w:rsidR="00D31750" w:rsidRPr="004738E4">
        <w:rPr>
          <w:rFonts w:ascii="Times New Roman" w:hAnsi="Times New Roman" w:cs="Times New Roman"/>
          <w:sz w:val="24"/>
          <w:szCs w:val="24"/>
        </w:rPr>
        <w:t>,</w:t>
      </w:r>
      <w:r w:rsidR="00AF2088" w:rsidRPr="004738E4">
        <w:rPr>
          <w:rFonts w:ascii="Times New Roman" w:hAnsi="Times New Roman" w:cs="Times New Roman"/>
          <w:sz w:val="24"/>
          <w:szCs w:val="24"/>
        </w:rPr>
        <w:t xml:space="preserve"> based on 5003 reports. </w:t>
      </w:r>
    </w:p>
    <w:p w14:paraId="14D98F4F" w14:textId="0DD3382D" w:rsidR="00AF2088" w:rsidRPr="004738E4" w:rsidRDefault="00AF2088"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pacing w:val="3"/>
          <w:sz w:val="24"/>
          <w:szCs w:val="24"/>
          <w:u w:val="single"/>
        </w:rPr>
        <w:t>Labetalol</w:t>
      </w:r>
      <w:r w:rsidRPr="004738E4">
        <w:rPr>
          <w:rFonts w:ascii="Times New Roman" w:hAnsi="Times New Roman" w:cs="Times New Roman"/>
          <w:spacing w:val="3"/>
          <w:sz w:val="24"/>
          <w:szCs w:val="24"/>
        </w:rPr>
        <w:t xml:space="preserve">. </w:t>
      </w:r>
      <w:r w:rsidRPr="004738E4">
        <w:rPr>
          <w:rFonts w:ascii="Times New Roman" w:hAnsi="Times New Roman" w:cs="Times New Roman"/>
          <w:spacing w:val="2"/>
          <w:sz w:val="24"/>
          <w:szCs w:val="24"/>
        </w:rPr>
        <w:t xml:space="preserve">For women </w:t>
      </w:r>
      <w:r w:rsidRPr="004738E4">
        <w:rPr>
          <w:rFonts w:ascii="Times New Roman" w:hAnsi="Times New Roman" w:cs="Times New Roman"/>
          <w:sz w:val="24"/>
          <w:szCs w:val="24"/>
        </w:rPr>
        <w:t xml:space="preserve">receiving </w:t>
      </w:r>
      <w:r w:rsidRPr="004738E4">
        <w:rPr>
          <w:rFonts w:ascii="Times New Roman" w:hAnsi="Times New Roman" w:cs="Times New Roman"/>
          <w:spacing w:val="2"/>
          <w:sz w:val="24"/>
          <w:szCs w:val="24"/>
        </w:rPr>
        <w:t xml:space="preserve">similar </w:t>
      </w:r>
      <w:r w:rsidRPr="004738E4">
        <w:rPr>
          <w:rFonts w:ascii="Times New Roman" w:hAnsi="Times New Roman" w:cs="Times New Roman"/>
          <w:sz w:val="24"/>
          <w:szCs w:val="24"/>
        </w:rPr>
        <w:t xml:space="preserve">average dosages </w:t>
      </w:r>
      <w:r w:rsidRPr="004738E4">
        <w:rPr>
          <w:rFonts w:ascii="Times New Roman" w:hAnsi="Times New Roman" w:cs="Times New Roman"/>
          <w:spacing w:val="7"/>
          <w:sz w:val="24"/>
          <w:szCs w:val="24"/>
        </w:rPr>
        <w:t xml:space="preserve">and </w:t>
      </w:r>
      <w:r w:rsidRPr="004738E4">
        <w:rPr>
          <w:rFonts w:ascii="Times New Roman" w:hAnsi="Times New Roman" w:cs="Times New Roman"/>
          <w:spacing w:val="6"/>
          <w:sz w:val="24"/>
          <w:szCs w:val="24"/>
        </w:rPr>
        <w:t xml:space="preserve">having </w:t>
      </w:r>
      <w:r w:rsidRPr="004738E4">
        <w:rPr>
          <w:rFonts w:ascii="Times New Roman" w:hAnsi="Times New Roman" w:cs="Times New Roman"/>
          <w:spacing w:val="5"/>
          <w:sz w:val="24"/>
          <w:szCs w:val="24"/>
        </w:rPr>
        <w:t xml:space="preserve">similar </w:t>
      </w:r>
      <w:r w:rsidRPr="004738E4">
        <w:rPr>
          <w:rFonts w:ascii="Times New Roman" w:hAnsi="Times New Roman" w:cs="Times New Roman"/>
          <w:spacing w:val="4"/>
          <w:sz w:val="24"/>
          <w:szCs w:val="24"/>
        </w:rPr>
        <w:t xml:space="preserve">body </w:t>
      </w:r>
      <w:r w:rsidRPr="004738E4">
        <w:rPr>
          <w:rFonts w:ascii="Times New Roman" w:hAnsi="Times New Roman" w:cs="Times New Roman"/>
          <w:spacing w:val="6"/>
          <w:sz w:val="24"/>
          <w:szCs w:val="24"/>
        </w:rPr>
        <w:t>weights, d</w:t>
      </w:r>
      <w:r w:rsidRPr="004738E4">
        <w:rPr>
          <w:rFonts w:ascii="Times New Roman" w:hAnsi="Times New Roman" w:cs="Times New Roman"/>
          <w:spacing w:val="10"/>
          <w:sz w:val="24"/>
          <w:szCs w:val="24"/>
        </w:rPr>
        <w:t xml:space="preserve">ose-corrected </w:t>
      </w:r>
      <w:r w:rsidR="002A5155" w:rsidRPr="004738E4">
        <w:rPr>
          <w:rFonts w:ascii="Times New Roman" w:hAnsi="Times New Roman" w:cs="Times New Roman"/>
          <w:spacing w:val="10"/>
          <w:sz w:val="24"/>
          <w:szCs w:val="24"/>
        </w:rPr>
        <w:t xml:space="preserve">concentrations </w:t>
      </w:r>
      <w:r w:rsidR="002A5155" w:rsidRPr="004738E4">
        <w:rPr>
          <w:rFonts w:ascii="Times New Roman" w:hAnsi="Times New Roman" w:cs="Times New Roman"/>
          <w:spacing w:val="6"/>
          <w:sz w:val="24"/>
          <w:szCs w:val="24"/>
        </w:rPr>
        <w:t xml:space="preserve">were </w:t>
      </w:r>
      <w:r w:rsidRPr="004738E4">
        <w:rPr>
          <w:rFonts w:ascii="Times New Roman" w:hAnsi="Times New Roman" w:cs="Times New Roman"/>
          <w:spacing w:val="5"/>
          <w:sz w:val="24"/>
          <w:szCs w:val="24"/>
        </w:rPr>
        <w:t xml:space="preserve">80% </w:t>
      </w:r>
      <w:r w:rsidRPr="004738E4">
        <w:rPr>
          <w:rFonts w:ascii="Times New Roman" w:hAnsi="Times New Roman" w:cs="Times New Roman"/>
          <w:spacing w:val="12"/>
          <w:sz w:val="24"/>
          <w:szCs w:val="24"/>
        </w:rPr>
        <w:t xml:space="preserve">higher </w:t>
      </w:r>
      <w:r w:rsidRPr="004738E4">
        <w:rPr>
          <w:rFonts w:ascii="Times New Roman" w:hAnsi="Times New Roman" w:cs="Times New Roman"/>
          <w:spacing w:val="8"/>
          <w:sz w:val="24"/>
          <w:szCs w:val="24"/>
        </w:rPr>
        <w:t xml:space="preserve">in </w:t>
      </w:r>
      <w:r w:rsidRPr="004738E4">
        <w:rPr>
          <w:rFonts w:ascii="Times New Roman" w:hAnsi="Times New Roman" w:cs="Times New Roman"/>
          <w:spacing w:val="2"/>
          <w:sz w:val="24"/>
          <w:szCs w:val="24"/>
        </w:rPr>
        <w:t>women</w:t>
      </w:r>
      <w:r w:rsidRPr="004738E4">
        <w:rPr>
          <w:rFonts w:ascii="Times New Roman" w:hAnsi="Times New Roman" w:cs="Times New Roman"/>
          <w:spacing w:val="4"/>
          <w:sz w:val="24"/>
          <w:szCs w:val="24"/>
        </w:rPr>
        <w:t xml:space="preserve">, and </w:t>
      </w:r>
      <w:r w:rsidRPr="004738E4">
        <w:rPr>
          <w:rFonts w:ascii="Times New Roman" w:hAnsi="Times New Roman" w:cs="Times New Roman"/>
          <w:spacing w:val="5"/>
          <w:sz w:val="24"/>
          <w:szCs w:val="24"/>
        </w:rPr>
        <w:t>C</w:t>
      </w:r>
      <w:r w:rsidRPr="004738E4">
        <w:rPr>
          <w:rFonts w:ascii="Times New Roman" w:hAnsi="Times New Roman" w:cs="Times New Roman"/>
          <w:spacing w:val="5"/>
          <w:sz w:val="24"/>
          <w:szCs w:val="24"/>
          <w:vertAlign w:val="subscript"/>
        </w:rPr>
        <w:t>max</w:t>
      </w:r>
      <w:r w:rsidRPr="004738E4">
        <w:rPr>
          <w:rFonts w:ascii="Times New Roman" w:hAnsi="Times New Roman" w:cs="Times New Roman"/>
          <w:spacing w:val="5"/>
          <w:sz w:val="24"/>
          <w:szCs w:val="24"/>
        </w:rPr>
        <w:t xml:space="preserve"> </w:t>
      </w:r>
      <w:r w:rsidRPr="004738E4">
        <w:rPr>
          <w:rFonts w:ascii="Times New Roman" w:hAnsi="Times New Roman" w:cs="Times New Roman"/>
          <w:sz w:val="24"/>
          <w:szCs w:val="24"/>
        </w:rPr>
        <w:t xml:space="preserve">was more </w:t>
      </w:r>
      <w:r w:rsidRPr="004738E4">
        <w:rPr>
          <w:rFonts w:ascii="Times New Roman" w:hAnsi="Times New Roman" w:cs="Times New Roman"/>
          <w:spacing w:val="3"/>
          <w:sz w:val="24"/>
          <w:szCs w:val="24"/>
        </w:rPr>
        <w:t xml:space="preserve">than </w:t>
      </w:r>
      <w:r w:rsidRPr="004738E4">
        <w:rPr>
          <w:rFonts w:ascii="Times New Roman" w:hAnsi="Times New Roman" w:cs="Times New Roman"/>
          <w:sz w:val="24"/>
          <w:szCs w:val="24"/>
        </w:rPr>
        <w:t xml:space="preserve">2-fold </w:t>
      </w:r>
      <w:r w:rsidRPr="004738E4">
        <w:rPr>
          <w:rFonts w:ascii="Times New Roman" w:hAnsi="Times New Roman" w:cs="Times New Roman"/>
          <w:spacing w:val="9"/>
          <w:sz w:val="24"/>
          <w:szCs w:val="24"/>
        </w:rPr>
        <w:t xml:space="preserve">higher </w:t>
      </w:r>
      <w:r w:rsidRPr="004738E4">
        <w:rPr>
          <w:rFonts w:ascii="Times New Roman" w:hAnsi="Times New Roman" w:cs="Times New Roman"/>
          <w:spacing w:val="6"/>
          <w:sz w:val="24"/>
          <w:szCs w:val="24"/>
        </w:rPr>
        <w:t xml:space="preserve">in </w:t>
      </w:r>
      <w:r w:rsidRPr="004738E4">
        <w:rPr>
          <w:rFonts w:ascii="Times New Roman" w:hAnsi="Times New Roman" w:cs="Times New Roman"/>
          <w:spacing w:val="9"/>
          <w:sz w:val="24"/>
          <w:szCs w:val="24"/>
        </w:rPr>
        <w:t xml:space="preserve">women, but the drug effect was similar in both sexes, as </w:t>
      </w:r>
      <w:r w:rsidRPr="004738E4">
        <w:rPr>
          <w:rFonts w:ascii="Times New Roman" w:hAnsi="Times New Roman" w:cs="Times New Roman"/>
          <w:sz w:val="24"/>
          <w:szCs w:val="24"/>
        </w:rPr>
        <w:t xml:space="preserve">the protocol dictated dosage titration to a specific antihypertensive effect. Women required nearly 2-fold higher drug concentrations to achieve a similar antihypertensive effect </w:t>
      </w:r>
      <w:r w:rsidR="005941EE" w:rsidRPr="004738E4">
        <w:rPr>
          <w:rFonts w:ascii="Times New Roman" w:hAnsi="Times New Roman" w:cs="Times New Roman"/>
          <w:noProof/>
          <w:sz w:val="24"/>
          <w:szCs w:val="24"/>
        </w:rPr>
        <w:t>(64)</w:t>
      </w:r>
      <w:r w:rsidRPr="004738E4">
        <w:rPr>
          <w:rFonts w:ascii="Times New Roman" w:hAnsi="Times New Roman" w:cs="Times New Roman"/>
          <w:sz w:val="24"/>
          <w:szCs w:val="24"/>
        </w:rPr>
        <w:t>. ADR ratio of 1.5</w:t>
      </w:r>
      <w:r w:rsidR="00D31750"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4210 reports.</w:t>
      </w:r>
    </w:p>
    <w:p w14:paraId="42532872" w14:textId="69D0EF72" w:rsidR="00AF2088" w:rsidRPr="004738E4" w:rsidRDefault="00AF2088" w:rsidP="003406EE">
      <w:pPr>
        <w:kinsoku w:val="0"/>
        <w:overflowPunct w:val="0"/>
        <w:autoSpaceDE w:val="0"/>
        <w:autoSpaceDN w:val="0"/>
        <w:adjustRightInd w:val="0"/>
        <w:spacing w:after="0" w:line="480" w:lineRule="auto"/>
        <w:ind w:left="39"/>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Pr="004738E4">
        <w:rPr>
          <w:rFonts w:ascii="Times New Roman" w:hAnsi="Times New Roman" w:cs="Times New Roman"/>
          <w:sz w:val="24"/>
          <w:szCs w:val="24"/>
          <w:u w:val="single"/>
        </w:rPr>
        <w:t>Nifedipine</w:t>
      </w:r>
      <w:r w:rsidRPr="004738E4">
        <w:rPr>
          <w:rFonts w:ascii="Times New Roman" w:hAnsi="Times New Roman" w:cs="Times New Roman"/>
          <w:sz w:val="24"/>
          <w:szCs w:val="24"/>
        </w:rPr>
        <w:t>.</w:t>
      </w:r>
      <w:r w:rsidRPr="004738E4">
        <w:rPr>
          <w:rFonts w:ascii="Times New Roman" w:hAnsi="Times New Roman" w:cs="Times New Roman"/>
          <w:bCs/>
          <w:sz w:val="24"/>
          <w:szCs w:val="24"/>
        </w:rPr>
        <w:t xml:space="preserve"> Clearance was significantly slower in men </w:t>
      </w:r>
      <w:r w:rsidR="002A5155" w:rsidRPr="004738E4">
        <w:rPr>
          <w:rFonts w:ascii="Times New Roman" w:hAnsi="Times New Roman" w:cs="Times New Roman"/>
          <w:bCs/>
          <w:sz w:val="24"/>
          <w:szCs w:val="24"/>
        </w:rPr>
        <w:t>than</w:t>
      </w:r>
      <w:r w:rsidR="00404B53" w:rsidRPr="004738E4">
        <w:rPr>
          <w:rFonts w:ascii="Times New Roman" w:hAnsi="Times New Roman" w:cs="Times New Roman"/>
          <w:bCs/>
          <w:sz w:val="24"/>
          <w:szCs w:val="24"/>
        </w:rPr>
        <w:t xml:space="preserve"> women 9.3 ± 0.6 versus 12.1 ± 1.5 </w:t>
      </w:r>
      <w:r w:rsidR="005D171B" w:rsidRPr="004738E4">
        <w:rPr>
          <w:rFonts w:ascii="Times New Roman" w:hAnsi="Times New Roman" w:cs="Times New Roman"/>
          <w:bCs/>
          <w:sz w:val="24"/>
          <w:szCs w:val="24"/>
        </w:rPr>
        <w:t>ml</w:t>
      </w:r>
      <w:r w:rsidR="00404B53" w:rsidRPr="004738E4">
        <w:rPr>
          <w:rFonts w:ascii="Times New Roman" w:hAnsi="Times New Roman" w:cs="Times New Roman"/>
          <w:bCs/>
          <w:sz w:val="24"/>
          <w:szCs w:val="24"/>
        </w:rPr>
        <w:t>/min/</w:t>
      </w:r>
      <w:r w:rsidRPr="004738E4">
        <w:rPr>
          <w:rFonts w:ascii="Times New Roman" w:hAnsi="Times New Roman" w:cs="Times New Roman"/>
          <w:bCs/>
          <w:sz w:val="24"/>
          <w:szCs w:val="24"/>
        </w:rPr>
        <w:t xml:space="preserve">kg </w:t>
      </w:r>
      <w:r w:rsidR="005941EE" w:rsidRPr="004738E4">
        <w:rPr>
          <w:rFonts w:ascii="Times New Roman" w:hAnsi="Times New Roman" w:cs="Times New Roman"/>
          <w:bCs/>
          <w:noProof/>
          <w:sz w:val="24"/>
          <w:szCs w:val="24"/>
        </w:rPr>
        <w:t>(65)</w:t>
      </w:r>
      <w:r w:rsidRPr="004738E4">
        <w:rPr>
          <w:rFonts w:ascii="Times New Roman" w:hAnsi="Times New Roman" w:cs="Times New Roman"/>
          <w:bCs/>
          <w:sz w:val="24"/>
          <w:szCs w:val="24"/>
        </w:rPr>
        <w:t xml:space="preserve">. </w:t>
      </w:r>
      <w:r w:rsidRPr="004738E4">
        <w:rPr>
          <w:rFonts w:ascii="Times New Roman" w:hAnsi="Times New Roman" w:cs="Times New Roman"/>
          <w:sz w:val="24"/>
          <w:szCs w:val="24"/>
        </w:rPr>
        <w:t>The ADR ratio was 1.29 based on 36924 reports.</w:t>
      </w:r>
    </w:p>
    <w:p w14:paraId="20202DE2" w14:textId="6904FA0C" w:rsidR="001D40E5" w:rsidRPr="004738E4" w:rsidRDefault="00AF2088" w:rsidP="003406EE">
      <w:pPr>
        <w:kinsoku w:val="0"/>
        <w:overflowPunct w:val="0"/>
        <w:spacing w:before="2" w:after="120" w:line="480" w:lineRule="auto"/>
        <w:ind w:right="112"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Metoprolol</w:t>
      </w:r>
      <w:r w:rsidRPr="004738E4">
        <w:rPr>
          <w:rFonts w:ascii="Times New Roman" w:hAnsi="Times New Roman" w:cs="Times New Roman"/>
          <w:sz w:val="24"/>
          <w:szCs w:val="24"/>
        </w:rPr>
        <w:t>. Women had significantly higher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and AUC values than men after oral treatment with metoprolol tartrate; women also exhibited a greater reduction in exercise heart rate and systolic blood pressure </w:t>
      </w:r>
      <w:r w:rsidR="005941EE" w:rsidRPr="004738E4">
        <w:rPr>
          <w:rFonts w:ascii="Times New Roman" w:hAnsi="Times New Roman" w:cs="Times New Roman"/>
          <w:noProof/>
          <w:sz w:val="24"/>
          <w:szCs w:val="24"/>
        </w:rPr>
        <w:t>(66)</w:t>
      </w:r>
      <w:r w:rsidRPr="004738E4">
        <w:rPr>
          <w:rFonts w:ascii="Times New Roman" w:hAnsi="Times New Roman" w:cs="Times New Roman"/>
          <w:sz w:val="24"/>
          <w:szCs w:val="24"/>
        </w:rPr>
        <w:t xml:space="preserve">. Sharma et al. </w:t>
      </w:r>
      <w:r w:rsidR="005941EE" w:rsidRPr="004738E4">
        <w:rPr>
          <w:rFonts w:ascii="Times New Roman" w:hAnsi="Times New Roman" w:cs="Times New Roman"/>
          <w:noProof/>
          <w:sz w:val="24"/>
          <w:szCs w:val="24"/>
        </w:rPr>
        <w:t>(67)</w:t>
      </w:r>
      <w:r w:rsidRPr="004738E4">
        <w:rPr>
          <w:rFonts w:ascii="Times New Roman" w:hAnsi="Times New Roman" w:cs="Times New Roman"/>
          <w:sz w:val="24"/>
          <w:szCs w:val="24"/>
        </w:rPr>
        <w:t xml:space="preserve"> observed similar sex differences when metoprolol was administered in the presence of a steady state of diphenhydramine, which </w:t>
      </w:r>
      <w:r w:rsidRPr="004738E4">
        <w:rPr>
          <w:rFonts w:ascii="Times New Roman" w:hAnsi="Times New Roman" w:cs="Times New Roman"/>
          <w:sz w:val="24"/>
          <w:szCs w:val="24"/>
        </w:rPr>
        <w:lastRenderedPageBreak/>
        <w:t>increased the metoprolol AUC by 84% in women and only 45% in extensive metabolizer men. Sex differences in PKs persisted after correction for differences</w:t>
      </w:r>
      <w:r w:rsidRPr="004738E4">
        <w:rPr>
          <w:rFonts w:ascii="Times New Roman" w:hAnsi="Times New Roman" w:cs="Times New Roman"/>
          <w:i/>
          <w:sz w:val="24"/>
          <w:szCs w:val="24"/>
        </w:rPr>
        <w:t xml:space="preserve"> </w:t>
      </w:r>
      <w:r w:rsidRPr="004738E4">
        <w:rPr>
          <w:rFonts w:ascii="Times New Roman" w:hAnsi="Times New Roman" w:cs="Times New Roman"/>
          <w:sz w:val="24"/>
          <w:szCs w:val="24"/>
        </w:rPr>
        <w:t>in</w:t>
      </w:r>
      <w:r w:rsidRPr="004738E4">
        <w:rPr>
          <w:rFonts w:ascii="Times New Roman" w:hAnsi="Times New Roman" w:cs="Times New Roman"/>
          <w:i/>
          <w:sz w:val="24"/>
          <w:szCs w:val="24"/>
        </w:rPr>
        <w:t xml:space="preserve"> </w:t>
      </w:r>
      <w:r w:rsidRPr="004738E4">
        <w:rPr>
          <w:rFonts w:ascii="Times New Roman" w:hAnsi="Times New Roman" w:cs="Times New Roman"/>
          <w:sz w:val="24"/>
          <w:szCs w:val="24"/>
        </w:rPr>
        <w:t xml:space="preserve">body weight. Ueno and Sharma </w:t>
      </w:r>
      <w:r w:rsidR="005941EE" w:rsidRPr="004738E4">
        <w:rPr>
          <w:rFonts w:ascii="Times New Roman" w:hAnsi="Times New Roman" w:cs="Times New Roman"/>
          <w:noProof/>
          <w:sz w:val="24"/>
          <w:szCs w:val="24"/>
        </w:rPr>
        <w:t>(68)</w:t>
      </w:r>
      <w:r w:rsidRPr="004738E4">
        <w:rPr>
          <w:rFonts w:ascii="Times New Roman" w:hAnsi="Times New Roman" w:cs="Times New Roman"/>
          <w:sz w:val="24"/>
          <w:szCs w:val="24"/>
        </w:rPr>
        <w:t xml:space="preserve"> suggested that women may require lower-than-standard doses to avoid adverse effects, whereas men may require larger doses to obtain therapeutic benefit. On the other hand, Cocco and Chu</w:t>
      </w:r>
      <w:r w:rsidR="00EB2E5E" w:rsidRPr="004738E4">
        <w:rPr>
          <w:rFonts w:ascii="Times New Roman" w:hAnsi="Times New Roman" w:cs="Times New Roman"/>
          <w:sz w:val="24"/>
          <w:szCs w:val="24"/>
        </w:rPr>
        <w:t xml:space="preserve"> (2006)</w:t>
      </w:r>
      <w:r w:rsidRPr="004738E4">
        <w:rPr>
          <w:rFonts w:ascii="Times New Roman" w:hAnsi="Times New Roman" w:cs="Times New Roman"/>
          <w:sz w:val="24"/>
          <w:szCs w:val="24"/>
        </w:rPr>
        <w:t xml:space="preserve"> reported that despite presumed greater plasma concentration of metoprolol in women, there was a significant difference in anti-ischemic effect in favor of men. ADR ratio of 1.26</w:t>
      </w:r>
      <w:r w:rsidR="00D31750"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39751 reports.</w:t>
      </w:r>
    </w:p>
    <w:p w14:paraId="6AFDB788" w14:textId="77777777" w:rsidR="000E6236" w:rsidRPr="004738E4" w:rsidRDefault="000E6236" w:rsidP="003406EE">
      <w:pPr>
        <w:shd w:val="clear" w:color="auto" w:fill="FFFFFF"/>
        <w:spacing w:after="0" w:line="480" w:lineRule="auto"/>
        <w:contextualSpacing/>
        <w:jc w:val="both"/>
        <w:rPr>
          <w:rFonts w:ascii="Times New Roman" w:hAnsi="Times New Roman" w:cs="Times New Roman"/>
          <w:sz w:val="24"/>
          <w:szCs w:val="24"/>
        </w:rPr>
      </w:pPr>
    </w:p>
    <w:p w14:paraId="184B7002" w14:textId="429AA498"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G: Genito-urinary system and sex hormones</w:t>
      </w:r>
    </w:p>
    <w:p w14:paraId="2BFD386E" w14:textId="6C965A33" w:rsidR="00AF2088" w:rsidRPr="004738E4" w:rsidRDefault="00AF2088" w:rsidP="003406EE">
      <w:pPr>
        <w:shd w:val="clear" w:color="auto" w:fill="FFFFFF"/>
        <w:spacing w:line="480" w:lineRule="auto"/>
        <w:ind w:firstLine="720"/>
        <w:contextualSpacing/>
        <w:jc w:val="both"/>
        <w:rPr>
          <w:rFonts w:ascii="Times New Roman" w:eastAsia="Times New Roman" w:hAnsi="Times New Roman" w:cs="Times New Roman"/>
          <w:bCs/>
          <w:sz w:val="24"/>
          <w:szCs w:val="24"/>
        </w:rPr>
      </w:pPr>
      <w:r w:rsidRPr="004738E4">
        <w:rPr>
          <w:rFonts w:ascii="Times New Roman" w:hAnsi="Times New Roman" w:cs="Times New Roman"/>
          <w:sz w:val="24"/>
          <w:szCs w:val="24"/>
          <w:u w:val="single"/>
        </w:rPr>
        <w:t>Mirabegron</w:t>
      </w:r>
      <w:r w:rsidRPr="004738E4">
        <w:rPr>
          <w:rFonts w:ascii="Times New Roman" w:hAnsi="Times New Roman" w:cs="Times New Roman"/>
          <w:sz w:val="24"/>
          <w:szCs w:val="24"/>
        </w:rPr>
        <w:t>. The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and AUC for treatment of overactiv</w:t>
      </w:r>
      <w:r w:rsidR="00404B53" w:rsidRPr="004738E4">
        <w:rPr>
          <w:rFonts w:ascii="Times New Roman" w:hAnsi="Times New Roman" w:cs="Times New Roman"/>
          <w:sz w:val="24"/>
          <w:szCs w:val="24"/>
        </w:rPr>
        <w:t>e bladder were approximately 40-</w:t>
      </w:r>
      <w:r w:rsidRPr="004738E4">
        <w:rPr>
          <w:rFonts w:ascii="Times New Roman" w:hAnsi="Times New Roman" w:cs="Times New Roman"/>
          <w:sz w:val="24"/>
          <w:szCs w:val="24"/>
        </w:rPr>
        <w:t>50% higher in females than males; systemic exposure was 2</w:t>
      </w:r>
      <w:r w:rsidR="00404B53" w:rsidRPr="004738E4">
        <w:rPr>
          <w:rFonts w:ascii="Times New Roman" w:hAnsi="Times New Roman" w:cs="Times New Roman"/>
          <w:sz w:val="24"/>
          <w:szCs w:val="24"/>
        </w:rPr>
        <w:t>0-</w:t>
      </w:r>
      <w:r w:rsidRPr="004738E4">
        <w:rPr>
          <w:rFonts w:ascii="Times New Roman" w:hAnsi="Times New Roman" w:cs="Times New Roman"/>
          <w:sz w:val="24"/>
          <w:szCs w:val="24"/>
        </w:rPr>
        <w:t>30% higher in women after correction for body weight differences. Mixed results were reported in studies that examined the effect of sex on discontinuation of treatment. In Canada and the Czech Republic mirabegron persistence rates were higher in men than women (</w:t>
      </w:r>
      <w:r w:rsidR="000B53CB" w:rsidRPr="004738E4">
        <w:rPr>
          <w:rFonts w:ascii="Times New Roman" w:hAnsi="Times New Roman" w:cs="Times New Roman"/>
          <w:sz w:val="24"/>
          <w:szCs w:val="24"/>
        </w:rPr>
        <w:t xml:space="preserve">Table 1; </w:t>
      </w:r>
      <w:r w:rsidR="005941EE" w:rsidRPr="004738E4">
        <w:rPr>
          <w:rFonts w:ascii="Times New Roman" w:hAnsi="Times New Roman" w:cs="Times New Roman"/>
          <w:noProof/>
          <w:sz w:val="24"/>
          <w:szCs w:val="24"/>
        </w:rPr>
        <w:t>(69,70)</w:t>
      </w:r>
      <w:r w:rsidRPr="004738E4">
        <w:rPr>
          <w:rFonts w:ascii="Times New Roman" w:hAnsi="Times New Roman" w:cs="Times New Roman"/>
          <w:sz w:val="24"/>
          <w:szCs w:val="24"/>
        </w:rPr>
        <w:t xml:space="preserve">) whereas the reverse was found in an UK-based studies </w:t>
      </w:r>
      <w:r w:rsidR="005941EE" w:rsidRPr="004738E4">
        <w:rPr>
          <w:rFonts w:ascii="Times New Roman" w:hAnsi="Times New Roman" w:cs="Times New Roman"/>
          <w:noProof/>
          <w:sz w:val="24"/>
          <w:szCs w:val="24"/>
        </w:rPr>
        <w:t>(71)</w:t>
      </w:r>
      <w:r w:rsidRPr="004738E4">
        <w:rPr>
          <w:rFonts w:ascii="Times New Roman" w:hAnsi="Times New Roman" w:cs="Times New Roman"/>
          <w:sz w:val="24"/>
          <w:szCs w:val="24"/>
        </w:rPr>
        <w:t xml:space="preserve"> and no sex difference in a Japanese study </w:t>
      </w:r>
      <w:r w:rsidR="005941EE" w:rsidRPr="004738E4">
        <w:rPr>
          <w:rFonts w:ascii="Times New Roman" w:hAnsi="Times New Roman" w:cs="Times New Roman"/>
          <w:noProof/>
          <w:sz w:val="24"/>
          <w:szCs w:val="24"/>
        </w:rPr>
        <w:t>(72)</w:t>
      </w:r>
      <w:r w:rsidRPr="004738E4">
        <w:rPr>
          <w:rFonts w:ascii="Times New Roman" w:hAnsi="Times New Roman" w:cs="Times New Roman"/>
          <w:sz w:val="24"/>
          <w:szCs w:val="24"/>
        </w:rPr>
        <w:t xml:space="preserve">. There are no label indications of this difference and no recommendations that dose adjustments are necessary based on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(NDA </w:t>
      </w:r>
      <w:r w:rsidRPr="004738E4">
        <w:rPr>
          <w:rFonts w:ascii="Times New Roman" w:eastAsia="Times New Roman" w:hAnsi="Times New Roman" w:cs="Times New Roman"/>
          <w:bCs/>
          <w:sz w:val="24"/>
          <w:szCs w:val="24"/>
        </w:rPr>
        <w:t xml:space="preserve">202611). </w:t>
      </w:r>
    </w:p>
    <w:p w14:paraId="39BAE7E2" w14:textId="534E904C" w:rsidR="00AF2088" w:rsidRPr="004738E4" w:rsidRDefault="00AF2088" w:rsidP="003406EE">
      <w:pPr>
        <w:shd w:val="clear" w:color="auto" w:fill="FFFFFF"/>
        <w:spacing w:line="480" w:lineRule="auto"/>
        <w:ind w:firstLine="720"/>
        <w:contextualSpacing/>
        <w:jc w:val="both"/>
        <w:rPr>
          <w:rFonts w:ascii="Times New Roman" w:hAnsi="Times New Roman" w:cs="Times New Roman"/>
          <w:bCs/>
          <w:iCs/>
          <w:sz w:val="24"/>
          <w:szCs w:val="24"/>
        </w:rPr>
      </w:pPr>
      <w:r w:rsidRPr="004738E4">
        <w:rPr>
          <w:rFonts w:ascii="Times New Roman" w:hAnsi="Times New Roman" w:cs="Times New Roman"/>
          <w:sz w:val="24"/>
          <w:szCs w:val="24"/>
          <w:u w:val="single"/>
        </w:rPr>
        <w:t>Darifenacin</w:t>
      </w:r>
      <w:r w:rsidRPr="004738E4">
        <w:rPr>
          <w:rFonts w:ascii="Times New Roman" w:hAnsi="Times New Roman" w:cs="Times New Roman"/>
          <w:sz w:val="24"/>
          <w:szCs w:val="24"/>
        </w:rPr>
        <w:t xml:space="preserve">. Darifenacin hydrobromide clearance was 31% lower in women than men </w:t>
      </w:r>
      <w:r w:rsidR="005941EE" w:rsidRPr="004738E4">
        <w:rPr>
          <w:rFonts w:ascii="Times New Roman" w:hAnsi="Times New Roman" w:cs="Times New Roman"/>
          <w:noProof/>
          <w:sz w:val="24"/>
          <w:szCs w:val="24"/>
        </w:rPr>
        <w:t>(73)</w:t>
      </w:r>
      <w:r w:rsidRPr="004738E4">
        <w:rPr>
          <w:rFonts w:ascii="Times New Roman" w:hAnsi="Times New Roman" w:cs="Times New Roman"/>
          <w:sz w:val="24"/>
          <w:szCs w:val="24"/>
        </w:rPr>
        <w:t>;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and AUC at ste</w:t>
      </w:r>
      <w:r w:rsidR="00404B53" w:rsidRPr="004738E4">
        <w:rPr>
          <w:rFonts w:ascii="Times New Roman" w:hAnsi="Times New Roman" w:cs="Times New Roman"/>
          <w:sz w:val="24"/>
          <w:szCs w:val="24"/>
        </w:rPr>
        <w:t>ady state were approximately 57-79% and 61</w:t>
      </w:r>
      <w:r w:rsidRPr="004738E4">
        <w:rPr>
          <w:rFonts w:ascii="Times New Roman" w:hAnsi="Times New Roman" w:cs="Times New Roman"/>
          <w:sz w:val="24"/>
          <w:szCs w:val="24"/>
        </w:rPr>
        <w:t xml:space="preserve">-73% higher in females than males, respectively; women reported more adverse effects than men </w:t>
      </w:r>
      <w:r w:rsidR="005941EE" w:rsidRPr="004738E4">
        <w:rPr>
          <w:rFonts w:ascii="Times New Roman" w:eastAsia="Times New Roman" w:hAnsi="Times New Roman" w:cs="Times New Roman"/>
          <w:noProof/>
          <w:sz w:val="24"/>
          <w:szCs w:val="24"/>
        </w:rPr>
        <w:t>(74)</w:t>
      </w:r>
      <w:r w:rsidRPr="004738E4">
        <w:rPr>
          <w:rFonts w:ascii="Times New Roman" w:hAnsi="Times New Roman" w:cs="Times New Roman"/>
          <w:sz w:val="24"/>
          <w:szCs w:val="24"/>
        </w:rPr>
        <w:t xml:space="preserve"> but no dose adjustment was recommended based on </w:t>
      </w:r>
      <w:r w:rsidR="008C3029" w:rsidRPr="004738E4">
        <w:rPr>
          <w:rFonts w:ascii="Times New Roman" w:hAnsi="Times New Roman" w:cs="Times New Roman"/>
          <w:sz w:val="24"/>
          <w:szCs w:val="24"/>
        </w:rPr>
        <w:t>sex</w:t>
      </w:r>
      <w:r w:rsidRPr="004738E4">
        <w:rPr>
          <w:rFonts w:ascii="Times New Roman" w:hAnsi="Times New Roman" w:cs="Times New Roman"/>
          <w:sz w:val="24"/>
          <w:szCs w:val="24"/>
        </w:rPr>
        <w:t xml:space="preserve"> (NDA 021513).</w:t>
      </w:r>
      <w:r w:rsidRPr="004738E4">
        <w:rPr>
          <w:rFonts w:ascii="Times New Roman" w:hAnsi="Times New Roman" w:cs="Times New Roman"/>
          <w:bCs/>
          <w:iCs/>
          <w:sz w:val="24"/>
          <w:szCs w:val="24"/>
        </w:rPr>
        <w:t xml:space="preserve"> </w:t>
      </w:r>
    </w:p>
    <w:p w14:paraId="7F1F4D67" w14:textId="47266A53" w:rsidR="0073025B" w:rsidRPr="004738E4" w:rsidRDefault="000A43A9" w:rsidP="003406EE">
      <w:pPr>
        <w:shd w:val="clear" w:color="auto" w:fill="FFFFFF"/>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Trospium</w:t>
      </w:r>
      <w:r w:rsidRPr="004738E4">
        <w:rPr>
          <w:rFonts w:ascii="Times New Roman" w:hAnsi="Times New Roman" w:cs="Times New Roman"/>
          <w:sz w:val="24"/>
          <w:szCs w:val="24"/>
        </w:rPr>
        <w:t>. Trospium chloride dosed to elderly men and woman generated AUC and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values 26% and 68% higher, respectively, in women</w:t>
      </w:r>
      <w:r w:rsidR="003B2190" w:rsidRPr="004738E4">
        <w:rPr>
          <w:rFonts w:ascii="Times New Roman" w:hAnsi="Times New Roman" w:cs="Times New Roman"/>
          <w:sz w:val="24"/>
          <w:szCs w:val="24"/>
        </w:rPr>
        <w:t xml:space="preserve"> and </w:t>
      </w:r>
      <w:r w:rsidR="003B2190" w:rsidRPr="004738E4">
        <w:rPr>
          <w:rFonts w:ascii="Times New Roman" w:hAnsi="Times New Roman" w:cs="Times New Roman"/>
          <w:i/>
          <w:sz w:val="24"/>
          <w:szCs w:val="24"/>
        </w:rPr>
        <w:t>t</w:t>
      </w:r>
      <w:r w:rsidR="003B2190" w:rsidRPr="004738E4">
        <w:rPr>
          <w:rFonts w:ascii="Times New Roman" w:hAnsi="Times New Roman" w:cs="Times New Roman"/>
          <w:sz w:val="24"/>
          <w:szCs w:val="24"/>
          <w:vertAlign w:val="subscript"/>
        </w:rPr>
        <w:t xml:space="preserve">1/2  </w:t>
      </w:r>
      <w:r w:rsidR="00761A7B" w:rsidRPr="004738E4">
        <w:rPr>
          <w:rFonts w:ascii="Times New Roman" w:hAnsi="Times New Roman" w:cs="Times New Roman"/>
          <w:sz w:val="24"/>
          <w:szCs w:val="24"/>
        </w:rPr>
        <w:t xml:space="preserve">was </w:t>
      </w:r>
      <w:r w:rsidR="003B2190" w:rsidRPr="004738E4">
        <w:rPr>
          <w:rFonts w:ascii="Times New Roman" w:hAnsi="Times New Roman" w:cs="Times New Roman"/>
          <w:sz w:val="24"/>
          <w:szCs w:val="24"/>
        </w:rPr>
        <w:t xml:space="preserve">prolonged by approximately 4 </w:t>
      </w:r>
      <w:r w:rsidR="003B2190" w:rsidRPr="004738E4">
        <w:rPr>
          <w:rFonts w:ascii="Times New Roman" w:hAnsi="Times New Roman" w:cs="Times New Roman"/>
          <w:sz w:val="24"/>
          <w:szCs w:val="24"/>
        </w:rPr>
        <w:lastRenderedPageBreak/>
        <w:t xml:space="preserve">h in women (cited by </w:t>
      </w:r>
      <w:r w:rsidR="005941EE" w:rsidRPr="004738E4">
        <w:rPr>
          <w:rFonts w:ascii="Times New Roman" w:hAnsi="Times New Roman" w:cs="Times New Roman"/>
          <w:noProof/>
          <w:sz w:val="24"/>
          <w:szCs w:val="24"/>
        </w:rPr>
        <w:t>(75)</w:t>
      </w:r>
      <w:r w:rsidR="003B2190" w:rsidRPr="004738E4">
        <w:rPr>
          <w:rFonts w:ascii="Times New Roman" w:hAnsi="Times New Roman" w:cs="Times New Roman"/>
          <w:sz w:val="24"/>
          <w:szCs w:val="24"/>
        </w:rPr>
        <w:t>).</w:t>
      </w:r>
      <w:r w:rsidR="00761A7B"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Women were twice as likely as men to develop cognitive impairments </w:t>
      </w:r>
      <w:r w:rsidR="005941EE" w:rsidRPr="004738E4">
        <w:rPr>
          <w:rFonts w:ascii="Times New Roman" w:hAnsi="Times New Roman" w:cs="Times New Roman"/>
          <w:noProof/>
          <w:sz w:val="24"/>
          <w:szCs w:val="24"/>
        </w:rPr>
        <w:t>(76)</w:t>
      </w:r>
      <w:r w:rsidR="00A06F09" w:rsidRPr="004738E4">
        <w:rPr>
          <w:rFonts w:ascii="Times New Roman" w:hAnsi="Times New Roman" w:cs="Times New Roman"/>
          <w:sz w:val="24"/>
          <w:szCs w:val="24"/>
        </w:rPr>
        <w:t xml:space="preserve"> but sample sizes were small. </w:t>
      </w:r>
    </w:p>
    <w:p w14:paraId="0F253A30" w14:textId="77777777" w:rsidR="00404B53" w:rsidRPr="004738E4" w:rsidRDefault="00404B53" w:rsidP="003406EE">
      <w:pPr>
        <w:shd w:val="clear" w:color="auto" w:fill="FFFFFF"/>
        <w:spacing w:after="0" w:line="480" w:lineRule="auto"/>
        <w:ind w:firstLine="720"/>
        <w:contextualSpacing/>
        <w:jc w:val="both"/>
        <w:rPr>
          <w:rFonts w:ascii="Times New Roman" w:hAnsi="Times New Roman" w:cs="Times New Roman"/>
          <w:sz w:val="24"/>
          <w:szCs w:val="24"/>
        </w:rPr>
      </w:pPr>
    </w:p>
    <w:p w14:paraId="3F0DB9B5" w14:textId="13C42DDB"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H: Systemic hormonal preparations</w:t>
      </w:r>
    </w:p>
    <w:p w14:paraId="6D7C6E70" w14:textId="50AD1435" w:rsidR="000A43A9" w:rsidRPr="004738E4" w:rsidRDefault="000A43A9" w:rsidP="003406EE">
      <w:pPr>
        <w:kinsoku w:val="0"/>
        <w:overflowPunct w:val="0"/>
        <w:spacing w:after="120" w:line="480" w:lineRule="auto"/>
        <w:ind w:left="39" w:firstLine="681"/>
        <w:contextualSpacing/>
        <w:jc w:val="both"/>
        <w:rPr>
          <w:rFonts w:ascii="Times New Roman" w:hAnsi="Times New Roman" w:cs="Times New Roman"/>
          <w:sz w:val="24"/>
          <w:szCs w:val="24"/>
        </w:rPr>
      </w:pPr>
      <w:r w:rsidRPr="004738E4">
        <w:rPr>
          <w:rFonts w:ascii="Times New Roman" w:hAnsi="Times New Roman" w:cs="Times New Roman"/>
          <w:sz w:val="24"/>
          <w:szCs w:val="24"/>
          <w:u w:val="single"/>
          <w:shd w:val="clear" w:color="auto" w:fill="FFFFFF"/>
        </w:rPr>
        <w:t>Prednisone</w:t>
      </w:r>
      <w:r w:rsidRPr="004738E4">
        <w:rPr>
          <w:rFonts w:ascii="Times New Roman" w:hAnsi="Times New Roman" w:cs="Times New Roman"/>
          <w:sz w:val="24"/>
          <w:szCs w:val="24"/>
          <w:shd w:val="clear" w:color="auto" w:fill="FFFFFF"/>
        </w:rPr>
        <w:t>. Prednisone is converted to prednisolone by the liver before it becomes active.</w:t>
      </w:r>
      <w:r w:rsidRPr="004738E4">
        <w:rPr>
          <w:rFonts w:ascii="Times New Roman" w:hAnsi="Times New Roman" w:cs="Times New Roman"/>
          <w:sz w:val="24"/>
          <w:szCs w:val="24"/>
        </w:rPr>
        <w:t xml:space="preserve"> </w:t>
      </w:r>
      <w:r w:rsidR="0073025B" w:rsidRPr="004738E4">
        <w:rPr>
          <w:rFonts w:ascii="Times New Roman" w:hAnsi="Times New Roman" w:cs="Times New Roman"/>
          <w:iCs/>
          <w:sz w:val="24"/>
          <w:szCs w:val="24"/>
        </w:rPr>
        <w:t xml:space="preserve">Body weight–normalized free prednisolone oral clearance was 22% higher in white men than in white women, and 40% higher in black men than black women </w:t>
      </w:r>
      <w:r w:rsidR="005941EE" w:rsidRPr="004738E4">
        <w:rPr>
          <w:rFonts w:ascii="Times New Roman" w:hAnsi="Times New Roman" w:cs="Times New Roman"/>
          <w:iCs/>
          <w:noProof/>
          <w:sz w:val="24"/>
          <w:szCs w:val="24"/>
        </w:rPr>
        <w:t>(77)</w:t>
      </w:r>
      <w:r w:rsidR="0073025B" w:rsidRPr="004738E4">
        <w:rPr>
          <w:rFonts w:ascii="Times New Roman" w:hAnsi="Times New Roman" w:cs="Times New Roman"/>
          <w:iCs/>
          <w:sz w:val="24"/>
          <w:szCs w:val="24"/>
        </w:rPr>
        <w:t xml:space="preserve">. </w:t>
      </w:r>
      <w:r w:rsidRPr="004738E4">
        <w:rPr>
          <w:rFonts w:ascii="Times New Roman" w:hAnsi="Times New Roman" w:cs="Times New Roman"/>
          <w:sz w:val="24"/>
          <w:szCs w:val="24"/>
        </w:rPr>
        <w:t>In stable renal transplant recipients</w:t>
      </w:r>
      <w:r w:rsidR="005664F9" w:rsidRPr="004738E4">
        <w:rPr>
          <w:rFonts w:ascii="Times New Roman" w:hAnsi="Times New Roman" w:cs="Times New Roman"/>
          <w:sz w:val="24"/>
          <w:szCs w:val="24"/>
        </w:rPr>
        <w:t>,</w:t>
      </w:r>
      <w:r w:rsidRPr="004738E4">
        <w:rPr>
          <w:rFonts w:ascii="Times New Roman" w:hAnsi="Times New Roman" w:cs="Times New Roman"/>
          <w:sz w:val="24"/>
          <w:szCs w:val="24"/>
        </w:rPr>
        <w:t xml:space="preserve"> median dose- normalized total prednisolone AUC</w:t>
      </w:r>
      <w:r w:rsidRPr="004738E4">
        <w:rPr>
          <w:rFonts w:ascii="Times New Roman" w:hAnsi="Times New Roman" w:cs="Times New Roman"/>
          <w:sz w:val="24"/>
          <w:szCs w:val="24"/>
          <w:vertAlign w:val="subscript"/>
        </w:rPr>
        <w:t xml:space="preserve"> </w:t>
      </w:r>
      <w:r w:rsidRPr="004738E4">
        <w:rPr>
          <w:rFonts w:ascii="Times New Roman" w:hAnsi="Times New Roman" w:cs="Times New Roman"/>
          <w:sz w:val="24"/>
          <w:szCs w:val="24"/>
        </w:rPr>
        <w:t xml:space="preserve">was significantly higher in women than men </w:t>
      </w:r>
      <w:r w:rsidR="005941EE" w:rsidRPr="004738E4">
        <w:rPr>
          <w:rFonts w:ascii="Times New Roman" w:hAnsi="Times New Roman" w:cs="Times New Roman"/>
          <w:noProof/>
          <w:sz w:val="24"/>
          <w:szCs w:val="24"/>
        </w:rPr>
        <w:t>(78)</w:t>
      </w:r>
      <w:r w:rsidRPr="004738E4">
        <w:rPr>
          <w:rFonts w:ascii="Times New Roman" w:hAnsi="Times New Roman" w:cs="Times New Roman"/>
          <w:sz w:val="24"/>
          <w:szCs w:val="24"/>
        </w:rPr>
        <w:t xml:space="preserve">. Prednisone ADRs were significantly more common in women who also reported significantly more intolerable ADRs </w:t>
      </w:r>
      <w:r w:rsidR="00552E44" w:rsidRPr="004738E4">
        <w:rPr>
          <w:rFonts w:ascii="Times New Roman" w:hAnsi="Times New Roman" w:cs="Times New Roman"/>
          <w:sz w:val="24"/>
          <w:szCs w:val="24"/>
        </w:rPr>
        <w:t xml:space="preserve">(depression, fatigue, hair loss, mood swings, moon face, sleeplessness, stomach complaint, and weight gain) </w:t>
      </w:r>
      <w:r w:rsidRPr="004738E4">
        <w:rPr>
          <w:rFonts w:ascii="Times New Roman" w:hAnsi="Times New Roman" w:cs="Times New Roman"/>
          <w:sz w:val="24"/>
          <w:szCs w:val="24"/>
        </w:rPr>
        <w:t xml:space="preserve">and were less willing to accept a dose increase compared </w:t>
      </w:r>
      <w:r w:rsidR="001A0D07" w:rsidRPr="004738E4">
        <w:rPr>
          <w:rFonts w:ascii="Times New Roman" w:hAnsi="Times New Roman" w:cs="Times New Roman"/>
          <w:sz w:val="24"/>
          <w:szCs w:val="24"/>
        </w:rPr>
        <w:t xml:space="preserve">to </w:t>
      </w:r>
      <w:r w:rsidRPr="004738E4">
        <w:rPr>
          <w:rFonts w:ascii="Times New Roman" w:hAnsi="Times New Roman" w:cs="Times New Roman"/>
          <w:sz w:val="24"/>
          <w:szCs w:val="24"/>
        </w:rPr>
        <w:t xml:space="preserve">men </w:t>
      </w:r>
      <w:r w:rsidR="005941EE" w:rsidRPr="004738E4">
        <w:rPr>
          <w:rFonts w:ascii="Times New Roman" w:hAnsi="Times New Roman" w:cs="Times New Roman"/>
          <w:noProof/>
          <w:sz w:val="24"/>
          <w:szCs w:val="24"/>
        </w:rPr>
        <w:t>(79)</w:t>
      </w:r>
      <w:r w:rsidRPr="004738E4">
        <w:rPr>
          <w:rFonts w:ascii="Times New Roman" w:hAnsi="Times New Roman" w:cs="Times New Roman"/>
          <w:sz w:val="24"/>
          <w:szCs w:val="24"/>
        </w:rPr>
        <w:t>.</w:t>
      </w:r>
    </w:p>
    <w:p w14:paraId="4B6075FF" w14:textId="278DB5AF" w:rsidR="000E6236" w:rsidRPr="004738E4" w:rsidRDefault="000A43A9"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Methylprednisolone.</w:t>
      </w:r>
      <w:r w:rsidRPr="004738E4">
        <w:rPr>
          <w:rFonts w:ascii="Times New Roman" w:hAnsi="Times New Roman" w:cs="Times New Roman"/>
          <w:sz w:val="24"/>
          <w:szCs w:val="24"/>
        </w:rPr>
        <w:t xml:space="preserve"> Women in the luteal phase of the menstrual cycle cleared methylprednisolone significantly faster and had a shorter elimination half-life</w:t>
      </w:r>
      <w:r w:rsidR="00B967DD"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than men when values were normalized to ideal body weight (IBW) and the AUC was significantly lower in women; </w:t>
      </w:r>
      <w:r w:rsidR="000E074C" w:rsidRPr="004738E4">
        <w:rPr>
          <w:rFonts w:ascii="Times New Roman" w:hAnsi="Times New Roman" w:cs="Times New Roman"/>
          <w:sz w:val="24"/>
          <w:szCs w:val="24"/>
        </w:rPr>
        <w:t xml:space="preserve">the concentration of </w:t>
      </w:r>
      <w:r w:rsidRPr="004738E4">
        <w:rPr>
          <w:rFonts w:ascii="Times New Roman" w:hAnsi="Times New Roman" w:cs="Times New Roman"/>
          <w:sz w:val="24"/>
          <w:szCs w:val="24"/>
        </w:rPr>
        <w:t>methylprednisolone</w:t>
      </w:r>
      <w:r w:rsidR="000E074C" w:rsidRPr="004738E4">
        <w:rPr>
          <w:rFonts w:ascii="Times New Roman" w:hAnsi="Times New Roman" w:cs="Times New Roman"/>
          <w:sz w:val="24"/>
          <w:szCs w:val="24"/>
        </w:rPr>
        <w:t xml:space="preserve"> sufficient to suppress endogenous cortisol was &gt;10-fold lower in women </w:t>
      </w:r>
      <w:r w:rsidRPr="004738E4">
        <w:rPr>
          <w:rFonts w:ascii="Times New Roman" w:hAnsi="Times New Roman" w:cs="Times New Roman"/>
          <w:sz w:val="24"/>
          <w:szCs w:val="24"/>
        </w:rPr>
        <w:t>(</w:t>
      </w:r>
      <w:r w:rsidR="000E074C" w:rsidRPr="004738E4">
        <w:rPr>
          <w:rFonts w:ascii="Times New Roman" w:hAnsi="Times New Roman" w:cs="Times New Roman"/>
          <w:sz w:val="24"/>
          <w:szCs w:val="24"/>
        </w:rPr>
        <w:t xml:space="preserve">0.11 vs. 1.69 ng/ml; </w:t>
      </w:r>
      <w:r w:rsidR="005941EE" w:rsidRPr="004738E4">
        <w:rPr>
          <w:rFonts w:ascii="Times New Roman" w:hAnsi="Times New Roman" w:cs="Times New Roman"/>
          <w:noProof/>
          <w:sz w:val="24"/>
          <w:szCs w:val="24"/>
        </w:rPr>
        <w:t>(80)</w:t>
      </w:r>
      <w:r w:rsidR="00EB2E5E" w:rsidRPr="004738E4">
        <w:rPr>
          <w:rFonts w:ascii="Times New Roman" w:hAnsi="Times New Roman" w:cs="Times New Roman"/>
          <w:sz w:val="24"/>
          <w:szCs w:val="24"/>
        </w:rPr>
        <w:t>;</w:t>
      </w:r>
      <w:r w:rsidRPr="004738E4">
        <w:rPr>
          <w:rFonts w:ascii="Times New Roman" w:hAnsi="Times New Roman" w:cs="Times New Roman"/>
          <w:sz w:val="24"/>
          <w:szCs w:val="24"/>
        </w:rPr>
        <w:t xml:space="preserve"> the authors suggested that men and women should receive the same methylprednisolone dose normalized to IBW</w:t>
      </w:r>
      <w:r w:rsidRPr="004738E4">
        <w:rPr>
          <w:rFonts w:ascii="Times New Roman" w:hAnsi="Times New Roman" w:cs="Times New Roman"/>
          <w:b/>
          <w:sz w:val="24"/>
          <w:szCs w:val="24"/>
        </w:rPr>
        <w:t xml:space="preserve"> </w:t>
      </w:r>
      <w:r w:rsidRPr="004738E4">
        <w:rPr>
          <w:rFonts w:ascii="Times New Roman" w:hAnsi="Times New Roman" w:cs="Times New Roman"/>
          <w:sz w:val="24"/>
          <w:szCs w:val="24"/>
        </w:rPr>
        <w:t xml:space="preserve">because even though women eliminate the drug faster, they also have a greater response to a lower concentration of the drug. </w:t>
      </w:r>
      <w:r w:rsidR="003B127D" w:rsidRPr="004738E4">
        <w:rPr>
          <w:rFonts w:ascii="Times New Roman" w:hAnsi="Times New Roman" w:cs="Times New Roman"/>
          <w:sz w:val="24"/>
          <w:szCs w:val="24"/>
        </w:rPr>
        <w:t xml:space="preserve">The </w:t>
      </w:r>
      <w:r w:rsidR="000E6236" w:rsidRPr="004738E4">
        <w:rPr>
          <w:rFonts w:ascii="Times New Roman" w:hAnsi="Times New Roman" w:cs="Times New Roman"/>
          <w:sz w:val="24"/>
          <w:szCs w:val="24"/>
        </w:rPr>
        <w:t xml:space="preserve">VigiBase ADR sex ratio </w:t>
      </w:r>
      <w:r w:rsidR="003B127D" w:rsidRPr="004738E4">
        <w:rPr>
          <w:rFonts w:ascii="Times New Roman" w:hAnsi="Times New Roman" w:cs="Times New Roman"/>
          <w:sz w:val="24"/>
          <w:szCs w:val="24"/>
        </w:rPr>
        <w:t>was</w:t>
      </w:r>
      <w:r w:rsidR="000E6236" w:rsidRPr="004738E4">
        <w:rPr>
          <w:rFonts w:ascii="Times New Roman" w:hAnsi="Times New Roman" w:cs="Times New Roman"/>
          <w:sz w:val="24"/>
          <w:szCs w:val="24"/>
        </w:rPr>
        <w:t xml:space="preserve"> 1.39, based on </w:t>
      </w:r>
      <w:r w:rsidR="00F40AF5" w:rsidRPr="004738E4">
        <w:rPr>
          <w:rFonts w:ascii="Times New Roman" w:hAnsi="Times New Roman" w:cs="Times New Roman"/>
          <w:sz w:val="24"/>
          <w:szCs w:val="24"/>
        </w:rPr>
        <w:t xml:space="preserve">35227 </w:t>
      </w:r>
      <w:r w:rsidR="000E6236" w:rsidRPr="004738E4">
        <w:rPr>
          <w:rFonts w:ascii="Times New Roman" w:hAnsi="Times New Roman" w:cs="Times New Roman"/>
          <w:sz w:val="24"/>
          <w:szCs w:val="24"/>
        </w:rPr>
        <w:t>reports.</w:t>
      </w:r>
    </w:p>
    <w:p w14:paraId="2FDE563A" w14:textId="77777777" w:rsidR="00363429" w:rsidRPr="004738E4" w:rsidRDefault="00363429" w:rsidP="003406EE">
      <w:pPr>
        <w:shd w:val="clear" w:color="auto" w:fill="FFFFFF"/>
        <w:spacing w:after="0" w:line="480" w:lineRule="auto"/>
        <w:contextualSpacing/>
        <w:jc w:val="both"/>
        <w:rPr>
          <w:rFonts w:ascii="Times New Roman" w:hAnsi="Times New Roman" w:cs="Times New Roman"/>
          <w:i/>
          <w:sz w:val="24"/>
          <w:szCs w:val="24"/>
        </w:rPr>
      </w:pPr>
    </w:p>
    <w:p w14:paraId="138A88A5" w14:textId="2C225396"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J: Antiinfectives</w:t>
      </w:r>
    </w:p>
    <w:p w14:paraId="75DB7C9E" w14:textId="64216169" w:rsidR="009F2AA5" w:rsidRPr="004738E4" w:rsidRDefault="009F2AA5"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lastRenderedPageBreak/>
        <w:t>Levofloxacin</w:t>
      </w:r>
      <w:r w:rsidRPr="004738E4">
        <w:rPr>
          <w:rFonts w:ascii="Times New Roman" w:hAnsi="Times New Roman" w:cs="Times New Roman"/>
          <w:sz w:val="24"/>
          <w:szCs w:val="24"/>
        </w:rPr>
        <w:t xml:space="preserve">. </w:t>
      </w:r>
      <w:r w:rsidRPr="004738E4">
        <w:rPr>
          <w:rFonts w:ascii="Times New Roman" w:hAnsi="Times New Roman" w:cs="Times New Roman"/>
          <w:spacing w:val="-4"/>
          <w:sz w:val="24"/>
          <w:szCs w:val="24"/>
        </w:rPr>
        <w:t xml:space="preserve">Women </w:t>
      </w:r>
      <w:r w:rsidRPr="004738E4">
        <w:rPr>
          <w:rFonts w:ascii="Times New Roman" w:hAnsi="Times New Roman" w:cs="Times New Roman"/>
          <w:sz w:val="24"/>
          <w:szCs w:val="24"/>
        </w:rPr>
        <w:t xml:space="preserve">had a 24% greater exposure after receiving a 500 mg i.v. dose with a </w:t>
      </w:r>
      <w:r w:rsidRPr="004738E4">
        <w:rPr>
          <w:rFonts w:ascii="Times New Roman" w:hAnsi="Times New Roman" w:cs="Times New Roman"/>
          <w:spacing w:val="2"/>
          <w:sz w:val="24"/>
          <w:szCs w:val="24"/>
        </w:rPr>
        <w:t>significantly smaller steady-state V</w:t>
      </w:r>
      <w:r w:rsidRPr="004738E4">
        <w:rPr>
          <w:rFonts w:ascii="Times New Roman" w:hAnsi="Times New Roman" w:cs="Times New Roman"/>
          <w:spacing w:val="2"/>
          <w:sz w:val="24"/>
          <w:szCs w:val="24"/>
          <w:vertAlign w:val="subscript"/>
        </w:rPr>
        <w:t>d</w:t>
      </w:r>
      <w:r w:rsidRPr="004738E4">
        <w:rPr>
          <w:rFonts w:ascii="Times New Roman" w:hAnsi="Times New Roman" w:cs="Times New Roman"/>
          <w:spacing w:val="2"/>
          <w:sz w:val="24"/>
          <w:szCs w:val="24"/>
        </w:rPr>
        <w:t xml:space="preserve"> </w:t>
      </w:r>
      <w:r w:rsidRPr="004738E4">
        <w:rPr>
          <w:rFonts w:ascii="Times New Roman" w:hAnsi="Times New Roman" w:cs="Times New Roman"/>
          <w:sz w:val="24"/>
          <w:szCs w:val="24"/>
        </w:rPr>
        <w:t xml:space="preserve">and a slower clearance time than men </w:t>
      </w:r>
      <w:r w:rsidR="005941EE" w:rsidRPr="004738E4">
        <w:rPr>
          <w:rFonts w:ascii="Times New Roman" w:hAnsi="Times New Roman" w:cs="Times New Roman"/>
          <w:noProof/>
          <w:sz w:val="24"/>
          <w:szCs w:val="24"/>
        </w:rPr>
        <w:t>(81)</w:t>
      </w:r>
      <w:r w:rsidRPr="004738E4">
        <w:rPr>
          <w:rFonts w:ascii="Times New Roman" w:hAnsi="Times New Roman" w:cs="Times New Roman"/>
          <w:sz w:val="24"/>
          <w:szCs w:val="24"/>
        </w:rPr>
        <w:t xml:space="preserve">. Fixed i.v. doses produced greater drug exposure in women and an increased risk of fluoroquinolone toxicity. </w:t>
      </w:r>
      <w:r w:rsidR="00B73320" w:rsidRPr="004738E4">
        <w:rPr>
          <w:rFonts w:ascii="Times New Roman" w:hAnsi="Times New Roman" w:cs="Times New Roman"/>
          <w:sz w:val="24"/>
          <w:szCs w:val="24"/>
        </w:rPr>
        <w:t>D</w:t>
      </w:r>
      <w:r w:rsidRPr="004738E4">
        <w:rPr>
          <w:rFonts w:ascii="Times New Roman" w:hAnsi="Times New Roman" w:cs="Times New Roman"/>
          <w:sz w:val="24"/>
          <w:szCs w:val="24"/>
        </w:rPr>
        <w:t xml:space="preserve">osage adjustments based on sex should be considered on an individual basis </w:t>
      </w:r>
      <w:r w:rsidR="005941EE" w:rsidRPr="004738E4">
        <w:rPr>
          <w:rFonts w:ascii="Times New Roman" w:hAnsi="Times New Roman" w:cs="Times New Roman"/>
          <w:noProof/>
          <w:sz w:val="24"/>
          <w:szCs w:val="24"/>
        </w:rPr>
        <w:t>(81)</w:t>
      </w:r>
      <w:r w:rsidRPr="004738E4">
        <w:rPr>
          <w:rFonts w:ascii="Times New Roman" w:hAnsi="Times New Roman" w:cs="Times New Roman"/>
          <w:sz w:val="24"/>
          <w:szCs w:val="24"/>
        </w:rPr>
        <w:t>.</w:t>
      </w:r>
    </w:p>
    <w:p w14:paraId="0048B99B" w14:textId="71DFA35C" w:rsidR="009F2AA5" w:rsidRPr="004738E4" w:rsidRDefault="009F2AA5" w:rsidP="003406EE">
      <w:pPr>
        <w:spacing w:line="480" w:lineRule="auto"/>
        <w:ind w:firstLine="720"/>
        <w:contextualSpacing/>
        <w:jc w:val="both"/>
        <w:rPr>
          <w:rFonts w:ascii="Times New Roman" w:eastAsia="Times New Roman" w:hAnsi="Times New Roman" w:cs="Times New Roman"/>
          <w:sz w:val="24"/>
          <w:szCs w:val="24"/>
        </w:rPr>
      </w:pPr>
      <w:r w:rsidRPr="004738E4">
        <w:rPr>
          <w:rFonts w:ascii="Times New Roman" w:eastAsia="Times New Roman" w:hAnsi="Times New Roman" w:cs="Times New Roman"/>
          <w:sz w:val="24"/>
          <w:szCs w:val="24"/>
          <w:u w:val="single"/>
        </w:rPr>
        <w:t>Erythromycin</w:t>
      </w:r>
      <w:r w:rsidRPr="004738E4">
        <w:rPr>
          <w:rFonts w:ascii="Times New Roman" w:eastAsia="Times New Roman" w:hAnsi="Times New Roman" w:cs="Times New Roman"/>
          <w:sz w:val="24"/>
          <w:szCs w:val="24"/>
        </w:rPr>
        <w:t xml:space="preserve">. Women cleared erythromycin significantly more rapidly from the serum than did men </w:t>
      </w:r>
      <w:r w:rsidR="005941EE" w:rsidRPr="004738E4">
        <w:rPr>
          <w:rFonts w:ascii="Times New Roman" w:eastAsia="Times New Roman" w:hAnsi="Times New Roman" w:cs="Times New Roman"/>
          <w:noProof/>
          <w:sz w:val="24"/>
          <w:szCs w:val="24"/>
        </w:rPr>
        <w:t>(82)</w:t>
      </w:r>
      <w:r w:rsidRPr="004738E4">
        <w:rPr>
          <w:rFonts w:ascii="Times New Roman" w:eastAsia="Times New Roman" w:hAnsi="Times New Roman" w:cs="Times New Roman"/>
          <w:sz w:val="24"/>
          <w:szCs w:val="24"/>
        </w:rPr>
        <w:t xml:space="preserve">. Significantly more women than men develop TdP arrhythmias after treatment with erythromycin </w:t>
      </w:r>
      <w:r w:rsidR="005941EE" w:rsidRPr="004738E4">
        <w:rPr>
          <w:rFonts w:ascii="Times New Roman" w:eastAsia="Times New Roman" w:hAnsi="Times New Roman" w:cs="Times New Roman"/>
          <w:noProof/>
          <w:sz w:val="24"/>
          <w:szCs w:val="24"/>
        </w:rPr>
        <w:t>(83)</w:t>
      </w:r>
      <w:r w:rsidR="000E074C" w:rsidRPr="004738E4">
        <w:rPr>
          <w:rFonts w:ascii="Times New Roman" w:eastAsia="Times New Roman" w:hAnsi="Times New Roman" w:cs="Times New Roman"/>
          <w:sz w:val="24"/>
          <w:szCs w:val="24"/>
        </w:rPr>
        <w:t>.</w:t>
      </w:r>
    </w:p>
    <w:p w14:paraId="2A85906A" w14:textId="5790165F" w:rsidR="009F2AA5" w:rsidRPr="004738E4" w:rsidRDefault="009D6D2A" w:rsidP="003406EE">
      <w:pPr>
        <w:shd w:val="clear" w:color="auto" w:fill="FFFFFF"/>
        <w:spacing w:after="0" w:line="480" w:lineRule="auto"/>
        <w:contextualSpacing/>
        <w:jc w:val="both"/>
        <w:rPr>
          <w:rFonts w:ascii="Times New Roman" w:hAnsi="Times New Roman" w:cs="Times New Roman"/>
          <w:sz w:val="24"/>
          <w:szCs w:val="24"/>
          <w:shd w:val="clear" w:color="auto" w:fill="F9F9F9"/>
        </w:rPr>
      </w:pPr>
      <w:r w:rsidRPr="004738E4">
        <w:rPr>
          <w:rFonts w:ascii="Times New Roman" w:hAnsi="Times New Roman" w:cs="Times New Roman"/>
          <w:sz w:val="24"/>
          <w:szCs w:val="24"/>
        </w:rPr>
        <w:tab/>
      </w:r>
      <w:r w:rsidR="009F2AA5" w:rsidRPr="004738E4">
        <w:rPr>
          <w:rFonts w:ascii="Times New Roman" w:hAnsi="Times New Roman" w:cs="Times New Roman"/>
          <w:sz w:val="24"/>
          <w:szCs w:val="24"/>
          <w:u w:val="single"/>
        </w:rPr>
        <w:t>Voriconazole</w:t>
      </w:r>
      <w:r w:rsidR="009F2AA5" w:rsidRPr="004738E4">
        <w:rPr>
          <w:rFonts w:ascii="Times New Roman" w:hAnsi="Times New Roman" w:cs="Times New Roman"/>
          <w:sz w:val="24"/>
          <w:szCs w:val="24"/>
        </w:rPr>
        <w:t>. The NDA indicated that the C</w:t>
      </w:r>
      <w:r w:rsidR="009F2AA5" w:rsidRPr="004738E4">
        <w:rPr>
          <w:rFonts w:ascii="Times New Roman" w:hAnsi="Times New Roman" w:cs="Times New Roman"/>
          <w:sz w:val="24"/>
          <w:szCs w:val="24"/>
          <w:vertAlign w:val="subscript"/>
        </w:rPr>
        <w:t>max</w:t>
      </w:r>
      <w:r w:rsidR="009F2AA5" w:rsidRPr="004738E4">
        <w:rPr>
          <w:rFonts w:ascii="Times New Roman" w:hAnsi="Times New Roman" w:cs="Times New Roman"/>
          <w:sz w:val="24"/>
          <w:szCs w:val="24"/>
        </w:rPr>
        <w:t xml:space="preserve"> and AUC for young women were 83% and 113% higher, respectively, than in young men; these sex differences were no longer present in subjects &gt;65 years of age.</w:t>
      </w:r>
      <w:r w:rsidR="009F2AA5" w:rsidRPr="004738E4">
        <w:rPr>
          <w:rFonts w:ascii="Times New Roman" w:eastAsia="Times New Roman" w:hAnsi="Times New Roman" w:cs="Times New Roman"/>
          <w:bCs/>
          <w:sz w:val="24"/>
          <w:szCs w:val="24"/>
        </w:rPr>
        <w:t xml:space="preserve">  In the same document, oral dosing</w:t>
      </w:r>
      <w:r w:rsidR="009F2AA5" w:rsidRPr="004738E4">
        <w:rPr>
          <w:rFonts w:ascii="Times New Roman" w:hAnsi="Times New Roman" w:cs="Times New Roman"/>
          <w:sz w:val="24"/>
          <w:szCs w:val="24"/>
        </w:rPr>
        <w:t xml:space="preserve"> generated AUC values 45% higher in women than men, with comparable C</w:t>
      </w:r>
      <w:r w:rsidR="009F2AA5" w:rsidRPr="004738E4">
        <w:rPr>
          <w:rFonts w:ascii="Times New Roman" w:hAnsi="Times New Roman" w:cs="Times New Roman"/>
          <w:sz w:val="24"/>
          <w:szCs w:val="24"/>
          <w:vertAlign w:val="subscript"/>
        </w:rPr>
        <w:t>max</w:t>
      </w:r>
      <w:r w:rsidR="009F2AA5" w:rsidRPr="004738E4">
        <w:rPr>
          <w:rFonts w:ascii="Times New Roman" w:hAnsi="Times New Roman" w:cs="Times New Roman"/>
          <w:sz w:val="24"/>
          <w:szCs w:val="24"/>
        </w:rPr>
        <w:t>. Steady state trough concentrations (C</w:t>
      </w:r>
      <w:r w:rsidR="009F2AA5" w:rsidRPr="004738E4">
        <w:rPr>
          <w:rFonts w:ascii="Times New Roman" w:hAnsi="Times New Roman" w:cs="Times New Roman"/>
          <w:sz w:val="24"/>
          <w:szCs w:val="24"/>
          <w:vertAlign w:val="subscript"/>
        </w:rPr>
        <w:t>min</w:t>
      </w:r>
      <w:r w:rsidR="009F2AA5" w:rsidRPr="004738E4">
        <w:rPr>
          <w:rFonts w:ascii="Times New Roman" w:hAnsi="Times New Roman" w:cs="Times New Roman"/>
          <w:sz w:val="24"/>
          <w:szCs w:val="24"/>
        </w:rPr>
        <w:t>) were 100% and 91%</w:t>
      </w:r>
      <w:r w:rsidR="00590BC3" w:rsidRPr="004738E4">
        <w:rPr>
          <w:rFonts w:ascii="Times New Roman" w:hAnsi="Times New Roman" w:cs="Times New Roman"/>
          <w:sz w:val="24"/>
          <w:szCs w:val="24"/>
        </w:rPr>
        <w:t xml:space="preserve"> </w:t>
      </w:r>
      <w:r w:rsidR="009F2AA5" w:rsidRPr="004738E4">
        <w:rPr>
          <w:rFonts w:ascii="Times New Roman" w:hAnsi="Times New Roman" w:cs="Times New Roman"/>
          <w:sz w:val="24"/>
          <w:szCs w:val="24"/>
        </w:rPr>
        <w:t xml:space="preserve">higher in women treated with tablet and oral suspension, respectively. Nevertheless, no indications were included on the approved drug label to suggest that dosage adjustments based on </w:t>
      </w:r>
      <w:r w:rsidR="008C3029" w:rsidRPr="004738E4">
        <w:rPr>
          <w:rFonts w:ascii="Times New Roman" w:hAnsi="Times New Roman" w:cs="Times New Roman"/>
          <w:sz w:val="24"/>
          <w:szCs w:val="24"/>
        </w:rPr>
        <w:t>sex</w:t>
      </w:r>
      <w:r w:rsidR="009F2AA5" w:rsidRPr="004738E4">
        <w:rPr>
          <w:rFonts w:ascii="Times New Roman" w:hAnsi="Times New Roman" w:cs="Times New Roman"/>
          <w:sz w:val="24"/>
          <w:szCs w:val="24"/>
        </w:rPr>
        <w:t xml:space="preserve"> should be considered </w:t>
      </w:r>
      <w:r w:rsidR="009F2AA5" w:rsidRPr="004738E4">
        <w:rPr>
          <w:rFonts w:ascii="Times New Roman" w:eastAsia="Times New Roman" w:hAnsi="Times New Roman" w:cs="Times New Roman"/>
          <w:bCs/>
          <w:sz w:val="24"/>
          <w:szCs w:val="24"/>
        </w:rPr>
        <w:t>(</w:t>
      </w:r>
      <w:r w:rsidR="009F2AA5" w:rsidRPr="004738E4">
        <w:rPr>
          <w:rFonts w:ascii="Times New Roman" w:hAnsi="Times New Roman" w:cs="Times New Roman"/>
          <w:sz w:val="24"/>
          <w:szCs w:val="24"/>
          <w:shd w:val="clear" w:color="auto" w:fill="F9F9F9"/>
        </w:rPr>
        <w:t>NDA 021266). Females on voriconazole exhibited a greater increase in cardiac QTc symptoms than males.</w:t>
      </w:r>
    </w:p>
    <w:p w14:paraId="76B32B72" w14:textId="77777777" w:rsidR="001D40E5" w:rsidRPr="004738E4" w:rsidRDefault="001D40E5" w:rsidP="003406EE">
      <w:pPr>
        <w:shd w:val="clear" w:color="auto" w:fill="FFFFFF"/>
        <w:tabs>
          <w:tab w:val="left" w:pos="5264"/>
        </w:tabs>
        <w:spacing w:after="0" w:line="480" w:lineRule="auto"/>
        <w:contextualSpacing/>
        <w:jc w:val="both"/>
        <w:rPr>
          <w:rFonts w:ascii="Times New Roman" w:hAnsi="Times New Roman" w:cs="Times New Roman"/>
          <w:sz w:val="24"/>
          <w:szCs w:val="24"/>
        </w:rPr>
      </w:pPr>
    </w:p>
    <w:p w14:paraId="0C9D7A8A" w14:textId="1E59B7CE"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L: Antineoplastic</w:t>
      </w:r>
      <w:r w:rsidR="009D6D2A" w:rsidRPr="004738E4">
        <w:rPr>
          <w:rFonts w:ascii="Times New Roman" w:hAnsi="Times New Roman" w:cs="Times New Roman"/>
          <w:i/>
          <w:sz w:val="24"/>
          <w:szCs w:val="24"/>
        </w:rPr>
        <w:t>s</w:t>
      </w:r>
      <w:r w:rsidRPr="004738E4">
        <w:rPr>
          <w:rFonts w:ascii="Times New Roman" w:hAnsi="Times New Roman" w:cs="Times New Roman"/>
          <w:i/>
          <w:sz w:val="24"/>
          <w:szCs w:val="24"/>
        </w:rPr>
        <w:t xml:space="preserve"> and immunomodulating agents</w:t>
      </w:r>
    </w:p>
    <w:p w14:paraId="142D40F9" w14:textId="6B0F3CC4" w:rsidR="009F2AA5" w:rsidRPr="004738E4" w:rsidRDefault="009F2AA5"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C</w:t>
      </w:r>
      <w:r w:rsidR="004A3439" w:rsidRPr="004738E4">
        <w:rPr>
          <w:rFonts w:ascii="Times New Roman" w:hAnsi="Times New Roman" w:cs="Times New Roman"/>
          <w:sz w:val="24"/>
          <w:szCs w:val="24"/>
          <w:u w:val="single"/>
        </w:rPr>
        <w:t>y</w:t>
      </w:r>
      <w:r w:rsidRPr="004738E4">
        <w:rPr>
          <w:rFonts w:ascii="Times New Roman" w:hAnsi="Times New Roman" w:cs="Times New Roman"/>
          <w:sz w:val="24"/>
          <w:szCs w:val="24"/>
          <w:u w:val="single"/>
        </w:rPr>
        <w:t>closporine</w:t>
      </w:r>
      <w:r w:rsidR="004A3439" w:rsidRPr="004738E4">
        <w:rPr>
          <w:rFonts w:ascii="Times New Roman" w:hAnsi="Times New Roman" w:cs="Times New Roman"/>
          <w:sz w:val="24"/>
          <w:szCs w:val="24"/>
          <w:u w:val="single"/>
        </w:rPr>
        <w:t>.</w:t>
      </w:r>
      <w:r w:rsidRPr="004738E4">
        <w:rPr>
          <w:rFonts w:ascii="Times New Roman" w:hAnsi="Times New Roman" w:cs="Times New Roman"/>
          <w:sz w:val="24"/>
          <w:szCs w:val="24"/>
        </w:rPr>
        <w:t xml:space="preserve"> Multiple studies document that women clear c</w:t>
      </w:r>
      <w:r w:rsidR="004A3439" w:rsidRPr="004738E4">
        <w:rPr>
          <w:rFonts w:ascii="Times New Roman" w:hAnsi="Times New Roman" w:cs="Times New Roman"/>
          <w:sz w:val="24"/>
          <w:szCs w:val="24"/>
        </w:rPr>
        <w:t>y</w:t>
      </w:r>
      <w:r w:rsidRPr="004738E4">
        <w:rPr>
          <w:rFonts w:ascii="Times New Roman" w:hAnsi="Times New Roman" w:cs="Times New Roman"/>
          <w:sz w:val="24"/>
          <w:szCs w:val="24"/>
        </w:rPr>
        <w:t xml:space="preserve">closporine 30–88% faster than men (reviewed in </w:t>
      </w:r>
      <w:r w:rsidR="005941EE" w:rsidRPr="004738E4">
        <w:rPr>
          <w:rFonts w:ascii="Times New Roman" w:hAnsi="Times New Roman" w:cs="Times New Roman"/>
          <w:noProof/>
          <w:sz w:val="24"/>
          <w:szCs w:val="24"/>
        </w:rPr>
        <w:t>(52)</w:t>
      </w:r>
      <w:r w:rsidRPr="004738E4">
        <w:rPr>
          <w:rFonts w:ascii="Times New Roman" w:hAnsi="Times New Roman" w:cs="Times New Roman"/>
          <w:sz w:val="24"/>
          <w:szCs w:val="24"/>
        </w:rPr>
        <w:t xml:space="preserve">). In psoriasis patients, the incidence of adverse events was 37% higher in fertile women and 18% higher in postmenopausal women than in age-matched men, but differences were not statistically significant </w:t>
      </w:r>
      <w:r w:rsidR="005941EE" w:rsidRPr="004738E4">
        <w:rPr>
          <w:rFonts w:ascii="Times New Roman" w:hAnsi="Times New Roman" w:cs="Times New Roman"/>
          <w:noProof/>
          <w:sz w:val="24"/>
          <w:szCs w:val="24"/>
        </w:rPr>
        <w:t>(84)</w:t>
      </w:r>
      <w:r w:rsidRPr="004738E4">
        <w:rPr>
          <w:rFonts w:ascii="Times New Roman" w:hAnsi="Times New Roman" w:cs="Times New Roman"/>
          <w:sz w:val="24"/>
          <w:szCs w:val="24"/>
        </w:rPr>
        <w:t>.</w:t>
      </w:r>
      <w:r w:rsidR="00F40AF5" w:rsidRPr="004738E4">
        <w:rPr>
          <w:rFonts w:ascii="Times New Roman" w:hAnsi="Times New Roman" w:cs="Times New Roman"/>
          <w:sz w:val="24"/>
          <w:szCs w:val="24"/>
        </w:rPr>
        <w:t xml:space="preserve"> </w:t>
      </w:r>
    </w:p>
    <w:p w14:paraId="1A554E5E" w14:textId="087487FD" w:rsidR="00BA517B" w:rsidRPr="004738E4" w:rsidRDefault="00BA517B" w:rsidP="003406EE">
      <w:pPr>
        <w:spacing w:after="0" w:line="480" w:lineRule="auto"/>
        <w:ind w:firstLine="720"/>
        <w:contextualSpacing/>
        <w:jc w:val="both"/>
        <w:rPr>
          <w:rFonts w:ascii="Times New Roman" w:hAnsi="Times New Roman" w:cs="Times New Roman"/>
          <w:sz w:val="24"/>
          <w:szCs w:val="24"/>
        </w:rPr>
      </w:pPr>
      <w:r w:rsidRPr="004738E4">
        <w:rPr>
          <w:rFonts w:ascii="Times New Roman" w:eastAsia="Times New Roman" w:hAnsi="Times New Roman" w:cs="Times New Roman"/>
          <w:bCs/>
          <w:kern w:val="36"/>
          <w:sz w:val="24"/>
          <w:szCs w:val="24"/>
          <w:u w:val="single"/>
        </w:rPr>
        <w:t>Fluorouracil</w:t>
      </w:r>
      <w:r w:rsidRPr="004738E4">
        <w:rPr>
          <w:rFonts w:ascii="Times New Roman" w:eastAsia="Times New Roman" w:hAnsi="Times New Roman" w:cs="Times New Roman"/>
          <w:bCs/>
          <w:kern w:val="36"/>
          <w:sz w:val="24"/>
          <w:szCs w:val="24"/>
        </w:rPr>
        <w:t xml:space="preserve">. </w:t>
      </w:r>
      <w:r w:rsidRPr="004738E4">
        <w:rPr>
          <w:rFonts w:ascii="Times New Roman" w:hAnsi="Times New Roman" w:cs="Times New Roman"/>
          <w:sz w:val="24"/>
          <w:szCs w:val="24"/>
        </w:rPr>
        <w:t xml:space="preserve">Men had a 26% higher elimination of 5-fluorouracil and women had a significantly higher AUC than men </w:t>
      </w:r>
      <w:r w:rsidR="005941EE" w:rsidRPr="004738E4">
        <w:rPr>
          <w:rFonts w:ascii="Times New Roman" w:hAnsi="Times New Roman" w:cs="Times New Roman"/>
          <w:noProof/>
          <w:sz w:val="24"/>
          <w:szCs w:val="24"/>
        </w:rPr>
        <w:t>(85)</w:t>
      </w:r>
      <w:r w:rsidRPr="004738E4">
        <w:rPr>
          <w:rFonts w:ascii="Times New Roman" w:hAnsi="Times New Roman" w:cs="Times New Roman"/>
          <w:sz w:val="24"/>
          <w:szCs w:val="24"/>
        </w:rPr>
        <w:t xml:space="preserve">. </w:t>
      </w:r>
      <w:r w:rsidRPr="004738E4">
        <w:rPr>
          <w:rFonts w:ascii="Times New Roman" w:eastAsia="Times New Roman" w:hAnsi="Times New Roman" w:cs="Times New Roman"/>
          <w:bCs/>
          <w:kern w:val="36"/>
          <w:sz w:val="24"/>
          <w:szCs w:val="24"/>
        </w:rPr>
        <w:t xml:space="preserve">Women experience significantly greater and more </w:t>
      </w:r>
      <w:r w:rsidRPr="004738E4">
        <w:rPr>
          <w:rFonts w:ascii="Times New Roman" w:eastAsia="Times New Roman" w:hAnsi="Times New Roman" w:cs="Times New Roman"/>
          <w:bCs/>
          <w:kern w:val="36"/>
          <w:sz w:val="24"/>
          <w:szCs w:val="24"/>
        </w:rPr>
        <w:lastRenderedPageBreak/>
        <w:t>frequent and more extensive toxicity (</w:t>
      </w:r>
      <w:r w:rsidRPr="004738E4">
        <w:rPr>
          <w:rFonts w:ascii="Times New Roman" w:hAnsi="Times New Roman" w:cs="Times New Roman"/>
          <w:sz w:val="24"/>
          <w:szCs w:val="24"/>
        </w:rPr>
        <w:t xml:space="preserve">stomatitis, leukopenia, alopecia, diarrhea) </w:t>
      </w:r>
      <w:r w:rsidRPr="004738E4">
        <w:rPr>
          <w:rFonts w:ascii="Times New Roman" w:eastAsia="Times New Roman" w:hAnsi="Times New Roman" w:cs="Times New Roman"/>
          <w:bCs/>
          <w:kern w:val="36"/>
          <w:sz w:val="24"/>
          <w:szCs w:val="24"/>
        </w:rPr>
        <w:t xml:space="preserve">with fluorouracil-based chemotherapy </w:t>
      </w:r>
      <w:r w:rsidR="005941EE" w:rsidRPr="004738E4">
        <w:rPr>
          <w:rFonts w:ascii="Times New Roman" w:eastAsia="Times New Roman" w:hAnsi="Times New Roman" w:cs="Times New Roman"/>
          <w:bCs/>
          <w:noProof/>
          <w:kern w:val="36"/>
          <w:sz w:val="24"/>
          <w:szCs w:val="24"/>
        </w:rPr>
        <w:t>(86,87)</w:t>
      </w:r>
      <w:r w:rsidRPr="004738E4">
        <w:rPr>
          <w:rFonts w:ascii="Times New Roman" w:eastAsia="Times New Roman" w:hAnsi="Times New Roman" w:cs="Times New Roman"/>
          <w:b/>
          <w:bCs/>
          <w:kern w:val="36"/>
          <w:sz w:val="24"/>
          <w:szCs w:val="24"/>
        </w:rPr>
        <w:t>.</w:t>
      </w:r>
      <w:r w:rsidRPr="004738E4">
        <w:rPr>
          <w:rFonts w:ascii="Times New Roman" w:hAnsi="Times New Roman" w:cs="Times New Roman"/>
          <w:sz w:val="24"/>
          <w:szCs w:val="24"/>
        </w:rPr>
        <w:t xml:space="preserve"> Women also experienced more frequent moderate to severe mucositis than men </w:t>
      </w:r>
      <w:r w:rsidR="005941EE" w:rsidRPr="004738E4">
        <w:rPr>
          <w:rFonts w:ascii="Times New Roman" w:hAnsi="Times New Roman" w:cs="Times New Roman"/>
          <w:noProof/>
          <w:sz w:val="24"/>
          <w:szCs w:val="24"/>
        </w:rPr>
        <w:t>(88)</w:t>
      </w:r>
      <w:r w:rsidRPr="004738E4">
        <w:rPr>
          <w:rFonts w:ascii="Times New Roman" w:hAnsi="Times New Roman" w:cs="Times New Roman"/>
          <w:sz w:val="24"/>
          <w:szCs w:val="24"/>
        </w:rPr>
        <w:t xml:space="preserve">. </w:t>
      </w:r>
    </w:p>
    <w:p w14:paraId="7823255F" w14:textId="558783B7" w:rsidR="00BA517B" w:rsidRPr="004738E4" w:rsidRDefault="00BA517B" w:rsidP="003406EE">
      <w:pPr>
        <w:spacing w:after="0" w:line="480" w:lineRule="auto"/>
        <w:ind w:firstLine="720"/>
        <w:contextualSpacing/>
        <w:jc w:val="both"/>
        <w:rPr>
          <w:rFonts w:ascii="Times New Roman" w:eastAsia="Times New Roman" w:hAnsi="Times New Roman" w:cs="Times New Roman"/>
          <w:bCs/>
          <w:kern w:val="36"/>
          <w:sz w:val="24"/>
          <w:szCs w:val="24"/>
        </w:rPr>
      </w:pPr>
      <w:r w:rsidRPr="004738E4">
        <w:rPr>
          <w:rFonts w:ascii="Times New Roman" w:eastAsia="Times New Roman" w:hAnsi="Times New Roman" w:cs="Times New Roman"/>
          <w:bCs/>
          <w:kern w:val="36"/>
          <w:sz w:val="24"/>
          <w:szCs w:val="24"/>
          <w:u w:val="single"/>
        </w:rPr>
        <w:t>Paclitaxel</w:t>
      </w:r>
      <w:r w:rsidRPr="004738E4">
        <w:rPr>
          <w:rFonts w:ascii="Times New Roman" w:eastAsia="Times New Roman" w:hAnsi="Times New Roman" w:cs="Times New Roman"/>
          <w:bCs/>
          <w:kern w:val="36"/>
          <w:sz w:val="24"/>
          <w:szCs w:val="24"/>
        </w:rPr>
        <w:t>.</w:t>
      </w:r>
      <w:r w:rsidRPr="004738E4">
        <w:rPr>
          <w:rFonts w:ascii="Times New Roman" w:hAnsi="Times New Roman" w:cs="Times New Roman"/>
          <w:sz w:val="24"/>
          <w:szCs w:val="24"/>
        </w:rPr>
        <w:t xml:space="preserve"> Elimination was 20% higher in men than women with solid tumours </w:t>
      </w:r>
      <w:r w:rsidR="005941EE" w:rsidRPr="004738E4">
        <w:rPr>
          <w:rFonts w:ascii="Times New Roman" w:hAnsi="Times New Roman" w:cs="Times New Roman"/>
          <w:noProof/>
          <w:sz w:val="24"/>
          <w:szCs w:val="24"/>
        </w:rPr>
        <w:t>(89)</w:t>
      </w:r>
      <w:r w:rsidRPr="004738E4">
        <w:rPr>
          <w:rFonts w:ascii="Times New Roman" w:hAnsi="Times New Roman" w:cs="Times New Roman"/>
          <w:sz w:val="24"/>
          <w:szCs w:val="24"/>
        </w:rPr>
        <w:t>.</w:t>
      </w:r>
      <w:r w:rsidRPr="004738E4">
        <w:rPr>
          <w:rFonts w:ascii="Times New Roman" w:eastAsia="Times New Roman" w:hAnsi="Times New Roman" w:cs="Times New Roman"/>
          <w:bCs/>
          <w:kern w:val="36"/>
          <w:sz w:val="24"/>
          <w:szCs w:val="24"/>
        </w:rPr>
        <w:t xml:space="preserve"> In women treated with paclitaxel-eluting stents myocardial infarction was slightly worse as compared with their male counterparts </w:t>
      </w:r>
      <w:r w:rsidR="005941EE" w:rsidRPr="004738E4">
        <w:rPr>
          <w:rFonts w:ascii="Times New Roman" w:eastAsia="Times New Roman" w:hAnsi="Times New Roman" w:cs="Times New Roman"/>
          <w:bCs/>
          <w:noProof/>
          <w:kern w:val="36"/>
          <w:sz w:val="24"/>
          <w:szCs w:val="24"/>
        </w:rPr>
        <w:t>(90)</w:t>
      </w:r>
      <w:r w:rsidRPr="004738E4">
        <w:rPr>
          <w:rFonts w:ascii="Times New Roman" w:eastAsia="Times New Roman" w:hAnsi="Times New Roman" w:cs="Times New Roman"/>
          <w:bCs/>
          <w:kern w:val="36"/>
          <w:sz w:val="24"/>
          <w:szCs w:val="24"/>
        </w:rPr>
        <w:t xml:space="preserve">.  In expanded-use patients, women had signiﬁcantly higher death rates and total lesion revascularization </w:t>
      </w:r>
      <w:r w:rsidR="005941EE" w:rsidRPr="004738E4">
        <w:rPr>
          <w:rFonts w:ascii="Times New Roman" w:eastAsia="Times New Roman" w:hAnsi="Times New Roman" w:cs="Times New Roman"/>
          <w:bCs/>
          <w:noProof/>
          <w:kern w:val="36"/>
          <w:sz w:val="24"/>
          <w:szCs w:val="24"/>
        </w:rPr>
        <w:t>(91)</w:t>
      </w:r>
      <w:r w:rsidRPr="004738E4">
        <w:rPr>
          <w:rFonts w:ascii="Times New Roman" w:eastAsia="Times New Roman" w:hAnsi="Times New Roman" w:cs="Times New Roman"/>
          <w:bCs/>
          <w:kern w:val="36"/>
          <w:sz w:val="24"/>
          <w:szCs w:val="24"/>
        </w:rPr>
        <w:t xml:space="preserve">. </w:t>
      </w:r>
    </w:p>
    <w:p w14:paraId="47126884" w14:textId="73B11058" w:rsidR="00BA517B" w:rsidRPr="004738E4" w:rsidRDefault="00BA517B" w:rsidP="003406EE">
      <w:pPr>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Capecitabine</w:t>
      </w:r>
      <w:r w:rsidRPr="004738E4">
        <w:rPr>
          <w:rFonts w:ascii="Times New Roman" w:hAnsi="Times New Roman" w:cs="Times New Roman"/>
          <w:sz w:val="24"/>
          <w:szCs w:val="24"/>
        </w:rPr>
        <w:t xml:space="preserve">. The AUC of the capecitabine metabolite FBAL was 37% greater in women </w:t>
      </w:r>
      <w:r w:rsidR="005941EE" w:rsidRPr="004738E4">
        <w:rPr>
          <w:rFonts w:ascii="Times New Roman" w:hAnsi="Times New Roman" w:cs="Times New Roman"/>
          <w:noProof/>
          <w:sz w:val="24"/>
          <w:szCs w:val="24"/>
        </w:rPr>
        <w:t>(92)</w:t>
      </w:r>
      <w:r w:rsidRPr="004738E4">
        <w:rPr>
          <w:rFonts w:ascii="Times New Roman" w:hAnsi="Times New Roman" w:cs="Times New Roman"/>
          <w:sz w:val="24"/>
          <w:szCs w:val="24"/>
        </w:rPr>
        <w:t xml:space="preserve">. The AUC of capecitabine was 87% greater in females than males. Women had a significantly higher dose-limiting toxicity incidence than men (68 vs. 52%; </w:t>
      </w:r>
      <w:r w:rsidR="005941EE" w:rsidRPr="004738E4">
        <w:rPr>
          <w:rFonts w:ascii="Times New Roman" w:hAnsi="Times New Roman" w:cs="Times New Roman"/>
          <w:noProof/>
          <w:sz w:val="24"/>
          <w:szCs w:val="24"/>
        </w:rPr>
        <w:t>(93)</w:t>
      </w:r>
      <w:r w:rsidRPr="004738E4">
        <w:rPr>
          <w:rFonts w:ascii="Times New Roman" w:hAnsi="Times New Roman" w:cs="Times New Roman"/>
          <w:sz w:val="24"/>
          <w:szCs w:val="24"/>
        </w:rPr>
        <w:t xml:space="preserve">). </w:t>
      </w:r>
    </w:p>
    <w:p w14:paraId="7AABB6C7" w14:textId="2A712891" w:rsidR="00BA517B" w:rsidRPr="004738E4" w:rsidRDefault="00BA517B" w:rsidP="003406EE">
      <w:pPr>
        <w:spacing w:after="0" w:line="480" w:lineRule="auto"/>
        <w:ind w:firstLine="720"/>
        <w:contextualSpacing/>
        <w:jc w:val="both"/>
        <w:rPr>
          <w:rFonts w:ascii="Times New Roman" w:eastAsia="Times New Roman" w:hAnsi="Times New Roman" w:cs="Times New Roman"/>
          <w:bCs/>
          <w:kern w:val="36"/>
          <w:sz w:val="24"/>
          <w:szCs w:val="24"/>
        </w:rPr>
      </w:pPr>
      <w:r w:rsidRPr="004738E4">
        <w:rPr>
          <w:rFonts w:ascii="Times New Roman" w:eastAsia="Times New Roman" w:hAnsi="Times New Roman" w:cs="Times New Roman"/>
          <w:bCs/>
          <w:kern w:val="36"/>
          <w:sz w:val="24"/>
          <w:szCs w:val="24"/>
          <w:u w:val="single"/>
        </w:rPr>
        <w:t xml:space="preserve">Infliximab and </w:t>
      </w:r>
      <w:r w:rsidRPr="004738E4">
        <w:rPr>
          <w:rFonts w:ascii="Times New Roman" w:eastAsia="Times New Roman" w:hAnsi="Times New Roman" w:cs="Times New Roman"/>
          <w:sz w:val="24"/>
          <w:szCs w:val="24"/>
          <w:u w:val="single"/>
        </w:rPr>
        <w:t>adalimumab</w:t>
      </w:r>
      <w:r w:rsidRPr="004738E4">
        <w:rPr>
          <w:rFonts w:ascii="Times New Roman" w:eastAsia="Times New Roman" w:hAnsi="Times New Roman" w:cs="Times New Roman"/>
          <w:bCs/>
          <w:kern w:val="36"/>
          <w:sz w:val="24"/>
          <w:szCs w:val="24"/>
        </w:rPr>
        <w:t xml:space="preserve">. </w:t>
      </w:r>
      <w:r w:rsidRPr="004738E4">
        <w:rPr>
          <w:rFonts w:ascii="Times New Roman" w:eastAsia="Times New Roman" w:hAnsi="Times New Roman" w:cs="Times New Roman"/>
          <w:sz w:val="24"/>
          <w:szCs w:val="24"/>
        </w:rPr>
        <w:t xml:space="preserve">Clearance of infliximab was about 33% lower in women than men </w:t>
      </w:r>
      <w:r w:rsidR="005941EE" w:rsidRPr="004738E4">
        <w:rPr>
          <w:rFonts w:ascii="Times New Roman" w:eastAsia="Times New Roman" w:hAnsi="Times New Roman" w:cs="Times New Roman"/>
          <w:noProof/>
          <w:sz w:val="24"/>
          <w:szCs w:val="24"/>
        </w:rPr>
        <w:t>(94)</w:t>
      </w:r>
      <w:r w:rsidRPr="004738E4">
        <w:rPr>
          <w:rFonts w:ascii="Times New Roman" w:eastAsia="Times New Roman" w:hAnsi="Times New Roman" w:cs="Times New Roman"/>
          <w:sz w:val="24"/>
          <w:szCs w:val="24"/>
        </w:rPr>
        <w:t xml:space="preserve">. The mean clearance across all doses of adalimumab was significantly lower in women than men. The 30% difference appeared to be due mainly to 23% differences in body weight </w:t>
      </w:r>
      <w:r w:rsidR="005941EE" w:rsidRPr="004738E4">
        <w:rPr>
          <w:rFonts w:ascii="Times New Roman" w:eastAsia="Times New Roman" w:hAnsi="Times New Roman" w:cs="Times New Roman"/>
          <w:noProof/>
          <w:sz w:val="24"/>
          <w:szCs w:val="24"/>
        </w:rPr>
        <w:t>(95)</w:t>
      </w:r>
      <w:r w:rsidRPr="004738E4">
        <w:rPr>
          <w:rFonts w:ascii="Times New Roman" w:eastAsia="Times New Roman" w:hAnsi="Times New Roman" w:cs="Times New Roman"/>
          <w:sz w:val="24"/>
          <w:szCs w:val="24"/>
        </w:rPr>
        <w:t xml:space="preserve">. During treatment with anti-TNF antibodies women were more at risk for allergic reactions and subsequent discontinuation of the treatment than men </w:t>
      </w:r>
      <w:r w:rsidR="005941EE" w:rsidRPr="004738E4">
        <w:rPr>
          <w:rFonts w:ascii="Times New Roman" w:eastAsia="Times New Roman" w:hAnsi="Times New Roman" w:cs="Times New Roman"/>
          <w:noProof/>
          <w:sz w:val="24"/>
          <w:szCs w:val="24"/>
        </w:rPr>
        <w:t>(96)</w:t>
      </w:r>
      <w:r w:rsidRPr="004738E4">
        <w:rPr>
          <w:rFonts w:ascii="Times New Roman" w:eastAsia="Times New Roman" w:hAnsi="Times New Roman" w:cs="Times New Roman"/>
          <w:sz w:val="24"/>
          <w:szCs w:val="24"/>
        </w:rPr>
        <w:t xml:space="preserve">; specifically, the most frequent adverse reactions to infliximab and adalimumab were allergic responses (15% of all infliximab users and 7% of all patients treated with adalimumab) and for both agents a significantly higher rate of allergic reactions occurred in women </w:t>
      </w:r>
      <w:r w:rsidR="005941EE" w:rsidRPr="004738E4">
        <w:rPr>
          <w:rFonts w:ascii="Times New Roman" w:eastAsia="Times New Roman" w:hAnsi="Times New Roman" w:cs="Times New Roman"/>
          <w:noProof/>
          <w:sz w:val="24"/>
          <w:szCs w:val="24"/>
        </w:rPr>
        <w:t>(96)</w:t>
      </w:r>
      <w:r w:rsidRPr="004738E4">
        <w:rPr>
          <w:rFonts w:ascii="Times New Roman" w:eastAsia="Times New Roman" w:hAnsi="Times New Roman" w:cs="Times New Roman"/>
          <w:sz w:val="24"/>
          <w:szCs w:val="24"/>
        </w:rPr>
        <w:t xml:space="preserve">. </w:t>
      </w:r>
    </w:p>
    <w:p w14:paraId="60C0D0AD" w14:textId="77777777" w:rsidR="000649DD" w:rsidRPr="004738E4" w:rsidRDefault="000649DD" w:rsidP="003406EE">
      <w:pPr>
        <w:shd w:val="clear" w:color="auto" w:fill="FFFFFF"/>
        <w:spacing w:after="0" w:line="480" w:lineRule="auto"/>
        <w:contextualSpacing/>
        <w:jc w:val="both"/>
        <w:rPr>
          <w:rFonts w:ascii="Times New Roman" w:hAnsi="Times New Roman" w:cs="Times New Roman"/>
          <w:i/>
          <w:sz w:val="24"/>
          <w:szCs w:val="24"/>
        </w:rPr>
      </w:pPr>
    </w:p>
    <w:p w14:paraId="7CAC1E7D" w14:textId="0FB6731A"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M: Musculo-skeletal system</w:t>
      </w:r>
    </w:p>
    <w:p w14:paraId="53D73B3D" w14:textId="42C58406" w:rsidR="00BA517B" w:rsidRPr="004738E4" w:rsidRDefault="00BA517B"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Ibuprofen</w:t>
      </w:r>
      <w:r w:rsidRPr="004738E4">
        <w:rPr>
          <w:rFonts w:ascii="Times New Roman" w:hAnsi="Times New Roman" w:cs="Times New Roman"/>
          <w:sz w:val="24"/>
          <w:szCs w:val="24"/>
        </w:rPr>
        <w:t xml:space="preserve">. </w:t>
      </w:r>
      <w:r w:rsidR="008C3029" w:rsidRPr="004738E4">
        <w:rPr>
          <w:rFonts w:ascii="Times New Roman" w:hAnsi="Times New Roman" w:cs="Times New Roman"/>
          <w:sz w:val="24"/>
          <w:szCs w:val="24"/>
        </w:rPr>
        <w:t>Sex</w:t>
      </w:r>
      <w:r w:rsidRPr="004738E4">
        <w:rPr>
          <w:rFonts w:ascii="Times New Roman" w:hAnsi="Times New Roman" w:cs="Times New Roman"/>
          <w:sz w:val="24"/>
          <w:szCs w:val="24"/>
        </w:rPr>
        <w:t xml:space="preserve"> differences were observed in weight-adjusted pharmacokinetic parameters of both </w:t>
      </w:r>
      <w:r w:rsidRPr="004738E4">
        <w:rPr>
          <w:rFonts w:ascii="Times New Roman" w:hAnsi="Times New Roman" w:cs="Times New Roman"/>
          <w:i/>
          <w:iCs/>
          <w:sz w:val="24"/>
          <w:szCs w:val="24"/>
        </w:rPr>
        <w:t>R</w:t>
      </w:r>
      <w:r w:rsidRPr="004738E4">
        <w:rPr>
          <w:rFonts w:ascii="Times New Roman" w:hAnsi="Times New Roman" w:cs="Times New Roman"/>
          <w:sz w:val="24"/>
          <w:szCs w:val="24"/>
        </w:rPr>
        <w:t xml:space="preserve">- and </w:t>
      </w:r>
      <w:r w:rsidRPr="004738E4">
        <w:rPr>
          <w:rFonts w:ascii="Times New Roman" w:hAnsi="Times New Roman" w:cs="Times New Roman"/>
          <w:i/>
          <w:iCs/>
          <w:sz w:val="24"/>
          <w:szCs w:val="24"/>
        </w:rPr>
        <w:t>S-</w:t>
      </w:r>
      <w:r w:rsidRPr="004738E4">
        <w:rPr>
          <w:rFonts w:ascii="Times New Roman" w:hAnsi="Times New Roman" w:cs="Times New Roman"/>
          <w:sz w:val="24"/>
          <w:szCs w:val="24"/>
        </w:rPr>
        <w:t xml:space="preserve">ibuprofen. Women had a significantly lower </w:t>
      </w:r>
      <w:r w:rsidRPr="004738E4">
        <w:rPr>
          <w:rFonts w:ascii="Times New Roman" w:hAnsi="Times New Roman" w:cs="Times New Roman"/>
          <w:i/>
          <w:iCs/>
          <w:sz w:val="24"/>
          <w:szCs w:val="24"/>
        </w:rPr>
        <w:t>R</w:t>
      </w:r>
      <w:r w:rsidRPr="004738E4">
        <w:rPr>
          <w:rFonts w:ascii="Times New Roman" w:hAnsi="Times New Roman" w:cs="Times New Roman"/>
          <w:sz w:val="24"/>
          <w:szCs w:val="24"/>
        </w:rPr>
        <w:t>-ibuprofen C</w:t>
      </w:r>
      <w:r w:rsidRPr="004738E4">
        <w:rPr>
          <w:rFonts w:ascii="Times New Roman" w:hAnsi="Times New Roman" w:cs="Times New Roman"/>
          <w:position w:val="-7"/>
          <w:sz w:val="24"/>
          <w:szCs w:val="24"/>
          <w:vertAlign w:val="subscript"/>
        </w:rPr>
        <w:t>max</w:t>
      </w:r>
      <w:r w:rsidRPr="004738E4">
        <w:rPr>
          <w:rFonts w:ascii="Times New Roman" w:hAnsi="Times New Roman" w:cs="Times New Roman"/>
          <w:position w:val="-7"/>
          <w:sz w:val="24"/>
          <w:szCs w:val="24"/>
        </w:rPr>
        <w:t xml:space="preserve"> </w:t>
      </w:r>
      <w:r w:rsidRPr="004738E4">
        <w:rPr>
          <w:rFonts w:ascii="Times New Roman" w:hAnsi="Times New Roman" w:cs="Times New Roman"/>
          <w:sz w:val="24"/>
          <w:szCs w:val="24"/>
        </w:rPr>
        <w:t xml:space="preserve">and </w:t>
      </w:r>
      <w:r w:rsidR="00B967DD" w:rsidRPr="004738E4">
        <w:rPr>
          <w:rFonts w:ascii="Times New Roman" w:hAnsi="Times New Roman" w:cs="Times New Roman"/>
          <w:i/>
          <w:sz w:val="24"/>
          <w:szCs w:val="24"/>
        </w:rPr>
        <w:t>t</w:t>
      </w:r>
      <w:r w:rsidR="00B967DD" w:rsidRPr="004738E4">
        <w:rPr>
          <w:rFonts w:ascii="Times New Roman" w:hAnsi="Times New Roman" w:cs="Times New Roman"/>
          <w:sz w:val="24"/>
          <w:szCs w:val="24"/>
          <w:vertAlign w:val="subscript"/>
        </w:rPr>
        <w:t>1/2</w:t>
      </w:r>
      <w:r w:rsidRPr="004738E4">
        <w:rPr>
          <w:rFonts w:ascii="Times New Roman" w:hAnsi="Times New Roman" w:cs="Times New Roman"/>
          <w:sz w:val="24"/>
          <w:szCs w:val="24"/>
        </w:rPr>
        <w:t xml:space="preserve"> and </w:t>
      </w:r>
      <w:r w:rsidRPr="004738E4">
        <w:rPr>
          <w:rFonts w:ascii="Times New Roman" w:hAnsi="Times New Roman" w:cs="Times New Roman"/>
          <w:i/>
          <w:iCs/>
          <w:sz w:val="24"/>
          <w:szCs w:val="24"/>
        </w:rPr>
        <w:t>S</w:t>
      </w:r>
      <w:r w:rsidRPr="004738E4">
        <w:rPr>
          <w:rFonts w:ascii="Times New Roman" w:hAnsi="Times New Roman" w:cs="Times New Roman"/>
          <w:sz w:val="24"/>
          <w:szCs w:val="24"/>
        </w:rPr>
        <w:t>-ibuprofen AUC and C</w:t>
      </w:r>
      <w:r w:rsidRPr="004738E4">
        <w:rPr>
          <w:rFonts w:ascii="Times New Roman" w:hAnsi="Times New Roman" w:cs="Times New Roman"/>
          <w:position w:val="-7"/>
          <w:sz w:val="24"/>
          <w:szCs w:val="24"/>
          <w:vertAlign w:val="subscript"/>
        </w:rPr>
        <w:t>max</w:t>
      </w:r>
      <w:r w:rsidRPr="004738E4">
        <w:rPr>
          <w:rFonts w:ascii="Times New Roman" w:hAnsi="Times New Roman" w:cs="Times New Roman"/>
          <w:sz w:val="24"/>
          <w:szCs w:val="24"/>
        </w:rPr>
        <w:t xml:space="preserve">, and a higher </w:t>
      </w:r>
      <w:r w:rsidRPr="004738E4">
        <w:rPr>
          <w:rFonts w:ascii="Times New Roman" w:hAnsi="Times New Roman" w:cs="Times New Roman"/>
          <w:i/>
          <w:iCs/>
          <w:sz w:val="24"/>
          <w:szCs w:val="24"/>
        </w:rPr>
        <w:t>S</w:t>
      </w:r>
      <w:r w:rsidRPr="004738E4">
        <w:rPr>
          <w:rFonts w:ascii="Times New Roman" w:hAnsi="Times New Roman" w:cs="Times New Roman"/>
          <w:sz w:val="24"/>
          <w:szCs w:val="24"/>
        </w:rPr>
        <w:t>-ibuprofen clearance</w:t>
      </w:r>
      <w:r w:rsidRPr="004738E4">
        <w:rPr>
          <w:rFonts w:ascii="Times New Roman" w:hAnsi="Times New Roman" w:cs="Times New Roman"/>
          <w:spacing w:val="6"/>
          <w:sz w:val="24"/>
          <w:szCs w:val="24"/>
        </w:rPr>
        <w:t xml:space="preserve"> </w:t>
      </w:r>
      <w:r w:rsidRPr="004738E4">
        <w:rPr>
          <w:rFonts w:ascii="Times New Roman" w:hAnsi="Times New Roman" w:cs="Times New Roman"/>
          <w:sz w:val="24"/>
          <w:szCs w:val="24"/>
        </w:rPr>
        <w:t xml:space="preserve">rate </w:t>
      </w:r>
      <w:r w:rsidRPr="004738E4">
        <w:rPr>
          <w:rFonts w:ascii="Times New Roman" w:hAnsi="Times New Roman" w:cs="Times New Roman"/>
          <w:spacing w:val="3"/>
          <w:sz w:val="24"/>
          <w:szCs w:val="24"/>
        </w:rPr>
        <w:t>than</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t xml:space="preserve">men. </w:t>
      </w:r>
      <w:r w:rsidRPr="004738E4">
        <w:rPr>
          <w:rFonts w:ascii="Times New Roman" w:hAnsi="Times New Roman" w:cs="Times New Roman"/>
          <w:spacing w:val="3"/>
          <w:sz w:val="24"/>
          <w:szCs w:val="24"/>
        </w:rPr>
        <w:t>These</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t>differences</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lastRenderedPageBreak/>
        <w:t>may</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t>be</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t>related</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t>to</w:t>
      </w:r>
      <w:r w:rsidRPr="004738E4">
        <w:rPr>
          <w:rFonts w:ascii="Times New Roman" w:hAnsi="Times New Roman" w:cs="Times New Roman"/>
          <w:spacing w:val="19"/>
          <w:sz w:val="24"/>
          <w:szCs w:val="24"/>
        </w:rPr>
        <w:t xml:space="preserve"> </w:t>
      </w:r>
      <w:r w:rsidRPr="004738E4">
        <w:rPr>
          <w:rFonts w:ascii="Times New Roman" w:hAnsi="Times New Roman" w:cs="Times New Roman"/>
          <w:iCs/>
          <w:spacing w:val="3"/>
          <w:sz w:val="24"/>
          <w:szCs w:val="24"/>
        </w:rPr>
        <w:t xml:space="preserve">CYP2C8 </w:t>
      </w:r>
      <w:r w:rsidRPr="004738E4">
        <w:rPr>
          <w:rFonts w:ascii="Times New Roman" w:hAnsi="Times New Roman" w:cs="Times New Roman"/>
          <w:sz w:val="24"/>
          <w:szCs w:val="24"/>
        </w:rPr>
        <w:t xml:space="preserve">or </w:t>
      </w:r>
      <w:r w:rsidRPr="004738E4">
        <w:rPr>
          <w:rFonts w:ascii="Times New Roman" w:hAnsi="Times New Roman" w:cs="Times New Roman"/>
          <w:iCs/>
          <w:sz w:val="24"/>
          <w:szCs w:val="24"/>
        </w:rPr>
        <w:t>CYP2C9</w:t>
      </w:r>
      <w:r w:rsidRPr="004738E4">
        <w:rPr>
          <w:rFonts w:ascii="Times New Roman" w:hAnsi="Times New Roman" w:cs="Times New Roman"/>
          <w:i/>
          <w:iCs/>
          <w:sz w:val="24"/>
          <w:szCs w:val="24"/>
        </w:rPr>
        <w:t xml:space="preserve"> </w:t>
      </w:r>
      <w:r w:rsidRPr="004738E4">
        <w:rPr>
          <w:rFonts w:ascii="Times New Roman" w:hAnsi="Times New Roman" w:cs="Times New Roman"/>
          <w:sz w:val="24"/>
          <w:szCs w:val="24"/>
        </w:rPr>
        <w:t xml:space="preserve">genotypes; a reanalysis of the association between ibuprofen pharmacokinetics and </w:t>
      </w:r>
      <w:r w:rsidR="008C3029" w:rsidRPr="004738E4">
        <w:rPr>
          <w:rFonts w:ascii="Times New Roman" w:hAnsi="Times New Roman" w:cs="Times New Roman"/>
          <w:sz w:val="24"/>
          <w:szCs w:val="24"/>
        </w:rPr>
        <w:t>sex</w:t>
      </w:r>
      <w:r w:rsidR="00590BC3" w:rsidRPr="004738E4">
        <w:rPr>
          <w:rFonts w:ascii="Times New Roman" w:hAnsi="Times New Roman" w:cs="Times New Roman"/>
          <w:sz w:val="24"/>
          <w:szCs w:val="24"/>
        </w:rPr>
        <w:t>,</w:t>
      </w:r>
      <w:r w:rsidRPr="004738E4">
        <w:rPr>
          <w:rFonts w:ascii="Times New Roman" w:hAnsi="Times New Roman" w:cs="Times New Roman"/>
          <w:sz w:val="24"/>
          <w:szCs w:val="24"/>
        </w:rPr>
        <w:t xml:space="preserve"> restricted to wild-type subjects</w:t>
      </w:r>
      <w:r w:rsidR="00590BC3" w:rsidRPr="004738E4">
        <w:rPr>
          <w:rFonts w:ascii="Times New Roman" w:hAnsi="Times New Roman" w:cs="Times New Roman"/>
          <w:sz w:val="24"/>
          <w:szCs w:val="24"/>
        </w:rPr>
        <w:t>,</w:t>
      </w:r>
      <w:r w:rsidRPr="004738E4">
        <w:rPr>
          <w:rFonts w:ascii="Times New Roman" w:hAnsi="Times New Roman" w:cs="Times New Roman"/>
          <w:sz w:val="24"/>
          <w:szCs w:val="24"/>
        </w:rPr>
        <w:t xml:space="preserve"> found significantly lower </w:t>
      </w:r>
      <w:r w:rsidRPr="004738E4">
        <w:rPr>
          <w:rFonts w:ascii="Times New Roman" w:hAnsi="Times New Roman" w:cs="Times New Roman"/>
          <w:i/>
          <w:iCs/>
          <w:sz w:val="24"/>
          <w:szCs w:val="24"/>
        </w:rPr>
        <w:t>R</w:t>
      </w:r>
      <w:r w:rsidRPr="004738E4">
        <w:rPr>
          <w:rFonts w:ascii="Times New Roman" w:hAnsi="Times New Roman" w:cs="Times New Roman"/>
          <w:sz w:val="24"/>
          <w:szCs w:val="24"/>
        </w:rPr>
        <w:t xml:space="preserve">-ibuprofen </w:t>
      </w:r>
      <w:r w:rsidR="00BD40A2" w:rsidRPr="004738E4">
        <w:rPr>
          <w:rFonts w:ascii="Times New Roman" w:hAnsi="Times New Roman" w:cs="Times New Roman"/>
          <w:sz w:val="24"/>
          <w:szCs w:val="24"/>
        </w:rPr>
        <w:t>C</w:t>
      </w:r>
      <w:r w:rsidR="00BD40A2" w:rsidRPr="004738E4">
        <w:rPr>
          <w:rFonts w:ascii="Times New Roman" w:hAnsi="Times New Roman" w:cs="Times New Roman"/>
          <w:position w:val="-7"/>
          <w:sz w:val="24"/>
          <w:szCs w:val="24"/>
          <w:vertAlign w:val="subscript"/>
        </w:rPr>
        <w:t>max</w:t>
      </w:r>
      <w:r w:rsidR="00BD40A2" w:rsidRPr="004738E4">
        <w:rPr>
          <w:rFonts w:ascii="Times New Roman" w:hAnsi="Times New Roman" w:cs="Times New Roman"/>
          <w:sz w:val="24"/>
          <w:szCs w:val="24"/>
        </w:rPr>
        <w:t xml:space="preserve"> and</w:t>
      </w:r>
      <w:r w:rsidR="00BD40A2" w:rsidRPr="004738E4">
        <w:rPr>
          <w:rFonts w:ascii="Times New Roman" w:hAnsi="Times New Roman" w:cs="Times New Roman"/>
          <w:i/>
          <w:sz w:val="24"/>
          <w:szCs w:val="24"/>
        </w:rPr>
        <w:t xml:space="preserve"> </w:t>
      </w:r>
      <w:r w:rsidR="00B967DD" w:rsidRPr="004738E4">
        <w:rPr>
          <w:rFonts w:ascii="Times New Roman" w:hAnsi="Times New Roman" w:cs="Times New Roman"/>
          <w:i/>
          <w:sz w:val="24"/>
          <w:szCs w:val="24"/>
        </w:rPr>
        <w:t>t</w:t>
      </w:r>
      <w:r w:rsidR="00B967DD" w:rsidRPr="004738E4">
        <w:rPr>
          <w:rFonts w:ascii="Times New Roman" w:hAnsi="Times New Roman" w:cs="Times New Roman"/>
          <w:sz w:val="24"/>
          <w:szCs w:val="24"/>
          <w:vertAlign w:val="subscript"/>
        </w:rPr>
        <w:t>1/2</w:t>
      </w:r>
      <w:r w:rsidR="00BD40A2" w:rsidRPr="004738E4">
        <w:rPr>
          <w:rFonts w:ascii="Times New Roman" w:hAnsi="Times New Roman" w:cs="Times New Roman"/>
          <w:sz w:val="24"/>
          <w:szCs w:val="24"/>
        </w:rPr>
        <w:t xml:space="preserve">, </w:t>
      </w:r>
      <w:r w:rsidR="00B967DD" w:rsidRPr="004738E4">
        <w:rPr>
          <w:rFonts w:ascii="Times New Roman" w:hAnsi="Times New Roman" w:cs="Times New Roman"/>
          <w:sz w:val="24"/>
          <w:szCs w:val="24"/>
        </w:rPr>
        <w:t>a</w:t>
      </w:r>
      <w:r w:rsidRPr="004738E4">
        <w:rPr>
          <w:rFonts w:ascii="Times New Roman" w:hAnsi="Times New Roman" w:cs="Times New Roman"/>
          <w:sz w:val="24"/>
          <w:szCs w:val="24"/>
        </w:rPr>
        <w:t xml:space="preserve">nd </w:t>
      </w:r>
      <w:r w:rsidRPr="004738E4">
        <w:rPr>
          <w:rFonts w:ascii="Times New Roman" w:hAnsi="Times New Roman" w:cs="Times New Roman"/>
          <w:i/>
          <w:iCs/>
          <w:sz w:val="24"/>
          <w:szCs w:val="24"/>
        </w:rPr>
        <w:t>S</w:t>
      </w:r>
      <w:r w:rsidRPr="004738E4">
        <w:rPr>
          <w:rFonts w:ascii="Times New Roman" w:hAnsi="Times New Roman" w:cs="Times New Roman"/>
          <w:sz w:val="24"/>
          <w:szCs w:val="24"/>
        </w:rPr>
        <w:t>-ibuprofen</w:t>
      </w:r>
      <w:r w:rsidR="00F0377D" w:rsidRPr="004738E4">
        <w:rPr>
          <w:rFonts w:ascii="Times New Roman" w:hAnsi="Times New Roman" w:cs="Times New Roman"/>
          <w:sz w:val="24"/>
          <w:szCs w:val="24"/>
        </w:rPr>
        <w:t xml:space="preserve"> </w:t>
      </w:r>
      <w:r w:rsidRPr="004738E4">
        <w:rPr>
          <w:rFonts w:ascii="Times New Roman" w:hAnsi="Times New Roman" w:cs="Times New Roman"/>
          <w:sz w:val="24"/>
          <w:szCs w:val="24"/>
        </w:rPr>
        <w:t>C</w:t>
      </w:r>
      <w:r w:rsidRPr="004738E4">
        <w:rPr>
          <w:rFonts w:ascii="Times New Roman" w:hAnsi="Times New Roman" w:cs="Times New Roman"/>
          <w:position w:val="-7"/>
          <w:sz w:val="24"/>
          <w:szCs w:val="24"/>
          <w:vertAlign w:val="subscript"/>
        </w:rPr>
        <w:t>max</w:t>
      </w:r>
      <w:r w:rsidRPr="004738E4">
        <w:rPr>
          <w:rFonts w:ascii="Times New Roman" w:hAnsi="Times New Roman" w:cs="Times New Roman"/>
          <w:position w:val="-7"/>
          <w:sz w:val="24"/>
          <w:szCs w:val="24"/>
        </w:rPr>
        <w:t xml:space="preserve"> </w:t>
      </w:r>
      <w:r w:rsidR="00BD40A2" w:rsidRPr="004738E4">
        <w:rPr>
          <w:rFonts w:ascii="Times New Roman" w:hAnsi="Times New Roman" w:cs="Times New Roman"/>
          <w:sz w:val="24"/>
          <w:szCs w:val="24"/>
        </w:rPr>
        <w:t>and AUC i</w:t>
      </w:r>
      <w:r w:rsidRPr="004738E4">
        <w:rPr>
          <w:rFonts w:ascii="Times New Roman" w:hAnsi="Times New Roman" w:cs="Times New Roman"/>
          <w:sz w:val="24"/>
          <w:szCs w:val="24"/>
        </w:rPr>
        <w:t>n women</w:t>
      </w:r>
      <w:r w:rsidR="00F0377D" w:rsidRPr="004738E4">
        <w:rPr>
          <w:rFonts w:ascii="Times New Roman" w:hAnsi="Times New Roman" w:cs="Times New Roman"/>
          <w:sz w:val="24"/>
          <w:szCs w:val="24"/>
        </w:rPr>
        <w:t xml:space="preserve"> and a higher</w:t>
      </w:r>
      <w:r w:rsidR="00BD40A2" w:rsidRPr="004738E4">
        <w:rPr>
          <w:rFonts w:ascii="Times New Roman" w:hAnsi="Times New Roman" w:cs="Times New Roman"/>
          <w:sz w:val="24"/>
          <w:szCs w:val="24"/>
        </w:rPr>
        <w:t xml:space="preserve"> ibuprofen</w:t>
      </w:r>
      <w:r w:rsidR="00F0377D" w:rsidRPr="004738E4">
        <w:rPr>
          <w:rFonts w:ascii="Times New Roman" w:hAnsi="Times New Roman" w:cs="Times New Roman"/>
          <w:sz w:val="24"/>
          <w:szCs w:val="24"/>
        </w:rPr>
        <w:t xml:space="preserve"> clearance in </w:t>
      </w:r>
      <w:r w:rsidR="00BD40A2" w:rsidRPr="004738E4">
        <w:rPr>
          <w:rFonts w:ascii="Times New Roman" w:hAnsi="Times New Roman" w:cs="Times New Roman"/>
          <w:sz w:val="24"/>
          <w:szCs w:val="24"/>
        </w:rPr>
        <w:t>women</w:t>
      </w:r>
      <w:r w:rsidRPr="004738E4">
        <w:rPr>
          <w:rFonts w:ascii="Times New Roman" w:hAnsi="Times New Roman" w:cs="Times New Roman"/>
          <w:sz w:val="24"/>
          <w:szCs w:val="24"/>
        </w:rPr>
        <w:t>.</w:t>
      </w:r>
      <w:r w:rsidR="00BD45E3" w:rsidRPr="004738E4">
        <w:t xml:space="preserve"> </w:t>
      </w:r>
      <w:r w:rsidR="00BD45E3" w:rsidRPr="004738E4">
        <w:rPr>
          <w:rFonts w:ascii="Times New Roman" w:hAnsi="Times New Roman" w:cs="Times New Roman"/>
          <w:sz w:val="24"/>
          <w:szCs w:val="24"/>
        </w:rPr>
        <w:t>A robust sex</w:t>
      </w:r>
      <w:r w:rsidR="00495964" w:rsidRPr="004738E4">
        <w:rPr>
          <w:rFonts w:ascii="Times New Roman" w:hAnsi="Times New Roman" w:cs="Times New Roman"/>
          <w:sz w:val="24"/>
          <w:szCs w:val="24"/>
        </w:rPr>
        <w:t>-</w:t>
      </w:r>
      <w:r w:rsidR="00467B68" w:rsidRPr="004738E4">
        <w:rPr>
          <w:rFonts w:ascii="Times New Roman" w:hAnsi="Times New Roman" w:cs="Times New Roman"/>
          <w:sz w:val="24"/>
          <w:szCs w:val="24"/>
        </w:rPr>
        <w:t xml:space="preserve">specific </w:t>
      </w:r>
      <w:r w:rsidR="00BD45E3" w:rsidRPr="004738E4">
        <w:rPr>
          <w:rFonts w:ascii="Times New Roman" w:hAnsi="Times New Roman" w:cs="Times New Roman"/>
          <w:sz w:val="24"/>
          <w:szCs w:val="24"/>
        </w:rPr>
        <w:t>difference in increased drug elimination times, may decrease drug efficacy</w:t>
      </w:r>
      <w:r w:rsidR="008C3029" w:rsidRPr="004738E4">
        <w:rPr>
          <w:rFonts w:ascii="Times New Roman" w:hAnsi="Times New Roman" w:cs="Times New Roman"/>
          <w:sz w:val="24"/>
          <w:szCs w:val="24"/>
        </w:rPr>
        <w:t xml:space="preserve"> </w:t>
      </w:r>
      <w:r w:rsidR="005E175C" w:rsidRPr="004738E4">
        <w:rPr>
          <w:rFonts w:ascii="Times New Roman" w:hAnsi="Times New Roman" w:cs="Times New Roman"/>
          <w:sz w:val="24"/>
          <w:szCs w:val="24"/>
        </w:rPr>
        <w:t xml:space="preserve">and </w:t>
      </w:r>
      <w:r w:rsidR="00BD45E3" w:rsidRPr="004738E4">
        <w:rPr>
          <w:rFonts w:ascii="Times New Roman" w:hAnsi="Times New Roman" w:cs="Times New Roman"/>
          <w:sz w:val="24"/>
          <w:szCs w:val="24"/>
        </w:rPr>
        <w:t>necessitate an increase in drug doses</w:t>
      </w:r>
      <w:r w:rsidR="00590BC3" w:rsidRPr="004738E4">
        <w:rPr>
          <w:rFonts w:ascii="Times New Roman" w:hAnsi="Times New Roman" w:cs="Times New Roman"/>
          <w:sz w:val="24"/>
          <w:szCs w:val="24"/>
        </w:rPr>
        <w:t xml:space="preserve"> for women,</w:t>
      </w:r>
      <w:r w:rsidR="00495964" w:rsidRPr="004738E4">
        <w:rPr>
          <w:rFonts w:ascii="Times New Roman" w:hAnsi="Times New Roman" w:cs="Times New Roman"/>
          <w:sz w:val="24"/>
          <w:szCs w:val="24"/>
        </w:rPr>
        <w:t xml:space="preserve"> which may be</w:t>
      </w:r>
      <w:r w:rsidR="005165C2" w:rsidRPr="004738E4">
        <w:rPr>
          <w:rFonts w:ascii="Times New Roman" w:hAnsi="Times New Roman" w:cs="Times New Roman"/>
          <w:sz w:val="24"/>
          <w:szCs w:val="24"/>
        </w:rPr>
        <w:t xml:space="preserve"> </w:t>
      </w:r>
      <w:r w:rsidR="005E175C" w:rsidRPr="004738E4">
        <w:rPr>
          <w:rFonts w:ascii="Times New Roman" w:hAnsi="Times New Roman" w:cs="Times New Roman"/>
          <w:sz w:val="24"/>
          <w:szCs w:val="24"/>
        </w:rPr>
        <w:t xml:space="preserve">accompanied by </w:t>
      </w:r>
      <w:r w:rsidR="005165C2" w:rsidRPr="004738E4">
        <w:rPr>
          <w:rFonts w:ascii="Times New Roman" w:hAnsi="Times New Roman" w:cs="Times New Roman"/>
          <w:sz w:val="24"/>
          <w:szCs w:val="24"/>
        </w:rPr>
        <w:t>increases in ADRs</w:t>
      </w:r>
      <w:r w:rsidR="00BD45E3"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 </w:t>
      </w:r>
      <w:r w:rsidRPr="004738E4">
        <w:rPr>
          <w:rFonts w:ascii="Times New Roman" w:hAnsi="Times New Roman" w:cs="Times New Roman"/>
          <w:color w:val="FF0000"/>
          <w:sz w:val="24"/>
          <w:szCs w:val="24"/>
        </w:rPr>
        <w:t xml:space="preserve"> </w:t>
      </w:r>
      <w:r w:rsidRPr="004738E4">
        <w:rPr>
          <w:rFonts w:ascii="Times New Roman" w:hAnsi="Times New Roman" w:cs="Times New Roman"/>
          <w:sz w:val="24"/>
          <w:szCs w:val="24"/>
        </w:rPr>
        <w:t xml:space="preserve">The phase of the menstrual cycle did not affect either </w:t>
      </w:r>
      <w:r w:rsidRPr="004738E4">
        <w:rPr>
          <w:rFonts w:ascii="Times New Roman" w:hAnsi="Times New Roman" w:cs="Times New Roman"/>
          <w:i/>
          <w:iCs/>
          <w:sz w:val="24"/>
          <w:szCs w:val="24"/>
        </w:rPr>
        <w:t>S</w:t>
      </w:r>
      <w:r w:rsidRPr="004738E4">
        <w:rPr>
          <w:rFonts w:ascii="Times New Roman" w:hAnsi="Times New Roman" w:cs="Times New Roman"/>
          <w:sz w:val="24"/>
          <w:szCs w:val="24"/>
        </w:rPr>
        <w:t xml:space="preserve">-ibuprofen or </w:t>
      </w:r>
      <w:r w:rsidRPr="004738E4">
        <w:rPr>
          <w:rFonts w:ascii="Times New Roman" w:hAnsi="Times New Roman" w:cs="Times New Roman"/>
          <w:i/>
          <w:iCs/>
          <w:sz w:val="24"/>
          <w:szCs w:val="24"/>
        </w:rPr>
        <w:t>R</w:t>
      </w:r>
      <w:r w:rsidRPr="004738E4">
        <w:rPr>
          <w:rFonts w:ascii="Times New Roman" w:hAnsi="Times New Roman" w:cs="Times New Roman"/>
          <w:sz w:val="24"/>
          <w:szCs w:val="24"/>
        </w:rPr>
        <w:t xml:space="preserve">-ibuprofen pharmacokinetics but women treated with oral contraceptives had lower AUC and higher clearance than women not </w:t>
      </w:r>
      <w:r w:rsidR="00590BC3" w:rsidRPr="004738E4">
        <w:rPr>
          <w:rFonts w:ascii="Times New Roman" w:hAnsi="Times New Roman" w:cs="Times New Roman"/>
          <w:sz w:val="24"/>
          <w:szCs w:val="24"/>
        </w:rPr>
        <w:t>contracepted</w:t>
      </w:r>
      <w:r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shd w:val="clear" w:color="auto" w:fill="FFFFFF"/>
        </w:rPr>
        <w:t>(97)</w:t>
      </w:r>
      <w:r w:rsidRPr="004738E4">
        <w:rPr>
          <w:rFonts w:ascii="Times New Roman" w:hAnsi="Times New Roman" w:cs="Times New Roman"/>
          <w:sz w:val="24"/>
          <w:szCs w:val="24"/>
          <w:shd w:val="clear" w:color="auto" w:fill="FFFFFF"/>
        </w:rPr>
        <w:t xml:space="preserve">.  </w:t>
      </w:r>
      <w:r w:rsidRPr="004738E4">
        <w:rPr>
          <w:rFonts w:ascii="Times New Roman" w:hAnsi="Times New Roman" w:cs="Times New Roman"/>
          <w:sz w:val="24"/>
          <w:szCs w:val="24"/>
        </w:rPr>
        <w:t xml:space="preserve">Conflicting results </w:t>
      </w:r>
      <w:r w:rsidR="00E17A0D" w:rsidRPr="004738E4">
        <w:rPr>
          <w:rFonts w:ascii="Times New Roman" w:hAnsi="Times New Roman" w:cs="Times New Roman"/>
          <w:sz w:val="24"/>
          <w:szCs w:val="24"/>
        </w:rPr>
        <w:t xml:space="preserve">reporting </w:t>
      </w:r>
      <w:r w:rsidRPr="004738E4">
        <w:rPr>
          <w:rFonts w:ascii="Times New Roman" w:hAnsi="Times New Roman" w:cs="Times New Roman"/>
          <w:sz w:val="24"/>
          <w:szCs w:val="24"/>
        </w:rPr>
        <w:t xml:space="preserve">no ibuprofen </w:t>
      </w:r>
      <w:r w:rsidR="008C3029"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 differences in pharmacokinetics were based on sample sizes of 8 per group </w:t>
      </w:r>
      <w:r w:rsidR="005941EE" w:rsidRPr="004738E4">
        <w:rPr>
          <w:rFonts w:ascii="Times New Roman" w:hAnsi="Times New Roman" w:cs="Times New Roman"/>
          <w:noProof/>
          <w:sz w:val="24"/>
          <w:szCs w:val="24"/>
        </w:rPr>
        <w:t>(98)</w:t>
      </w:r>
      <w:r w:rsidRPr="004738E4">
        <w:rPr>
          <w:rFonts w:ascii="Times New Roman" w:hAnsi="Times New Roman" w:cs="Times New Roman"/>
          <w:sz w:val="24"/>
          <w:szCs w:val="24"/>
        </w:rPr>
        <w:t>.</w:t>
      </w:r>
    </w:p>
    <w:p w14:paraId="03087FCF" w14:textId="7D3B27E8" w:rsidR="00BA517B" w:rsidRPr="004738E4" w:rsidRDefault="00BA517B"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rPr>
        <w:t xml:space="preserve">An ibuprofen dose of 800 mg was effective in young men but did not produce analgesia in young women in an experimental pain test </w:t>
      </w:r>
      <w:r w:rsidR="005941EE" w:rsidRPr="004738E4">
        <w:rPr>
          <w:rFonts w:ascii="Times New Roman" w:hAnsi="Times New Roman" w:cs="Times New Roman"/>
          <w:noProof/>
          <w:sz w:val="24"/>
          <w:szCs w:val="24"/>
        </w:rPr>
        <w:t>(99,100)</w:t>
      </w:r>
      <w:r w:rsidRPr="004738E4">
        <w:rPr>
          <w:rFonts w:ascii="Times New Roman" w:hAnsi="Times New Roman" w:cs="Times New Roman"/>
          <w:sz w:val="24"/>
          <w:szCs w:val="24"/>
        </w:rPr>
        <w:t xml:space="preserve">. This may reflect lower </w:t>
      </w:r>
      <w:r w:rsidRPr="004738E4">
        <w:rPr>
          <w:rFonts w:ascii="Times New Roman" w:hAnsi="Times New Roman" w:cs="Times New Roman"/>
          <w:i/>
          <w:iCs/>
          <w:sz w:val="24"/>
          <w:szCs w:val="24"/>
        </w:rPr>
        <w:t>R</w:t>
      </w:r>
      <w:r w:rsidRPr="004738E4">
        <w:rPr>
          <w:rFonts w:ascii="Times New Roman" w:hAnsi="Times New Roman" w:cs="Times New Roman"/>
          <w:sz w:val="24"/>
          <w:szCs w:val="24"/>
        </w:rPr>
        <w:t xml:space="preserve">-ibuprofen </w:t>
      </w:r>
      <w:r w:rsidR="00B967DD" w:rsidRPr="004738E4">
        <w:rPr>
          <w:rFonts w:ascii="Times New Roman" w:hAnsi="Times New Roman" w:cs="Times New Roman"/>
          <w:i/>
          <w:sz w:val="24"/>
          <w:szCs w:val="24"/>
        </w:rPr>
        <w:t>t</w:t>
      </w:r>
      <w:r w:rsidR="00B967DD" w:rsidRPr="004738E4">
        <w:rPr>
          <w:rFonts w:ascii="Times New Roman" w:hAnsi="Times New Roman" w:cs="Times New Roman"/>
          <w:sz w:val="24"/>
          <w:szCs w:val="24"/>
          <w:vertAlign w:val="subscript"/>
        </w:rPr>
        <w:t>1/2</w:t>
      </w:r>
      <w:r w:rsidRPr="004738E4">
        <w:rPr>
          <w:rFonts w:ascii="Times New Roman" w:hAnsi="Times New Roman" w:cs="Times New Roman"/>
          <w:sz w:val="24"/>
          <w:szCs w:val="24"/>
        </w:rPr>
        <w:t xml:space="preserve"> and </w:t>
      </w:r>
      <w:r w:rsidRPr="004738E4">
        <w:rPr>
          <w:rFonts w:ascii="Times New Roman" w:hAnsi="Times New Roman" w:cs="Times New Roman"/>
          <w:i/>
          <w:iCs/>
          <w:sz w:val="24"/>
          <w:szCs w:val="24"/>
        </w:rPr>
        <w:t>S</w:t>
      </w:r>
      <w:r w:rsidRPr="004738E4">
        <w:rPr>
          <w:rFonts w:ascii="Times New Roman" w:hAnsi="Times New Roman" w:cs="Times New Roman"/>
          <w:sz w:val="24"/>
          <w:szCs w:val="24"/>
        </w:rPr>
        <w:t>-ibuprofen AUC and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in women than men and suggests that women may require higher ibuprofen doses to achieve comparable analgesia. ADR of 1.46 in 130176 reports.</w:t>
      </w:r>
    </w:p>
    <w:p w14:paraId="0F88BEB1" w14:textId="77777777" w:rsidR="001D40E5" w:rsidRPr="004738E4" w:rsidRDefault="001D40E5" w:rsidP="003406EE">
      <w:pPr>
        <w:shd w:val="clear" w:color="auto" w:fill="FFFFFF"/>
        <w:tabs>
          <w:tab w:val="left" w:pos="5264"/>
        </w:tabs>
        <w:spacing w:after="0" w:line="480" w:lineRule="auto"/>
        <w:contextualSpacing/>
        <w:jc w:val="both"/>
        <w:rPr>
          <w:rFonts w:ascii="Times New Roman" w:hAnsi="Times New Roman" w:cs="Times New Roman"/>
          <w:sz w:val="24"/>
          <w:szCs w:val="24"/>
        </w:rPr>
      </w:pPr>
    </w:p>
    <w:p w14:paraId="0C08573C" w14:textId="52D8B731"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N1 and N2: Nervous system – anesthetics and analgesics</w:t>
      </w:r>
    </w:p>
    <w:p w14:paraId="1EF84AF6" w14:textId="237F3E6A" w:rsidR="00391AB5" w:rsidRPr="004738E4" w:rsidRDefault="00391AB5" w:rsidP="003406EE">
      <w:pPr>
        <w:shd w:val="clear" w:color="auto" w:fill="FFFFFF"/>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t>Women emerge faster from general anesthesia than men, but their recovery trajectory is significantly poorer, in terms of higher pain sco</w:t>
      </w:r>
      <w:r w:rsidRPr="004738E4">
        <w:rPr>
          <w:rFonts w:ascii="Times New Roman" w:hAnsi="Times New Roman" w:cs="Times New Roman"/>
          <w:spacing w:val="-4"/>
          <w:sz w:val="24"/>
          <w:szCs w:val="24"/>
        </w:rPr>
        <w:t>r</w:t>
      </w:r>
      <w:r w:rsidRPr="004738E4">
        <w:rPr>
          <w:rFonts w:ascii="Times New Roman" w:hAnsi="Times New Roman" w:cs="Times New Roman"/>
          <w:sz w:val="24"/>
          <w:szCs w:val="24"/>
        </w:rPr>
        <w:t>es</w:t>
      </w:r>
      <w:r w:rsidRPr="004738E4">
        <w:rPr>
          <w:rFonts w:ascii="Times New Roman" w:hAnsi="Times New Roman" w:cs="Times New Roman"/>
          <w:spacing w:val="-9"/>
          <w:sz w:val="24"/>
          <w:szCs w:val="24"/>
        </w:rPr>
        <w:t xml:space="preserve"> </w:t>
      </w:r>
      <w:r w:rsidRPr="004738E4">
        <w:rPr>
          <w:rFonts w:ascii="Times New Roman" w:hAnsi="Times New Roman" w:cs="Times New Roman"/>
          <w:sz w:val="24"/>
          <w:szCs w:val="24"/>
        </w:rPr>
        <w:t>and</w:t>
      </w:r>
      <w:r w:rsidRPr="004738E4">
        <w:rPr>
          <w:rFonts w:ascii="Times New Roman" w:hAnsi="Times New Roman" w:cs="Times New Roman"/>
          <w:spacing w:val="-10"/>
          <w:sz w:val="24"/>
          <w:szCs w:val="24"/>
        </w:rPr>
        <w:t xml:space="preserve"> </w:t>
      </w:r>
      <w:r w:rsidRPr="004738E4">
        <w:rPr>
          <w:rFonts w:ascii="Times New Roman" w:hAnsi="Times New Roman" w:cs="Times New Roman"/>
          <w:sz w:val="24"/>
          <w:szCs w:val="24"/>
        </w:rPr>
        <w:t>need for</w:t>
      </w:r>
      <w:r w:rsidRPr="004738E4">
        <w:rPr>
          <w:rFonts w:ascii="Times New Roman" w:hAnsi="Times New Roman" w:cs="Times New Roman"/>
          <w:spacing w:val="-10"/>
          <w:sz w:val="24"/>
          <w:szCs w:val="24"/>
        </w:rPr>
        <w:t xml:space="preserve"> </w:t>
      </w:r>
      <w:r w:rsidRPr="004738E4">
        <w:rPr>
          <w:rFonts w:ascii="Times New Roman" w:hAnsi="Times New Roman" w:cs="Times New Roman"/>
          <w:sz w:val="24"/>
          <w:szCs w:val="24"/>
        </w:rPr>
        <w:t>t</w:t>
      </w:r>
      <w:r w:rsidRPr="004738E4">
        <w:rPr>
          <w:rFonts w:ascii="Times New Roman" w:hAnsi="Times New Roman" w:cs="Times New Roman"/>
          <w:spacing w:val="-4"/>
          <w:sz w:val="24"/>
          <w:szCs w:val="24"/>
        </w:rPr>
        <w:t>r</w:t>
      </w:r>
      <w:r w:rsidRPr="004738E4">
        <w:rPr>
          <w:rFonts w:ascii="Times New Roman" w:hAnsi="Times New Roman" w:cs="Times New Roman"/>
          <w:sz w:val="24"/>
          <w:szCs w:val="24"/>
        </w:rPr>
        <w:t>ea</w:t>
      </w:r>
      <w:r w:rsidRPr="004738E4">
        <w:rPr>
          <w:rFonts w:ascii="Times New Roman" w:hAnsi="Times New Roman" w:cs="Times New Roman"/>
          <w:spacing w:val="-3"/>
          <w:sz w:val="24"/>
          <w:szCs w:val="24"/>
        </w:rPr>
        <w:t>t</w:t>
      </w:r>
      <w:r w:rsidRPr="004738E4">
        <w:rPr>
          <w:rFonts w:ascii="Times New Roman" w:hAnsi="Times New Roman" w:cs="Times New Roman"/>
          <w:sz w:val="24"/>
          <w:szCs w:val="24"/>
        </w:rPr>
        <w:t>ment of nausea</w:t>
      </w:r>
      <w:r w:rsidRPr="004738E4">
        <w:rPr>
          <w:rFonts w:ascii="Times New Roman" w:hAnsi="Times New Roman" w:cs="Times New Roman"/>
          <w:spacing w:val="-9"/>
          <w:sz w:val="24"/>
          <w:szCs w:val="24"/>
        </w:rPr>
        <w:t xml:space="preserve"> </w:t>
      </w:r>
      <w:r w:rsidRPr="004738E4">
        <w:rPr>
          <w:rFonts w:ascii="Times New Roman" w:hAnsi="Times New Roman" w:cs="Times New Roman"/>
          <w:sz w:val="24"/>
          <w:szCs w:val="24"/>
        </w:rPr>
        <w:t xml:space="preserve">and </w:t>
      </w:r>
      <w:r w:rsidRPr="004738E4">
        <w:rPr>
          <w:rFonts w:ascii="Times New Roman" w:hAnsi="Times New Roman" w:cs="Times New Roman"/>
          <w:spacing w:val="-5"/>
          <w:sz w:val="24"/>
          <w:szCs w:val="24"/>
        </w:rPr>
        <w:t>v</w:t>
      </w:r>
      <w:r w:rsidRPr="004738E4">
        <w:rPr>
          <w:rFonts w:ascii="Times New Roman" w:hAnsi="Times New Roman" w:cs="Times New Roman"/>
          <w:sz w:val="24"/>
          <w:szCs w:val="24"/>
        </w:rPr>
        <w:t xml:space="preserve">omiting </w:t>
      </w:r>
      <w:r w:rsidR="005941EE" w:rsidRPr="004738E4">
        <w:rPr>
          <w:rFonts w:ascii="Times New Roman" w:hAnsi="Times New Roman" w:cs="Times New Roman"/>
          <w:noProof/>
          <w:sz w:val="24"/>
          <w:szCs w:val="24"/>
        </w:rPr>
        <w:t>(101)</w:t>
      </w:r>
      <w:r w:rsidRPr="004738E4">
        <w:rPr>
          <w:rFonts w:ascii="Times New Roman" w:hAnsi="Times New Roman" w:cs="Times New Roman"/>
          <w:sz w:val="24"/>
          <w:szCs w:val="24"/>
        </w:rPr>
        <w:t xml:space="preserve">. Women had higher bispectral index values (BIS; </w:t>
      </w:r>
      <w:r w:rsidR="00590BC3" w:rsidRPr="004738E4">
        <w:rPr>
          <w:rFonts w:ascii="Times New Roman" w:hAnsi="Times New Roman" w:cs="Times New Roman"/>
          <w:sz w:val="24"/>
          <w:szCs w:val="24"/>
        </w:rPr>
        <w:t>an indicator of</w:t>
      </w:r>
      <w:r w:rsidRPr="004738E4">
        <w:rPr>
          <w:rFonts w:ascii="Times New Roman" w:hAnsi="Times New Roman" w:cs="Times New Roman"/>
          <w:sz w:val="24"/>
          <w:szCs w:val="24"/>
        </w:rPr>
        <w:t xml:space="preserve"> depth of anesthesia) than men, despite being administered similar drug amounts and having a faster time to eye opening. Women were less sensitive to the hypnotic effects of multiple anesthetics </w:t>
      </w:r>
      <w:r w:rsidR="005941EE" w:rsidRPr="004738E4">
        <w:rPr>
          <w:rFonts w:ascii="Times New Roman" w:hAnsi="Times New Roman" w:cs="Times New Roman"/>
          <w:noProof/>
          <w:sz w:val="24"/>
          <w:szCs w:val="24"/>
        </w:rPr>
        <w:t>(101)</w:t>
      </w:r>
      <w:r w:rsidRPr="004738E4">
        <w:rPr>
          <w:rFonts w:ascii="Times New Roman" w:hAnsi="Times New Roman" w:cs="Times New Roman"/>
          <w:sz w:val="24"/>
          <w:szCs w:val="24"/>
        </w:rPr>
        <w:t>.</w:t>
      </w:r>
    </w:p>
    <w:p w14:paraId="438CA64C" w14:textId="377BF425" w:rsidR="00391AB5" w:rsidRPr="004738E4" w:rsidRDefault="00391AB5" w:rsidP="003406EE">
      <w:pPr>
        <w:kinsoku w:val="0"/>
        <w:overflowPunct w:val="0"/>
        <w:autoSpaceDE w:val="0"/>
        <w:autoSpaceDN w:val="0"/>
        <w:adjustRightInd w:val="0"/>
        <w:spacing w:after="0" w:line="480" w:lineRule="auto"/>
        <w:ind w:left="40" w:right="110" w:firstLine="765"/>
        <w:contextualSpacing/>
        <w:jc w:val="both"/>
        <w:rPr>
          <w:rFonts w:ascii="Times New Roman" w:hAnsi="Times New Roman" w:cs="Times New Roman"/>
          <w:sz w:val="24"/>
          <w:szCs w:val="24"/>
        </w:rPr>
      </w:pPr>
      <w:r w:rsidRPr="004738E4">
        <w:rPr>
          <w:rFonts w:ascii="Times New Roman" w:hAnsi="Times New Roman" w:cs="Times New Roman"/>
          <w:sz w:val="24"/>
          <w:szCs w:val="24"/>
        </w:rPr>
        <w:t xml:space="preserve">A review of several studies of patient-controlled analgesia (PCA) with different opioids revealed significantly greater analgesia in women than men. Indeed, the longer the duration of </w:t>
      </w:r>
      <w:r w:rsidRPr="004738E4">
        <w:rPr>
          <w:rFonts w:ascii="Times New Roman" w:hAnsi="Times New Roman" w:cs="Times New Roman"/>
          <w:sz w:val="24"/>
          <w:szCs w:val="24"/>
        </w:rPr>
        <w:lastRenderedPageBreak/>
        <w:t xml:space="preserve">PCA, the greater the sex difference </w:t>
      </w:r>
      <w:r w:rsidR="005941EE" w:rsidRPr="004738E4">
        <w:rPr>
          <w:rFonts w:ascii="Times New Roman" w:hAnsi="Times New Roman" w:cs="Times New Roman"/>
          <w:noProof/>
          <w:sz w:val="24"/>
          <w:szCs w:val="24"/>
        </w:rPr>
        <w:t>(102)</w:t>
      </w:r>
      <w:r w:rsidRPr="004738E4">
        <w:rPr>
          <w:rFonts w:ascii="Times New Roman" w:hAnsi="Times New Roman" w:cs="Times New Roman"/>
          <w:sz w:val="24"/>
          <w:szCs w:val="24"/>
        </w:rPr>
        <w:t xml:space="preserve">. The lower opioid consumption among women reported in PCA studies after surgery may partially reflect the greater frequency of side effects among women (see below; </w:t>
      </w:r>
      <w:r w:rsidR="005941EE" w:rsidRPr="004738E4">
        <w:rPr>
          <w:rFonts w:ascii="Times New Roman" w:hAnsi="Times New Roman" w:cs="Times New Roman"/>
          <w:noProof/>
          <w:sz w:val="24"/>
          <w:szCs w:val="24"/>
        </w:rPr>
        <w:t>(103)</w:t>
      </w:r>
      <w:r w:rsidR="00B9787C" w:rsidRPr="004738E4">
        <w:rPr>
          <w:rFonts w:ascii="Times New Roman" w:hAnsi="Times New Roman" w:cs="Times New Roman"/>
          <w:noProof/>
          <w:sz w:val="24"/>
          <w:szCs w:val="24"/>
        </w:rPr>
        <w:t>)</w:t>
      </w:r>
      <w:r w:rsidRPr="004738E4">
        <w:rPr>
          <w:rFonts w:ascii="Times New Roman" w:hAnsi="Times New Roman" w:cs="Times New Roman"/>
          <w:sz w:val="24"/>
          <w:szCs w:val="24"/>
        </w:rPr>
        <w:t xml:space="preserve">. Elderly women had higher incidences of nausea, vomiting, vertigo, inappropriate sensory and motor blockages, as well as experiencing more pain in bed rest and daily activities during PCA. Elderly men had more pain experience while coughing but had higher satisfactions to PCA </w:t>
      </w:r>
      <w:r w:rsidR="005941EE" w:rsidRPr="004738E4">
        <w:rPr>
          <w:rFonts w:ascii="Times New Roman" w:hAnsi="Times New Roman" w:cs="Times New Roman"/>
          <w:noProof/>
          <w:sz w:val="24"/>
          <w:szCs w:val="24"/>
        </w:rPr>
        <w:t>(104)</w:t>
      </w:r>
      <w:r w:rsidRPr="004738E4">
        <w:rPr>
          <w:rFonts w:ascii="Times New Roman" w:hAnsi="Times New Roman" w:cs="Times New Roman"/>
          <w:sz w:val="24"/>
          <w:szCs w:val="24"/>
        </w:rPr>
        <w:t xml:space="preserve">. </w:t>
      </w:r>
    </w:p>
    <w:p w14:paraId="4205E299" w14:textId="4E6754D6" w:rsidR="00D7060A" w:rsidRPr="004738E4" w:rsidRDefault="00D7060A" w:rsidP="003406EE">
      <w:pPr>
        <w:autoSpaceDE w:val="0"/>
        <w:autoSpaceDN w:val="0"/>
        <w:adjustRightInd w:val="0"/>
        <w:spacing w:after="0" w:line="480" w:lineRule="auto"/>
        <w:ind w:left="40" w:firstLine="680"/>
        <w:contextualSpacing/>
        <w:jc w:val="both"/>
        <w:rPr>
          <w:rFonts w:ascii="Times New Roman" w:hAnsi="Times New Roman" w:cs="Times New Roman"/>
          <w:bCs/>
          <w:sz w:val="24"/>
          <w:szCs w:val="24"/>
        </w:rPr>
      </w:pPr>
      <w:r w:rsidRPr="004738E4">
        <w:rPr>
          <w:rFonts w:ascii="Times New Roman" w:hAnsi="Times New Roman" w:cs="Times New Roman"/>
          <w:sz w:val="24"/>
          <w:szCs w:val="24"/>
          <w:u w:val="single"/>
        </w:rPr>
        <w:t>Morphine</w:t>
      </w:r>
      <w:r w:rsidRPr="004738E4">
        <w:rPr>
          <w:rFonts w:ascii="Times New Roman" w:hAnsi="Times New Roman" w:cs="Times New Roman"/>
          <w:sz w:val="24"/>
          <w:szCs w:val="24"/>
        </w:rPr>
        <w:t>. Peak plasma concentrations were 25%</w:t>
      </w:r>
      <w:r w:rsidRPr="004738E4">
        <w:rPr>
          <w:rFonts w:ascii="Times New Roman" w:hAnsi="Times New Roman" w:cs="Times New Roman"/>
          <w:spacing w:val="20"/>
          <w:sz w:val="24"/>
          <w:szCs w:val="24"/>
        </w:rPr>
        <w:t xml:space="preserve"> </w:t>
      </w:r>
      <w:r w:rsidRPr="004738E4">
        <w:rPr>
          <w:rFonts w:ascii="Times New Roman" w:hAnsi="Times New Roman" w:cs="Times New Roman"/>
          <w:sz w:val="24"/>
          <w:szCs w:val="24"/>
        </w:rPr>
        <w:t xml:space="preserve">higher in women than men, but this difference was eliminated when data were corrected for body weight </w:t>
      </w:r>
      <w:r w:rsidR="005941EE" w:rsidRPr="004738E4">
        <w:rPr>
          <w:rFonts w:ascii="Times New Roman" w:hAnsi="Times New Roman" w:cs="Times New Roman"/>
          <w:noProof/>
          <w:sz w:val="24"/>
          <w:szCs w:val="24"/>
        </w:rPr>
        <w:t>(105)</w:t>
      </w:r>
      <w:r w:rsidRPr="004738E4">
        <w:rPr>
          <w:rFonts w:ascii="Times New Roman" w:hAnsi="Times New Roman" w:cs="Times New Roman"/>
          <w:sz w:val="24"/>
          <w:szCs w:val="24"/>
        </w:rPr>
        <w:t xml:space="preserve">. In terms of the intended drug response to morphine and other opiates, repeatable sex differences exist in opiate-induced analgesia. Sarton et al. </w:t>
      </w:r>
      <w:r w:rsidR="005941EE" w:rsidRPr="004738E4">
        <w:rPr>
          <w:rFonts w:ascii="Times New Roman" w:hAnsi="Times New Roman" w:cs="Times New Roman"/>
          <w:noProof/>
          <w:sz w:val="24"/>
          <w:szCs w:val="24"/>
        </w:rPr>
        <w:t>(106)</w:t>
      </w:r>
      <w:r w:rsidRPr="004738E4">
        <w:rPr>
          <w:rFonts w:ascii="Times New Roman" w:hAnsi="Times New Roman" w:cs="Times New Roman"/>
          <w:sz w:val="24"/>
          <w:szCs w:val="24"/>
        </w:rPr>
        <w:t xml:space="preserve"> documented</w:t>
      </w:r>
      <w:r w:rsidRPr="004738E4">
        <w:rPr>
          <w:rFonts w:ascii="Times New Roman" w:hAnsi="Times New Roman" w:cs="Times New Roman"/>
          <w:b/>
          <w:bCs/>
          <w:sz w:val="24"/>
          <w:szCs w:val="24"/>
        </w:rPr>
        <w:t xml:space="preserve"> </w:t>
      </w:r>
      <w:r w:rsidRPr="004738E4">
        <w:rPr>
          <w:rFonts w:ascii="Times New Roman" w:hAnsi="Times New Roman" w:cs="Times New Roman"/>
          <w:bCs/>
          <w:sz w:val="24"/>
          <w:szCs w:val="24"/>
        </w:rPr>
        <w:t>a</w:t>
      </w:r>
      <w:r w:rsidRPr="004738E4">
        <w:rPr>
          <w:rFonts w:ascii="Times New Roman" w:hAnsi="Times New Roman" w:cs="Times New Roman"/>
          <w:b/>
          <w:bCs/>
          <w:sz w:val="24"/>
          <w:szCs w:val="24"/>
        </w:rPr>
        <w:t xml:space="preserve"> </w:t>
      </w:r>
      <w:r w:rsidRPr="004738E4">
        <w:rPr>
          <w:rFonts w:ascii="Times New Roman" w:hAnsi="Times New Roman" w:cs="Times New Roman"/>
          <w:bCs/>
          <w:sz w:val="24"/>
          <w:szCs w:val="24"/>
        </w:rPr>
        <w:t xml:space="preserve">slower speed of onset and offset in morphine-induced analgesia, but a greater potency in women. </w:t>
      </w:r>
      <w:r w:rsidRPr="004738E4">
        <w:rPr>
          <w:rFonts w:ascii="Times New Roman" w:hAnsi="Times New Roman" w:cs="Times New Roman"/>
          <w:sz w:val="24"/>
          <w:szCs w:val="24"/>
        </w:rPr>
        <w:t xml:space="preserve">Similar results were obtained for pain threshold and pain tolerance. </w:t>
      </w:r>
      <w:r w:rsidRPr="004738E4">
        <w:rPr>
          <w:rFonts w:ascii="Times New Roman" w:hAnsi="Times New Roman" w:cs="Times New Roman"/>
          <w:bCs/>
          <w:sz w:val="24"/>
          <w:szCs w:val="24"/>
        </w:rPr>
        <w:t>Women experienced more severe postoperative pain and required a</w:t>
      </w:r>
      <w:r w:rsidRPr="004738E4">
        <w:rPr>
          <w:rFonts w:ascii="Times New Roman" w:hAnsi="Times New Roman" w:cs="Times New Roman"/>
          <w:b/>
          <w:bCs/>
          <w:sz w:val="24"/>
          <w:szCs w:val="24"/>
        </w:rPr>
        <w:t xml:space="preserve"> </w:t>
      </w:r>
      <w:r w:rsidRPr="004738E4">
        <w:rPr>
          <w:rFonts w:ascii="Times New Roman" w:hAnsi="Times New Roman" w:cs="Times New Roman"/>
          <w:bCs/>
          <w:sz w:val="24"/>
          <w:szCs w:val="24"/>
        </w:rPr>
        <w:t>greater dose (</w:t>
      </w:r>
      <w:r w:rsidRPr="004738E4">
        <w:rPr>
          <w:rFonts w:ascii="Times New Roman" w:hAnsi="Times New Roman" w:cs="Times New Roman"/>
          <w:sz w:val="24"/>
          <w:szCs w:val="24"/>
        </w:rPr>
        <w:t>+</w:t>
      </w:r>
      <w:r w:rsidRPr="004738E4">
        <w:rPr>
          <w:rFonts w:ascii="Times New Roman" w:hAnsi="Times New Roman" w:cs="Times New Roman"/>
          <w:bCs/>
          <w:sz w:val="24"/>
          <w:szCs w:val="24"/>
        </w:rPr>
        <w:t xml:space="preserve">11%) of morphine than men in the immediate postoperative period. This sex-related difference was not present in elderly patients </w:t>
      </w:r>
      <w:r w:rsidR="005941EE" w:rsidRPr="004738E4">
        <w:rPr>
          <w:rFonts w:ascii="Times New Roman" w:hAnsi="Times New Roman" w:cs="Times New Roman"/>
          <w:bCs/>
          <w:noProof/>
          <w:sz w:val="24"/>
          <w:szCs w:val="24"/>
        </w:rPr>
        <w:t>(107)</w:t>
      </w:r>
      <w:r w:rsidRPr="004738E4">
        <w:rPr>
          <w:rFonts w:ascii="Times New Roman" w:hAnsi="Times New Roman" w:cs="Times New Roman"/>
          <w:bCs/>
          <w:sz w:val="24"/>
          <w:szCs w:val="24"/>
        </w:rPr>
        <w:t xml:space="preserve">. </w:t>
      </w:r>
    </w:p>
    <w:p w14:paraId="76D2EBE8" w14:textId="6DAE7CB3" w:rsidR="00D7060A" w:rsidRPr="004738E4" w:rsidRDefault="00D7060A" w:rsidP="003406EE">
      <w:pPr>
        <w:autoSpaceDE w:val="0"/>
        <w:autoSpaceDN w:val="0"/>
        <w:adjustRightInd w:val="0"/>
        <w:spacing w:after="0" w:line="480" w:lineRule="auto"/>
        <w:ind w:left="40" w:firstLine="680"/>
        <w:contextualSpacing/>
        <w:jc w:val="both"/>
        <w:rPr>
          <w:rFonts w:ascii="Times New Roman" w:hAnsi="Times New Roman" w:cs="Times New Roman"/>
          <w:sz w:val="24"/>
          <w:szCs w:val="24"/>
        </w:rPr>
      </w:pPr>
      <w:r w:rsidRPr="004738E4">
        <w:rPr>
          <w:rFonts w:ascii="Times New Roman" w:hAnsi="Times New Roman" w:cs="Times New Roman"/>
          <w:sz w:val="24"/>
          <w:szCs w:val="24"/>
        </w:rPr>
        <w:t xml:space="preserve">Sex differences in ADRs to opiates are widespread. Respiratory depression is a greater risk in females: a bolus of 100 µg/kg morphine, followed by a continuous infusion of 30 </w:t>
      </w:r>
      <w:r w:rsidRPr="004738E4">
        <w:rPr>
          <w:rFonts w:ascii="Times New Roman" w:hAnsi="Times New Roman" w:cs="Times New Roman"/>
          <w:i/>
          <w:iCs/>
          <w:sz w:val="24"/>
          <w:szCs w:val="24"/>
        </w:rPr>
        <w:t>µg</w:t>
      </w:r>
      <w:r w:rsidRPr="004738E4">
        <w:rPr>
          <w:rFonts w:ascii="Times New Roman" w:hAnsi="Times New Roman" w:cs="Times New Roman"/>
          <w:sz w:val="24"/>
          <w:szCs w:val="24"/>
        </w:rPr>
        <w:t>/kg/h, reduced the slope of the ventilatory response to CO</w:t>
      </w:r>
      <w:r w:rsidRPr="004738E4">
        <w:rPr>
          <w:rFonts w:ascii="Times New Roman" w:hAnsi="Times New Roman" w:cs="Times New Roman"/>
          <w:sz w:val="24"/>
          <w:szCs w:val="24"/>
          <w:vertAlign w:val="subscript"/>
        </w:rPr>
        <w:t>2</w:t>
      </w:r>
      <w:r w:rsidRPr="004738E4">
        <w:rPr>
          <w:rFonts w:ascii="Times New Roman" w:hAnsi="Times New Roman" w:cs="Times New Roman"/>
          <w:sz w:val="24"/>
          <w:szCs w:val="24"/>
        </w:rPr>
        <w:t xml:space="preserve"> in women but not in men. Morphine decreased hypoxic sensitivity in women but not in men</w:t>
      </w:r>
      <w:r w:rsidRPr="004738E4">
        <w:rPr>
          <w:rFonts w:ascii="Times New Roman" w:hAnsi="Times New Roman" w:cs="Times New Roman"/>
          <w:spacing w:val="2"/>
          <w:sz w:val="24"/>
          <w:szCs w:val="24"/>
        </w:rPr>
        <w:t>.</w:t>
      </w:r>
      <w:r w:rsidRPr="004738E4">
        <w:rPr>
          <w:rFonts w:ascii="Times New Roman" w:hAnsi="Times New Roman" w:cs="Times New Roman"/>
          <w:sz w:val="24"/>
          <w:szCs w:val="24"/>
        </w:rPr>
        <w:t xml:space="preserve"> </w:t>
      </w:r>
      <w:r w:rsidRPr="004738E4">
        <w:rPr>
          <w:rFonts w:ascii="Times New Roman" w:hAnsi="Times New Roman" w:cs="Times New Roman"/>
          <w:noProof/>
          <w:position w:val="-2"/>
          <w:sz w:val="24"/>
          <w:szCs w:val="24"/>
        </w:rPr>
        <mc:AlternateContent>
          <mc:Choice Requires="wps">
            <w:drawing>
              <wp:inline distT="0" distB="0" distL="0" distR="0" wp14:anchorId="6BEA2F83" wp14:editId="122D9ED7">
                <wp:extent cx="22225" cy="64135"/>
                <wp:effectExtent l="0" t="0" r="0" b="25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 cy="6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863B" w14:textId="77777777" w:rsidR="00642BBF" w:rsidRDefault="00642BBF" w:rsidP="00D7060A">
                            <w:pPr>
                              <w:pStyle w:val="BodyText"/>
                              <w:kinsoku w:val="0"/>
                              <w:overflowPunct w:val="0"/>
                              <w:spacing w:line="100" w:lineRule="exact"/>
                              <w:rPr>
                                <w:color w:val="676669"/>
                                <w:w w:val="108"/>
                                <w:sz w:val="9"/>
                                <w:szCs w:val="9"/>
                              </w:rPr>
                            </w:pPr>
                            <w:r>
                              <w:rPr>
                                <w:color w:val="676669"/>
                                <w:w w:val="108"/>
                                <w:sz w:val="9"/>
                                <w:szCs w:val="9"/>
                              </w:rPr>
                              <w:t>•</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EA2F83" id="_x0000_t202" coordsize="21600,21600" o:spt="202" path="m,l,21600r21600,l21600,xe">
                <v:stroke joinstyle="miter"/>
                <v:path gradientshapeok="t" o:connecttype="rect"/>
              </v:shapetype>
              <v:shape id="Text Box 2" o:spid="_x0000_s1026" type="#_x0000_t202" style="width:1.75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" filled="f" stroked="f">
                <v:textbox inset="0,0,0,0">
                  <w:txbxContent>
                    <w:p w14:paraId="2476863B" w14:textId="77777777" w:rsidR="00642BBF" w:rsidRDefault="00642BBF" w:rsidP="00D7060A">
                      <w:pPr>
                        <w:pStyle w:val="BodyText"/>
                        <w:kinsoku w:val="0"/>
                        <w:overflowPunct w:val="0"/>
                        <w:spacing w:line="100" w:lineRule="exact"/>
                        <w:rPr>
                          <w:color w:val="676669"/>
                          <w:w w:val="108"/>
                          <w:sz w:val="9"/>
                          <w:szCs w:val="9"/>
                        </w:rPr>
                      </w:pPr>
                      <w:r>
                        <w:rPr>
                          <w:color w:val="676669"/>
                          <w:w w:val="108"/>
                          <w:sz w:val="9"/>
                          <w:szCs w:val="9"/>
                        </w:rPr>
                        <w:t>•</w:t>
                      </w:r>
                    </w:p>
                  </w:txbxContent>
                </v:textbox>
                <w10:anchorlock/>
              </v:shape>
            </w:pict>
          </mc:Fallback>
        </mc:AlternateContent>
      </w:r>
      <w:r w:rsidRPr="004738E4">
        <w:rPr>
          <w:rFonts w:ascii="Times New Roman" w:hAnsi="Times New Roman" w:cs="Times New Roman"/>
          <w:sz w:val="24"/>
          <w:szCs w:val="24"/>
        </w:rPr>
        <w:t xml:space="preserve">Neither inclusion of body surface area, nor correction for body fat by using it as a covariate eliminated these sex differences in morphine-induced respiratory effects </w:t>
      </w:r>
      <w:r w:rsidR="005941EE" w:rsidRPr="004738E4">
        <w:rPr>
          <w:rFonts w:ascii="Times New Roman" w:hAnsi="Times New Roman" w:cs="Times New Roman"/>
          <w:noProof/>
          <w:sz w:val="24"/>
          <w:szCs w:val="24"/>
        </w:rPr>
        <w:t>(108)</w:t>
      </w:r>
      <w:r w:rsidRPr="004738E4">
        <w:rPr>
          <w:rFonts w:ascii="Times New Roman" w:hAnsi="Times New Roman" w:cs="Times New Roman"/>
          <w:sz w:val="24"/>
          <w:szCs w:val="24"/>
        </w:rPr>
        <w:t xml:space="preserve">. </w:t>
      </w:r>
    </w:p>
    <w:p w14:paraId="14B12BCE" w14:textId="2C65EF72" w:rsidR="00D7060A" w:rsidRPr="004738E4" w:rsidRDefault="00D7060A" w:rsidP="003406EE">
      <w:pPr>
        <w:autoSpaceDE w:val="0"/>
        <w:autoSpaceDN w:val="0"/>
        <w:adjustRightInd w:val="0"/>
        <w:spacing w:after="0" w:line="480" w:lineRule="auto"/>
        <w:ind w:left="40" w:firstLine="680"/>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rPr>
        <w:t>M</w:t>
      </w:r>
      <w:r w:rsidRPr="004738E4">
        <w:rPr>
          <w:rFonts w:ascii="Times New Roman" w:hAnsi="Times New Roman" w:cs="Times New Roman"/>
          <w:bCs/>
          <w:sz w:val="24"/>
          <w:szCs w:val="24"/>
        </w:rPr>
        <w:t xml:space="preserve">orphine attenuated cardiovascular reactivity in an ischemic pain task in men but not in women; women were also significantly more likely to experience </w:t>
      </w:r>
      <w:r w:rsidRPr="004738E4">
        <w:rPr>
          <w:rFonts w:ascii="Times New Roman" w:hAnsi="Times New Roman" w:cs="Times New Roman"/>
          <w:sz w:val="24"/>
          <w:szCs w:val="24"/>
        </w:rPr>
        <w:t xml:space="preserve">emesis and nausea after taking morphine </w:t>
      </w:r>
      <w:r w:rsidR="005941EE" w:rsidRPr="004738E4">
        <w:rPr>
          <w:rFonts w:ascii="Times New Roman" w:hAnsi="Times New Roman" w:cs="Times New Roman"/>
          <w:noProof/>
          <w:sz w:val="24"/>
          <w:szCs w:val="24"/>
        </w:rPr>
        <w:t>(109)</w:t>
      </w:r>
      <w:r w:rsidRPr="004738E4">
        <w:rPr>
          <w:rFonts w:ascii="Times New Roman" w:hAnsi="Times New Roman" w:cs="Times New Roman"/>
          <w:sz w:val="24"/>
          <w:szCs w:val="24"/>
        </w:rPr>
        <w:t xml:space="preserve">, and more likely to manifest respiratory depression after morphine treatment </w:t>
      </w:r>
      <w:r w:rsidR="005941EE" w:rsidRPr="004738E4">
        <w:rPr>
          <w:rFonts w:ascii="Times New Roman" w:hAnsi="Times New Roman" w:cs="Times New Roman"/>
          <w:noProof/>
          <w:sz w:val="24"/>
          <w:szCs w:val="24"/>
        </w:rPr>
        <w:lastRenderedPageBreak/>
        <w:t>(108)</w:t>
      </w:r>
      <w:r w:rsidRPr="004738E4">
        <w:rPr>
          <w:rFonts w:ascii="Times New Roman" w:hAnsi="Times New Roman" w:cs="Times New Roman"/>
          <w:sz w:val="24"/>
          <w:szCs w:val="24"/>
        </w:rPr>
        <w:t xml:space="preserve">. Following </w:t>
      </w:r>
      <w:r w:rsidRPr="004738E4">
        <w:rPr>
          <w:rFonts w:ascii="Times New Roman" w:hAnsi="Times New Roman" w:cs="Times New Roman"/>
          <w:bCs/>
          <w:sz w:val="24"/>
          <w:szCs w:val="24"/>
        </w:rPr>
        <w:t xml:space="preserve">a dose of </w:t>
      </w:r>
      <w:r w:rsidRPr="004738E4">
        <w:rPr>
          <w:rFonts w:ascii="Times New Roman" w:hAnsi="Times New Roman" w:cs="Times New Roman"/>
          <w:sz w:val="24"/>
          <w:szCs w:val="24"/>
        </w:rPr>
        <w:t>0.08 mg/kg morphine (i.e., corrected for body weight) women reported greater frequency of negative side effects than men</w:t>
      </w:r>
      <w:r w:rsidRPr="004738E4">
        <w:rPr>
          <w:rFonts w:ascii="Times New Roman" w:hAnsi="Times New Roman" w:cs="Times New Roman"/>
          <w:bCs/>
          <w:sz w:val="24"/>
          <w:szCs w:val="24"/>
        </w:rPr>
        <w:t xml:space="preserve"> </w:t>
      </w:r>
      <w:r w:rsidR="005941EE" w:rsidRPr="004738E4">
        <w:rPr>
          <w:rFonts w:ascii="Times New Roman" w:hAnsi="Times New Roman" w:cs="Times New Roman"/>
          <w:bCs/>
          <w:noProof/>
          <w:sz w:val="24"/>
          <w:szCs w:val="24"/>
        </w:rPr>
        <w:t>(110)</w:t>
      </w:r>
      <w:r w:rsidRPr="004738E4">
        <w:rPr>
          <w:rFonts w:ascii="Times New Roman" w:hAnsi="Times New Roman" w:cs="Times New Roman"/>
          <w:bCs/>
          <w:sz w:val="24"/>
          <w:szCs w:val="24"/>
        </w:rPr>
        <w:t>. Women report feeling</w:t>
      </w:r>
      <w:r w:rsidRPr="004738E4">
        <w:rPr>
          <w:rFonts w:ascii="Times New Roman" w:hAnsi="Times New Roman" w:cs="Times New Roman"/>
          <w:sz w:val="24"/>
          <w:szCs w:val="24"/>
        </w:rPr>
        <w:t xml:space="preserve"> more ‘spaced out’, ‘heavy’ and ‘sluggish’ than men after comparable morphine treatments </w:t>
      </w:r>
      <w:r w:rsidR="005941EE" w:rsidRPr="004738E4">
        <w:rPr>
          <w:rFonts w:ascii="Times New Roman" w:hAnsi="Times New Roman" w:cs="Times New Roman"/>
          <w:noProof/>
          <w:sz w:val="24"/>
          <w:szCs w:val="24"/>
        </w:rPr>
        <w:t>(111)</w:t>
      </w:r>
      <w:r w:rsidRPr="004738E4">
        <w:rPr>
          <w:rFonts w:ascii="Times New Roman" w:hAnsi="Times New Roman" w:cs="Times New Roman"/>
          <w:sz w:val="24"/>
          <w:szCs w:val="24"/>
        </w:rPr>
        <w:t xml:space="preserve">. The incidence of respiratory depression (52% vs 32%) and postoperative nausea and vomiting (43% vs 4%) were higher in girls than boys with perioperative morphine doses </w:t>
      </w:r>
      <w:r w:rsidR="00AD688C" w:rsidRPr="004738E4">
        <w:rPr>
          <w:rFonts w:ascii="Times New Roman" w:hAnsi="Times New Roman" w:cs="Times New Roman"/>
          <w:sz w:val="24"/>
          <w:szCs w:val="24"/>
        </w:rPr>
        <w:t>≥</w:t>
      </w:r>
      <w:r w:rsidRPr="004738E4">
        <w:rPr>
          <w:rFonts w:ascii="Times New Roman" w:hAnsi="Times New Roman" w:cs="Times New Roman"/>
          <w:sz w:val="24"/>
          <w:szCs w:val="24"/>
        </w:rPr>
        <w:t xml:space="preserve">0.3 mg/kg </w:t>
      </w:r>
      <w:r w:rsidR="005941EE" w:rsidRPr="004738E4">
        <w:rPr>
          <w:rFonts w:ascii="Times New Roman" w:hAnsi="Times New Roman" w:cs="Times New Roman"/>
          <w:noProof/>
          <w:sz w:val="24"/>
          <w:szCs w:val="24"/>
        </w:rPr>
        <w:t>(112)</w:t>
      </w:r>
      <w:r w:rsidRPr="004738E4">
        <w:rPr>
          <w:rFonts w:ascii="Times New Roman" w:hAnsi="Times New Roman" w:cs="Times New Roman"/>
          <w:sz w:val="24"/>
          <w:szCs w:val="24"/>
        </w:rPr>
        <w:t xml:space="preserve">. </w:t>
      </w:r>
    </w:p>
    <w:p w14:paraId="384AA02F" w14:textId="690B3C59" w:rsidR="00D7060A" w:rsidRPr="004738E4" w:rsidRDefault="00D7060A" w:rsidP="003406EE">
      <w:pPr>
        <w:kinsoku w:val="0"/>
        <w:overflowPunct w:val="0"/>
        <w:autoSpaceDE w:val="0"/>
        <w:autoSpaceDN w:val="0"/>
        <w:adjustRightInd w:val="0"/>
        <w:spacing w:after="0" w:line="480" w:lineRule="auto"/>
        <w:ind w:left="40" w:right="110" w:firstLine="765"/>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Oxycodone and related opiates</w:t>
      </w:r>
      <w:r w:rsidRPr="004738E4">
        <w:rPr>
          <w:rFonts w:ascii="Times New Roman" w:hAnsi="Times New Roman" w:cs="Times New Roman"/>
          <w:sz w:val="24"/>
          <w:szCs w:val="24"/>
        </w:rPr>
        <w:t xml:space="preserve">. Plasma OxyNorm (oxycodone) concentrations are 25% higher in women than men, even when adjusted for body weight, (OxyNorm product information). The product insert states that “…prolonged use of opioids may result in impairment of reproductive function, including fertility and sexual dysfunction in both sexes, and irregular menses in women,” (p. 4), yet incongruously concludes that “…no significant male/female differences [were] detected for efficacy or adverse events in clinical trials.” (p. 6) Women were more sensitive to the positive subjective effects of oxycodone than men </w:t>
      </w:r>
      <w:r w:rsidR="005941EE" w:rsidRPr="004738E4">
        <w:rPr>
          <w:rFonts w:ascii="Times New Roman" w:hAnsi="Times New Roman" w:cs="Times New Roman"/>
          <w:noProof/>
          <w:sz w:val="24"/>
          <w:szCs w:val="24"/>
        </w:rPr>
        <w:t>(113)</w:t>
      </w:r>
      <w:r w:rsidRPr="004738E4">
        <w:rPr>
          <w:rFonts w:ascii="Times New Roman" w:hAnsi="Times New Roman" w:cs="Times New Roman"/>
          <w:sz w:val="24"/>
          <w:szCs w:val="24"/>
        </w:rPr>
        <w:t xml:space="preserve">.  </w:t>
      </w:r>
      <w:r w:rsidRPr="004738E4">
        <w:rPr>
          <w:rFonts w:ascii="Times New Roman" w:hAnsi="Times New Roman" w:cs="Times New Roman"/>
          <w:spacing w:val="-3"/>
          <w:sz w:val="24"/>
          <w:szCs w:val="24"/>
        </w:rPr>
        <w:t>Women also</w:t>
      </w:r>
      <w:r w:rsidRPr="004738E4">
        <w:rPr>
          <w:rFonts w:ascii="Times New Roman" w:hAnsi="Times New Roman" w:cs="Times New Roman"/>
          <w:sz w:val="24"/>
          <w:szCs w:val="24"/>
        </w:rPr>
        <w:t xml:space="preserve"> experienced </w:t>
      </w:r>
      <w:r w:rsidRPr="004738E4">
        <w:rPr>
          <w:rFonts w:ascii="Times New Roman" w:hAnsi="Times New Roman" w:cs="Times New Roman"/>
          <w:spacing w:val="2"/>
          <w:sz w:val="24"/>
          <w:szCs w:val="24"/>
        </w:rPr>
        <w:t>significantly more oxymorphone-r</w:t>
      </w:r>
      <w:r w:rsidRPr="004738E4">
        <w:rPr>
          <w:rFonts w:ascii="Times New Roman" w:hAnsi="Times New Roman" w:cs="Times New Roman"/>
          <w:sz w:val="24"/>
          <w:szCs w:val="24"/>
        </w:rPr>
        <w:t>elated</w:t>
      </w:r>
      <w:r w:rsidRPr="004738E4">
        <w:rPr>
          <w:rFonts w:ascii="Times New Roman" w:hAnsi="Times New Roman" w:cs="Times New Roman"/>
          <w:spacing w:val="-15"/>
          <w:sz w:val="24"/>
          <w:szCs w:val="24"/>
        </w:rPr>
        <w:t xml:space="preserve"> </w:t>
      </w:r>
      <w:r w:rsidRPr="004738E4">
        <w:rPr>
          <w:rFonts w:ascii="Times New Roman" w:hAnsi="Times New Roman" w:cs="Times New Roman"/>
          <w:sz w:val="24"/>
          <w:szCs w:val="24"/>
        </w:rPr>
        <w:t>nausea</w:t>
      </w:r>
      <w:r w:rsidRPr="004738E4">
        <w:rPr>
          <w:rFonts w:ascii="Times New Roman" w:hAnsi="Times New Roman" w:cs="Times New Roman"/>
          <w:spacing w:val="-15"/>
          <w:sz w:val="24"/>
          <w:szCs w:val="24"/>
        </w:rPr>
        <w:t xml:space="preserve"> </w:t>
      </w:r>
      <w:r w:rsidRPr="004738E4">
        <w:rPr>
          <w:rFonts w:ascii="Times New Roman" w:hAnsi="Times New Roman" w:cs="Times New Roman"/>
          <w:sz w:val="24"/>
          <w:szCs w:val="24"/>
        </w:rPr>
        <w:t>(24%</w:t>
      </w:r>
      <w:r w:rsidRPr="004738E4">
        <w:rPr>
          <w:rFonts w:ascii="Times New Roman" w:hAnsi="Times New Roman" w:cs="Times New Roman"/>
          <w:spacing w:val="-15"/>
          <w:sz w:val="24"/>
          <w:szCs w:val="24"/>
        </w:rPr>
        <w:t xml:space="preserve"> vs. </w:t>
      </w:r>
      <w:r w:rsidRPr="004738E4">
        <w:rPr>
          <w:rFonts w:ascii="Times New Roman" w:hAnsi="Times New Roman" w:cs="Times New Roman"/>
          <w:sz w:val="24"/>
          <w:szCs w:val="24"/>
        </w:rPr>
        <w:t>12%) and</w:t>
      </w:r>
      <w:r w:rsidRPr="004738E4">
        <w:rPr>
          <w:rFonts w:ascii="Times New Roman" w:hAnsi="Times New Roman" w:cs="Times New Roman"/>
          <w:spacing w:val="-18"/>
          <w:sz w:val="24"/>
          <w:szCs w:val="24"/>
        </w:rPr>
        <w:t xml:space="preserve"> </w:t>
      </w:r>
      <w:r w:rsidRPr="004738E4">
        <w:rPr>
          <w:rFonts w:ascii="Times New Roman" w:hAnsi="Times New Roman" w:cs="Times New Roman"/>
          <w:sz w:val="24"/>
          <w:szCs w:val="24"/>
        </w:rPr>
        <w:t>pruritus</w:t>
      </w:r>
      <w:r w:rsidRPr="004738E4">
        <w:rPr>
          <w:rFonts w:ascii="Times New Roman" w:hAnsi="Times New Roman" w:cs="Times New Roman"/>
          <w:spacing w:val="-19"/>
          <w:sz w:val="24"/>
          <w:szCs w:val="24"/>
        </w:rPr>
        <w:t xml:space="preserve"> </w:t>
      </w:r>
      <w:r w:rsidRPr="004738E4">
        <w:rPr>
          <w:rFonts w:ascii="Times New Roman" w:hAnsi="Times New Roman" w:cs="Times New Roman"/>
          <w:sz w:val="24"/>
          <w:szCs w:val="24"/>
        </w:rPr>
        <w:t>(9%</w:t>
      </w:r>
      <w:r w:rsidRPr="004738E4">
        <w:rPr>
          <w:rFonts w:ascii="Times New Roman" w:hAnsi="Times New Roman" w:cs="Times New Roman"/>
          <w:spacing w:val="-19"/>
          <w:sz w:val="24"/>
          <w:szCs w:val="24"/>
        </w:rPr>
        <w:t xml:space="preserve"> </w:t>
      </w:r>
      <w:r w:rsidRPr="004738E4">
        <w:rPr>
          <w:rFonts w:ascii="Times New Roman" w:hAnsi="Times New Roman" w:cs="Times New Roman"/>
          <w:spacing w:val="-5"/>
          <w:sz w:val="24"/>
          <w:szCs w:val="24"/>
        </w:rPr>
        <w:t xml:space="preserve">vs. </w:t>
      </w:r>
      <w:r w:rsidRPr="004738E4">
        <w:rPr>
          <w:rFonts w:ascii="Times New Roman" w:hAnsi="Times New Roman" w:cs="Times New Roman"/>
          <w:sz w:val="24"/>
          <w:szCs w:val="24"/>
        </w:rPr>
        <w:t xml:space="preserve">5%) than men, and in oxycodone-experienced patients, successful titration for chronic low back pain was achieved less frequently by women compared with men (35% vs. 56%; </w:t>
      </w:r>
      <w:r w:rsidR="005941EE" w:rsidRPr="004738E4">
        <w:rPr>
          <w:rFonts w:ascii="Times New Roman" w:hAnsi="Times New Roman" w:cs="Times New Roman"/>
          <w:noProof/>
          <w:sz w:val="24"/>
          <w:szCs w:val="24"/>
        </w:rPr>
        <w:t>(114)</w:t>
      </w:r>
      <w:r w:rsidRPr="004738E4">
        <w:rPr>
          <w:rFonts w:ascii="Times New Roman" w:hAnsi="Times New Roman" w:cs="Times New Roman"/>
          <w:sz w:val="24"/>
          <w:szCs w:val="24"/>
        </w:rPr>
        <w:t>). Functional impairment, psychiatric severity, and higher likelihood of using opioids to cope with negative affect and pain were all significantly greater in women than men for oxycodone and hydrocodone</w:t>
      </w:r>
      <w:r w:rsidR="00F56DD7"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(115)</w:t>
      </w:r>
      <w:r w:rsidRPr="004738E4">
        <w:rPr>
          <w:rFonts w:ascii="Times New Roman" w:hAnsi="Times New Roman" w:cs="Times New Roman"/>
          <w:sz w:val="24"/>
          <w:szCs w:val="24"/>
        </w:rPr>
        <w:t xml:space="preserve">. </w:t>
      </w:r>
    </w:p>
    <w:p w14:paraId="17797DDA" w14:textId="5F2A3AD0" w:rsidR="00D7060A" w:rsidRPr="004738E4" w:rsidRDefault="00D7060A" w:rsidP="003406EE">
      <w:pPr>
        <w:autoSpaceDE w:val="0"/>
        <w:autoSpaceDN w:val="0"/>
        <w:adjustRightInd w:val="0"/>
        <w:spacing w:after="0" w:line="480" w:lineRule="auto"/>
        <w:ind w:left="40" w:firstLine="68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Buprenorphine</w:t>
      </w:r>
      <w:r w:rsidRPr="004738E4">
        <w:rPr>
          <w:rFonts w:ascii="Times New Roman" w:hAnsi="Times New Roman" w:cs="Times New Roman"/>
          <w:sz w:val="24"/>
          <w:szCs w:val="24"/>
        </w:rPr>
        <w:t>. Women have signiﬁcantly higher AUC (58.4 vs. 41.9 ng</w:t>
      </w:r>
      <w:r w:rsidR="00A079DA" w:rsidRPr="004738E4">
        <w:rPr>
          <w:rFonts w:ascii="Times New Roman" w:hAnsi="Times New Roman" w:cs="Times New Roman"/>
          <w:sz w:val="24"/>
          <w:szCs w:val="24"/>
        </w:rPr>
        <w:t>·</w:t>
      </w:r>
      <w:r w:rsidRPr="004738E4">
        <w:rPr>
          <w:rFonts w:ascii="Times New Roman" w:hAnsi="Times New Roman" w:cs="Times New Roman"/>
          <w:sz w:val="24"/>
          <w:szCs w:val="24"/>
        </w:rPr>
        <w:t>h/</w:t>
      </w:r>
      <w:r w:rsidR="00A079DA" w:rsidRPr="004738E4">
        <w:rPr>
          <w:rFonts w:ascii="Times New Roman" w:hAnsi="Times New Roman" w:cs="Times New Roman"/>
          <w:sz w:val="24"/>
          <w:szCs w:val="24"/>
        </w:rPr>
        <w:t>ml</w:t>
      </w:r>
      <w:r w:rsidRPr="004738E4">
        <w:rPr>
          <w:rFonts w:ascii="Times New Roman" w:hAnsi="Times New Roman" w:cs="Times New Roman"/>
          <w:sz w:val="24"/>
          <w:szCs w:val="24"/>
        </w:rPr>
        <w:t>) and C</w:t>
      </w:r>
      <w:r w:rsidRPr="004738E4">
        <w:rPr>
          <w:rFonts w:ascii="Times New Roman" w:hAnsi="Times New Roman" w:cs="Times New Roman"/>
          <w:sz w:val="24"/>
          <w:szCs w:val="24"/>
          <w:vertAlign w:val="subscript"/>
        </w:rPr>
        <w:t xml:space="preserve">max </w:t>
      </w:r>
      <w:r w:rsidRPr="004738E4">
        <w:rPr>
          <w:rFonts w:ascii="Times New Roman" w:hAnsi="Times New Roman" w:cs="Times New Roman"/>
          <w:sz w:val="24"/>
          <w:szCs w:val="24"/>
        </w:rPr>
        <w:t>(6.97 vs. 5.15) values</w:t>
      </w:r>
      <w:r w:rsidRPr="004738E4">
        <w:rPr>
          <w:rFonts w:ascii="Times New Roman" w:hAnsi="Times New Roman" w:cs="Times New Roman"/>
          <w:sz w:val="24"/>
          <w:szCs w:val="24"/>
          <w:vertAlign w:val="subscript"/>
        </w:rPr>
        <w:t xml:space="preserve"> </w:t>
      </w:r>
      <w:r w:rsidR="005941EE" w:rsidRPr="004738E4">
        <w:rPr>
          <w:rFonts w:ascii="Times New Roman" w:hAnsi="Times New Roman" w:cs="Times New Roman"/>
          <w:noProof/>
          <w:sz w:val="24"/>
          <w:szCs w:val="24"/>
        </w:rPr>
        <w:t>(116)</w:t>
      </w:r>
      <w:r w:rsidRPr="004738E4">
        <w:rPr>
          <w:rFonts w:ascii="Times New Roman" w:hAnsi="Times New Roman" w:cs="Times New Roman"/>
          <w:sz w:val="24"/>
          <w:szCs w:val="24"/>
        </w:rPr>
        <w:t>.  Women had a signiﬁcantly greater likelihood of reporting sleep disturbance</w:t>
      </w:r>
      <w:r w:rsidR="00F56DD7" w:rsidRPr="004738E4">
        <w:rPr>
          <w:rFonts w:ascii="Times New Roman" w:hAnsi="Times New Roman" w:cs="Times New Roman"/>
          <w:sz w:val="24"/>
          <w:szCs w:val="24"/>
        </w:rPr>
        <w:t>s</w:t>
      </w:r>
      <w:r w:rsidRPr="004738E4">
        <w:rPr>
          <w:rFonts w:ascii="Times New Roman" w:hAnsi="Times New Roman" w:cs="Times New Roman"/>
          <w:sz w:val="24"/>
          <w:szCs w:val="24"/>
        </w:rPr>
        <w:t xml:space="preserve"> than men </w:t>
      </w:r>
      <w:r w:rsidR="005941EE" w:rsidRPr="004738E4">
        <w:rPr>
          <w:rFonts w:ascii="Times New Roman" w:hAnsi="Times New Roman" w:cs="Times New Roman"/>
          <w:noProof/>
          <w:sz w:val="24"/>
          <w:szCs w:val="24"/>
        </w:rPr>
        <w:t>(117)</w:t>
      </w:r>
      <w:r w:rsidRPr="004738E4">
        <w:rPr>
          <w:rFonts w:ascii="Times New Roman" w:hAnsi="Times New Roman" w:cs="Times New Roman"/>
          <w:sz w:val="24"/>
          <w:szCs w:val="24"/>
        </w:rPr>
        <w:t>.</w:t>
      </w:r>
    </w:p>
    <w:p w14:paraId="14FC3C7C" w14:textId="168318A1" w:rsidR="00D7060A" w:rsidRPr="004738E4" w:rsidRDefault="00D7060A" w:rsidP="003406EE">
      <w:pPr>
        <w:kinsoku w:val="0"/>
        <w:overflowPunct w:val="0"/>
        <w:autoSpaceDE w:val="0"/>
        <w:autoSpaceDN w:val="0"/>
        <w:adjustRightInd w:val="0"/>
        <w:spacing w:after="0" w:line="480" w:lineRule="auto"/>
        <w:ind w:left="40" w:right="110" w:firstLine="765"/>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Tramadol</w:t>
      </w:r>
      <w:r w:rsidRPr="004738E4">
        <w:rPr>
          <w:rFonts w:ascii="Times New Roman" w:hAnsi="Times New Roman" w:cs="Times New Roman"/>
          <w:sz w:val="24"/>
          <w:szCs w:val="24"/>
        </w:rPr>
        <w:t xml:space="preserve">. A single oral dose induced a 12% higher peak concentration and a 35% higher AUC in women than men (product information for Tramal). The risk of treatment </w:t>
      </w:r>
      <w:r w:rsidRPr="004738E4">
        <w:rPr>
          <w:rFonts w:ascii="Times New Roman" w:hAnsi="Times New Roman" w:cs="Times New Roman"/>
          <w:sz w:val="24"/>
          <w:szCs w:val="24"/>
        </w:rPr>
        <w:lastRenderedPageBreak/>
        <w:t xml:space="preserve">cessation in response to Tramal, due to emergent adverse reactions was 2.2 times higher in women than men </w:t>
      </w:r>
      <w:r w:rsidR="005941EE" w:rsidRPr="004738E4">
        <w:rPr>
          <w:rFonts w:ascii="Times New Roman" w:hAnsi="Times New Roman" w:cs="Times New Roman"/>
          <w:noProof/>
          <w:sz w:val="24"/>
          <w:szCs w:val="24"/>
        </w:rPr>
        <w:t>(118)</w:t>
      </w:r>
      <w:r w:rsidRPr="004738E4">
        <w:rPr>
          <w:rFonts w:ascii="Times New Roman" w:hAnsi="Times New Roman" w:cs="Times New Roman"/>
          <w:sz w:val="24"/>
          <w:szCs w:val="24"/>
        </w:rPr>
        <w:t>.</w:t>
      </w:r>
    </w:p>
    <w:p w14:paraId="71BEB736" w14:textId="4E5B8397" w:rsidR="00D7060A" w:rsidRPr="004738E4" w:rsidRDefault="00D7060A" w:rsidP="003406EE">
      <w:pPr>
        <w:kinsoku w:val="0"/>
        <w:overflowPunct w:val="0"/>
        <w:autoSpaceDE w:val="0"/>
        <w:autoSpaceDN w:val="0"/>
        <w:adjustRightInd w:val="0"/>
        <w:spacing w:after="0" w:line="480" w:lineRule="auto"/>
        <w:ind w:right="108"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Zolmitriptan</w:t>
      </w:r>
      <w:r w:rsidRPr="004738E4">
        <w:rPr>
          <w:rFonts w:ascii="Times New Roman" w:hAnsi="Times New Roman" w:cs="Times New Roman"/>
          <w:sz w:val="24"/>
          <w:szCs w:val="24"/>
        </w:rPr>
        <w:t>. After oral dosing for the treatment of acute migraine,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and AUC were ~2 fold higher in women than men </w:t>
      </w:r>
      <w:r w:rsidR="005941EE" w:rsidRPr="004738E4">
        <w:rPr>
          <w:rFonts w:ascii="Times New Roman" w:hAnsi="Times New Roman" w:cs="Times New Roman"/>
          <w:noProof/>
          <w:sz w:val="24"/>
          <w:szCs w:val="24"/>
        </w:rPr>
        <w:t>(119,120)</w:t>
      </w:r>
      <w:r w:rsidRPr="004738E4">
        <w:rPr>
          <w:rFonts w:ascii="Times New Roman" w:hAnsi="Times New Roman" w:cs="Times New Roman"/>
          <w:sz w:val="24"/>
          <w:szCs w:val="24"/>
        </w:rPr>
        <w:t xml:space="preserve">, which may put women at increased risk for toxicity when administered the same maintenance dose as men </w:t>
      </w:r>
      <w:r w:rsidR="005941EE" w:rsidRPr="004738E4">
        <w:rPr>
          <w:rFonts w:ascii="Times New Roman" w:hAnsi="Times New Roman" w:cs="Times New Roman"/>
          <w:noProof/>
          <w:sz w:val="24"/>
          <w:szCs w:val="24"/>
        </w:rPr>
        <w:t>(121)</w:t>
      </w:r>
      <w:r w:rsidRPr="004738E4">
        <w:rPr>
          <w:rFonts w:ascii="Times New Roman" w:hAnsi="Times New Roman" w:cs="Times New Roman"/>
          <w:sz w:val="24"/>
          <w:szCs w:val="24"/>
        </w:rPr>
        <w:t xml:space="preserve">. More women than men reported symptoms of pressure and tightness usually of the face and neck </w:t>
      </w:r>
      <w:r w:rsidR="005941EE" w:rsidRPr="004738E4">
        <w:rPr>
          <w:rFonts w:ascii="Times New Roman" w:hAnsi="Times New Roman" w:cs="Times New Roman"/>
          <w:noProof/>
          <w:sz w:val="24"/>
          <w:szCs w:val="24"/>
        </w:rPr>
        <w:t>(119)</w:t>
      </w:r>
      <w:r w:rsidRPr="004738E4">
        <w:rPr>
          <w:rFonts w:ascii="Times New Roman" w:hAnsi="Times New Roman" w:cs="Times New Roman"/>
          <w:sz w:val="24"/>
          <w:szCs w:val="24"/>
        </w:rPr>
        <w:t xml:space="preserve">. </w:t>
      </w:r>
    </w:p>
    <w:p w14:paraId="42D5E6F5" w14:textId="237967B4" w:rsidR="00D7060A" w:rsidRPr="004738E4" w:rsidRDefault="00D7060A" w:rsidP="003406EE">
      <w:pPr>
        <w:kinsoku w:val="0"/>
        <w:overflowPunct w:val="0"/>
        <w:spacing w:after="120" w:line="480" w:lineRule="auto"/>
        <w:ind w:firstLine="720"/>
        <w:contextualSpacing/>
        <w:jc w:val="both"/>
        <w:rPr>
          <w:rFonts w:ascii="Times New Roman" w:hAnsi="Times New Roman" w:cs="Times New Roman"/>
          <w:bCs/>
          <w:sz w:val="24"/>
          <w:szCs w:val="24"/>
        </w:rPr>
      </w:pPr>
      <w:r w:rsidRPr="004738E4">
        <w:rPr>
          <w:rFonts w:ascii="Times New Roman" w:hAnsi="Times New Roman" w:cs="Times New Roman"/>
          <w:sz w:val="24"/>
          <w:szCs w:val="24"/>
          <w:u w:val="single"/>
        </w:rPr>
        <w:t>Ketamine</w:t>
      </w:r>
      <w:r w:rsidRPr="004738E4">
        <w:rPr>
          <w:rFonts w:ascii="Times New Roman" w:hAnsi="Times New Roman" w:cs="Times New Roman"/>
          <w:sz w:val="24"/>
          <w:szCs w:val="24"/>
        </w:rPr>
        <w:t xml:space="preserve">.  </w:t>
      </w:r>
      <w:r w:rsidRPr="004738E4">
        <w:rPr>
          <w:rFonts w:ascii="Times New Roman" w:hAnsi="Times New Roman" w:cs="Times New Roman"/>
          <w:iCs/>
          <w:sz w:val="24"/>
          <w:szCs w:val="24"/>
        </w:rPr>
        <w:t xml:space="preserve">Sigtermans et al. </w:t>
      </w:r>
      <w:r w:rsidR="005941EE" w:rsidRPr="004738E4">
        <w:rPr>
          <w:rFonts w:ascii="Times New Roman" w:hAnsi="Times New Roman" w:cs="Times New Roman"/>
          <w:iCs/>
          <w:noProof/>
          <w:sz w:val="24"/>
          <w:szCs w:val="24"/>
        </w:rPr>
        <w:t>(122)</w:t>
      </w:r>
      <w:r w:rsidRPr="004738E4">
        <w:rPr>
          <w:rFonts w:ascii="Times New Roman" w:hAnsi="Times New Roman" w:cs="Times New Roman"/>
          <w:iCs/>
          <w:sz w:val="24"/>
          <w:szCs w:val="24"/>
        </w:rPr>
        <w:t xml:space="preserve"> reported </w:t>
      </w:r>
      <w:r w:rsidRPr="004738E4">
        <w:rPr>
          <w:rFonts w:ascii="Times New Roman" w:hAnsi="Times New Roman" w:cs="Times New Roman"/>
          <w:bCs/>
          <w:sz w:val="24"/>
          <w:szCs w:val="24"/>
        </w:rPr>
        <w:t>a 20% greater elimination clearance of S(</w:t>
      </w:r>
      <w:r w:rsidRPr="004738E4">
        <w:rPr>
          <w:rFonts w:ascii="Times New Roman" w:hAnsi="Times New Roman" w:cs="Times New Roman"/>
          <w:sz w:val="24"/>
          <w:szCs w:val="24"/>
        </w:rPr>
        <w:t>+</w:t>
      </w:r>
      <w:r w:rsidRPr="004738E4">
        <w:rPr>
          <w:rFonts w:ascii="Times New Roman" w:hAnsi="Times New Roman" w:cs="Times New Roman"/>
          <w:bCs/>
          <w:sz w:val="24"/>
          <w:szCs w:val="24"/>
        </w:rPr>
        <w:t>)-ketamine and S(</w:t>
      </w:r>
      <w:r w:rsidRPr="004738E4">
        <w:rPr>
          <w:rFonts w:ascii="Times New Roman" w:hAnsi="Times New Roman" w:cs="Times New Roman"/>
          <w:sz w:val="24"/>
          <w:szCs w:val="24"/>
        </w:rPr>
        <w:t>+</w:t>
      </w:r>
      <w:r w:rsidRPr="004738E4">
        <w:rPr>
          <w:rFonts w:ascii="Times New Roman" w:hAnsi="Times New Roman" w:cs="Times New Roman"/>
          <w:bCs/>
          <w:sz w:val="24"/>
          <w:szCs w:val="24"/>
        </w:rPr>
        <w:t>)-norketamine in women than men, resulting in higher drug plasma concentrations in men. They did not detect any sex differences in several pain tests</w:t>
      </w:r>
      <w:r w:rsidR="005664F9" w:rsidRPr="004738E4">
        <w:rPr>
          <w:rFonts w:ascii="Times New Roman" w:hAnsi="Times New Roman" w:cs="Times New Roman"/>
          <w:bCs/>
          <w:sz w:val="24"/>
          <w:szCs w:val="24"/>
        </w:rPr>
        <w:t>,</w:t>
      </w:r>
      <w:r w:rsidRPr="004738E4">
        <w:rPr>
          <w:rFonts w:ascii="Times New Roman" w:hAnsi="Times New Roman" w:cs="Times New Roman"/>
          <w:bCs/>
          <w:sz w:val="24"/>
          <w:szCs w:val="24"/>
        </w:rPr>
        <w:t xml:space="preserve"> but men showed a greater performance decrement after ketamine administration compared to women on the Hopkins Verbal Learning Task and a greater subjective sense of memory impairment than women </w:t>
      </w:r>
      <w:r w:rsidR="005941EE" w:rsidRPr="004738E4">
        <w:rPr>
          <w:rFonts w:ascii="Times New Roman" w:hAnsi="Times New Roman" w:cs="Times New Roman"/>
          <w:bCs/>
          <w:noProof/>
          <w:sz w:val="24"/>
          <w:szCs w:val="24"/>
        </w:rPr>
        <w:t>(123)</w:t>
      </w:r>
      <w:r w:rsidRPr="004738E4">
        <w:rPr>
          <w:rFonts w:ascii="Times New Roman" w:hAnsi="Times New Roman" w:cs="Times New Roman"/>
          <w:bCs/>
          <w:sz w:val="24"/>
          <w:szCs w:val="24"/>
        </w:rPr>
        <w:t>.</w:t>
      </w:r>
    </w:p>
    <w:p w14:paraId="53DB27B0" w14:textId="75C9BF32" w:rsidR="00311236" w:rsidRPr="004738E4" w:rsidRDefault="00311236" w:rsidP="003406EE">
      <w:pPr>
        <w:shd w:val="clear" w:color="auto" w:fill="FFFFFF"/>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Pr="004738E4">
        <w:rPr>
          <w:rFonts w:ascii="Times New Roman" w:hAnsi="Times New Roman" w:cs="Times New Roman"/>
          <w:sz w:val="24"/>
          <w:szCs w:val="24"/>
          <w:u w:val="single"/>
        </w:rPr>
        <w:t>Lignocaine (lidocaine)</w:t>
      </w:r>
      <w:r w:rsidRPr="004738E4">
        <w:rPr>
          <w:rFonts w:ascii="Times New Roman" w:hAnsi="Times New Roman" w:cs="Times New Roman"/>
          <w:sz w:val="24"/>
          <w:szCs w:val="24"/>
        </w:rPr>
        <w:t xml:space="preserve">. The percentage of lignocaine unbound in the plasma of women taking oral contraceptives was significantly greater </w:t>
      </w:r>
      <w:r w:rsidR="00F56DD7" w:rsidRPr="004738E4">
        <w:rPr>
          <w:rFonts w:ascii="Times New Roman" w:hAnsi="Times New Roman" w:cs="Times New Roman"/>
          <w:sz w:val="24"/>
          <w:szCs w:val="24"/>
        </w:rPr>
        <w:t xml:space="preserve">by </w:t>
      </w:r>
      <w:r w:rsidRPr="004738E4">
        <w:rPr>
          <w:rFonts w:ascii="Times New Roman" w:hAnsi="Times New Roman" w:cs="Times New Roman"/>
          <w:sz w:val="24"/>
          <w:szCs w:val="24"/>
        </w:rPr>
        <w:t xml:space="preserve">17% than in men </w:t>
      </w:r>
      <w:r w:rsidR="005941EE" w:rsidRPr="004738E4">
        <w:rPr>
          <w:rFonts w:ascii="Times New Roman" w:hAnsi="Times New Roman" w:cs="Times New Roman"/>
          <w:noProof/>
          <w:sz w:val="24"/>
          <w:szCs w:val="24"/>
        </w:rPr>
        <w:t>(124)</w:t>
      </w:r>
      <w:r w:rsidRPr="004738E4">
        <w:rPr>
          <w:rFonts w:ascii="Times New Roman" w:hAnsi="Times New Roman" w:cs="Times New Roman"/>
          <w:sz w:val="24"/>
          <w:szCs w:val="24"/>
        </w:rPr>
        <w:t xml:space="preserve">. In one clinical report, 64% of adverse reaction reports were from women, for a female: male ratio of 1.78, but it is unclear </w:t>
      </w:r>
      <w:r w:rsidR="00F56DD7" w:rsidRPr="004738E4">
        <w:rPr>
          <w:rFonts w:ascii="Times New Roman" w:hAnsi="Times New Roman" w:cs="Times New Roman"/>
          <w:sz w:val="24"/>
          <w:szCs w:val="24"/>
        </w:rPr>
        <w:t>whether or not</w:t>
      </w:r>
      <w:r w:rsidRPr="004738E4">
        <w:rPr>
          <w:rFonts w:ascii="Times New Roman" w:hAnsi="Times New Roman" w:cs="Times New Roman"/>
          <w:sz w:val="24"/>
          <w:szCs w:val="24"/>
        </w:rPr>
        <w:t xml:space="preserve"> this ratio merely reflects the frequency of lignocaine use in men and women </w:t>
      </w:r>
      <w:r w:rsidR="005941EE" w:rsidRPr="004738E4">
        <w:rPr>
          <w:rFonts w:ascii="Times New Roman" w:hAnsi="Times New Roman" w:cs="Times New Roman"/>
          <w:noProof/>
          <w:sz w:val="24"/>
          <w:szCs w:val="24"/>
        </w:rPr>
        <w:t>(125)</w:t>
      </w:r>
      <w:r w:rsidRPr="004738E4">
        <w:rPr>
          <w:rFonts w:ascii="Times New Roman" w:hAnsi="Times New Roman" w:cs="Times New Roman"/>
          <w:sz w:val="24"/>
          <w:szCs w:val="24"/>
        </w:rPr>
        <w:t xml:space="preserve">. ADR reports in </w:t>
      </w:r>
      <w:r w:rsidRPr="004738E4">
        <w:rPr>
          <w:rFonts w:ascii="Times New Roman" w:hAnsi="Times New Roman" w:cs="Times New Roman"/>
          <w:i/>
          <w:sz w:val="24"/>
          <w:szCs w:val="24"/>
        </w:rPr>
        <w:t>VigiBase</w:t>
      </w:r>
      <w:r w:rsidRPr="004738E4">
        <w:rPr>
          <w:rFonts w:ascii="Times New Roman" w:hAnsi="Times New Roman" w:cs="Times New Roman"/>
          <w:sz w:val="24"/>
          <w:szCs w:val="24"/>
        </w:rPr>
        <w:t xml:space="preserve"> were similarly sex biased towards women (1.64 ADR ratio, based on 21583 reports).</w:t>
      </w:r>
    </w:p>
    <w:p w14:paraId="32AB6904" w14:textId="4A6A1E8D" w:rsidR="00D7060A" w:rsidRPr="004738E4" w:rsidRDefault="00D7060A"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Propofol</w:t>
      </w:r>
      <w:r w:rsidRPr="004738E4">
        <w:rPr>
          <w:rFonts w:ascii="Times New Roman" w:hAnsi="Times New Roman" w:cs="Times New Roman"/>
          <w:sz w:val="24"/>
          <w:szCs w:val="24"/>
        </w:rPr>
        <w:t>. After a single bolus</w:t>
      </w:r>
      <w:r w:rsidR="00F84B82" w:rsidRPr="004738E4">
        <w:rPr>
          <w:rFonts w:ascii="Times New Roman" w:hAnsi="Times New Roman" w:cs="Times New Roman"/>
          <w:sz w:val="24"/>
          <w:szCs w:val="24"/>
        </w:rPr>
        <w:t>,</w:t>
      </w:r>
      <w:r w:rsidRPr="004738E4">
        <w:rPr>
          <w:rFonts w:ascii="Times New Roman" w:hAnsi="Times New Roman" w:cs="Times New Roman"/>
          <w:sz w:val="24"/>
          <w:szCs w:val="24"/>
        </w:rPr>
        <w:t xml:space="preserve"> women had significantly higher values of weight-corrected AUCs of propofol glucuronide (1.25-fold), 4-hydroxypropofol-1-glucuronide (2.1-fold) and 4-hydroxypropofol-4-glucuronide (1.7- fold; </w:t>
      </w:r>
      <w:r w:rsidR="005941EE" w:rsidRPr="004738E4">
        <w:rPr>
          <w:rFonts w:ascii="Times New Roman" w:hAnsi="Times New Roman" w:cs="Times New Roman"/>
          <w:noProof/>
          <w:sz w:val="24"/>
          <w:szCs w:val="24"/>
        </w:rPr>
        <w:t>(126,127)</w:t>
      </w:r>
      <w:r w:rsidRPr="004738E4">
        <w:rPr>
          <w:rFonts w:ascii="Times New Roman" w:hAnsi="Times New Roman" w:cs="Times New Roman"/>
          <w:sz w:val="24"/>
          <w:szCs w:val="24"/>
        </w:rPr>
        <w:t xml:space="preserve">). However, women also emerge from propofol anesthesia significantly faster than men, with plasma concentrations of the drug declining significantly more rapidly in women </w:t>
      </w:r>
      <w:r w:rsidR="005941EE" w:rsidRPr="004738E4">
        <w:rPr>
          <w:rFonts w:ascii="Times New Roman" w:hAnsi="Times New Roman" w:cs="Times New Roman"/>
          <w:noProof/>
          <w:sz w:val="24"/>
          <w:szCs w:val="24"/>
        </w:rPr>
        <w:t>(128)</w:t>
      </w:r>
      <w:r w:rsidRPr="004738E4">
        <w:rPr>
          <w:rFonts w:ascii="Times New Roman" w:hAnsi="Times New Roman" w:cs="Times New Roman"/>
          <w:sz w:val="24"/>
          <w:szCs w:val="24"/>
        </w:rPr>
        <w:t xml:space="preserve">. Women require more propofol than men to </w:t>
      </w:r>
      <w:r w:rsidRPr="004738E4">
        <w:rPr>
          <w:rFonts w:ascii="Times New Roman" w:hAnsi="Times New Roman" w:cs="Times New Roman"/>
          <w:sz w:val="24"/>
          <w:szCs w:val="24"/>
        </w:rPr>
        <w:lastRenderedPageBreak/>
        <w:t>maintain the equivalent BIS index level under general anesthesia</w:t>
      </w:r>
      <w:r w:rsidR="008E5246" w:rsidRPr="004738E4">
        <w:rPr>
          <w:rFonts w:ascii="Times New Roman" w:hAnsi="Times New Roman" w:cs="Times New Roman"/>
          <w:sz w:val="24"/>
          <w:szCs w:val="24"/>
        </w:rPr>
        <w:t>.</w:t>
      </w:r>
      <w:r w:rsidRPr="004738E4">
        <w:rPr>
          <w:rFonts w:ascii="Times New Roman" w:hAnsi="Times New Roman" w:cs="Times New Roman"/>
          <w:sz w:val="24"/>
          <w:szCs w:val="24"/>
        </w:rPr>
        <w:t xml:space="preserve">  Women treated with an augmented sedative cocktail of propofol / remifentanil / dexmedetomidine consumed comparable amounts of morphine compared to men, but when drug ingestion was normalized for body weight, they consumed much more morphine than men </w:t>
      </w:r>
      <w:r w:rsidR="005941EE" w:rsidRPr="004738E4">
        <w:rPr>
          <w:rFonts w:ascii="Times New Roman" w:hAnsi="Times New Roman" w:cs="Times New Roman"/>
          <w:noProof/>
          <w:sz w:val="24"/>
          <w:szCs w:val="24"/>
        </w:rPr>
        <w:t>(129)</w:t>
      </w:r>
      <w:r w:rsidRPr="004738E4">
        <w:rPr>
          <w:rFonts w:ascii="Times New Roman" w:hAnsi="Times New Roman" w:cs="Times New Roman"/>
          <w:sz w:val="24"/>
          <w:szCs w:val="24"/>
        </w:rPr>
        <w:t>. ADRs were more frequently reported for women than for men (1.45 ADR ratio</w:t>
      </w:r>
      <w:r w:rsidR="0061243C"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20903 reports).</w:t>
      </w:r>
    </w:p>
    <w:p w14:paraId="1ED46508" w14:textId="1254DF51" w:rsidR="00D7060A" w:rsidRPr="004738E4" w:rsidRDefault="00D7060A" w:rsidP="003406EE">
      <w:pPr>
        <w:autoSpaceDE w:val="0"/>
        <w:autoSpaceDN w:val="0"/>
        <w:adjustRightInd w:val="0"/>
        <w:spacing w:after="0" w:line="480" w:lineRule="auto"/>
        <w:ind w:left="40" w:firstLine="68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Butorphanol</w:t>
      </w:r>
      <w:r w:rsidRPr="004738E4">
        <w:rPr>
          <w:rFonts w:ascii="Times New Roman" w:hAnsi="Times New Roman" w:cs="Times New Roman"/>
          <w:sz w:val="24"/>
          <w:szCs w:val="24"/>
        </w:rPr>
        <w:t xml:space="preserve">. The AUC and </w:t>
      </w:r>
      <w:r w:rsidRPr="004738E4">
        <w:rPr>
          <w:rFonts w:ascii="Times New Roman" w:hAnsi="Times New Roman" w:cs="Times New Roman"/>
          <w:i/>
          <w:iCs/>
          <w:sz w:val="24"/>
          <w:szCs w:val="24"/>
        </w:rPr>
        <w:t>C</w:t>
      </w:r>
      <w:r w:rsidRPr="004738E4">
        <w:rPr>
          <w:rFonts w:ascii="Times New Roman" w:hAnsi="Times New Roman" w:cs="Times New Roman"/>
          <w:sz w:val="24"/>
          <w:szCs w:val="24"/>
          <w:vertAlign w:val="subscript"/>
        </w:rPr>
        <w:t xml:space="preserve">max </w:t>
      </w:r>
      <w:r w:rsidRPr="004738E4">
        <w:rPr>
          <w:rFonts w:ascii="Times New Roman" w:hAnsi="Times New Roman" w:cs="Times New Roman"/>
          <w:sz w:val="24"/>
          <w:szCs w:val="24"/>
        </w:rPr>
        <w:t xml:space="preserve">values for single intranasal administration were significantly greater by 23–29% in women versus men for three doses of the drug </w:t>
      </w:r>
      <w:r w:rsidR="005941EE" w:rsidRPr="004738E4">
        <w:rPr>
          <w:rFonts w:ascii="Times New Roman" w:hAnsi="Times New Roman" w:cs="Times New Roman"/>
          <w:noProof/>
          <w:sz w:val="24"/>
          <w:szCs w:val="24"/>
        </w:rPr>
        <w:t>(130)</w:t>
      </w:r>
      <w:r w:rsidRPr="004738E4">
        <w:rPr>
          <w:rFonts w:ascii="Times New Roman" w:hAnsi="Times New Roman" w:cs="Times New Roman"/>
          <w:sz w:val="24"/>
          <w:szCs w:val="24"/>
        </w:rPr>
        <w:t xml:space="preserve">. Nalbuphine and butorphanol significantly prolonged the duration of analgesia in women compared with men </w:t>
      </w:r>
      <w:r w:rsidR="005941EE" w:rsidRPr="004738E4">
        <w:rPr>
          <w:rFonts w:ascii="Times New Roman" w:hAnsi="Times New Roman" w:cs="Times New Roman"/>
          <w:noProof/>
          <w:sz w:val="24"/>
          <w:szCs w:val="24"/>
        </w:rPr>
        <w:t>(131)</w:t>
      </w:r>
      <w:r w:rsidRPr="004738E4">
        <w:rPr>
          <w:rFonts w:ascii="Times New Roman" w:hAnsi="Times New Roman" w:cs="Times New Roman"/>
          <w:sz w:val="24"/>
          <w:szCs w:val="24"/>
        </w:rPr>
        <w:t>. ADR ratio of 3.23</w:t>
      </w:r>
      <w:r w:rsidR="0061243C"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5475 reports.</w:t>
      </w:r>
    </w:p>
    <w:p w14:paraId="075B0F6C" w14:textId="36177C42" w:rsidR="00D7060A" w:rsidRPr="004738E4" w:rsidRDefault="00EA14B3" w:rsidP="003406EE">
      <w:pPr>
        <w:autoSpaceDE w:val="0"/>
        <w:autoSpaceDN w:val="0"/>
        <w:adjustRightInd w:val="0"/>
        <w:spacing w:after="0" w:line="480" w:lineRule="auto"/>
        <w:ind w:firstLine="720"/>
        <w:contextualSpacing/>
        <w:jc w:val="both"/>
        <w:rPr>
          <w:rFonts w:ascii="Times New Roman" w:hAnsi="Times New Roman" w:cs="Times New Roman"/>
          <w:spacing w:val="4"/>
          <w:sz w:val="24"/>
          <w:szCs w:val="24"/>
          <w:u w:val="single"/>
        </w:rPr>
      </w:pPr>
      <w:r w:rsidRPr="004738E4">
        <w:rPr>
          <w:rFonts w:ascii="Times New Roman" w:hAnsi="Times New Roman" w:cs="Times New Roman"/>
          <w:spacing w:val="4"/>
          <w:sz w:val="24"/>
          <w:szCs w:val="24"/>
          <w:u w:val="single"/>
        </w:rPr>
        <w:t>P</w:t>
      </w:r>
      <w:r w:rsidR="00D7060A" w:rsidRPr="004738E4">
        <w:rPr>
          <w:rFonts w:ascii="Times New Roman" w:hAnsi="Times New Roman" w:cs="Times New Roman"/>
          <w:spacing w:val="4"/>
          <w:sz w:val="24"/>
          <w:szCs w:val="24"/>
          <w:u w:val="single"/>
        </w:rPr>
        <w:t>aracetamol</w:t>
      </w:r>
      <w:r w:rsidRPr="004738E4">
        <w:rPr>
          <w:rFonts w:ascii="Times New Roman" w:hAnsi="Times New Roman" w:cs="Times New Roman"/>
          <w:spacing w:val="4"/>
          <w:sz w:val="24"/>
          <w:szCs w:val="24"/>
          <w:u w:val="single"/>
        </w:rPr>
        <w:t xml:space="preserve"> (acetaminophen</w:t>
      </w:r>
      <w:r w:rsidR="002D2BB6" w:rsidRPr="004738E4">
        <w:rPr>
          <w:rFonts w:ascii="Times New Roman" w:hAnsi="Times New Roman" w:cs="Times New Roman"/>
          <w:spacing w:val="4"/>
          <w:sz w:val="24"/>
          <w:szCs w:val="24"/>
          <w:u w:val="single"/>
        </w:rPr>
        <w:t>)</w:t>
      </w:r>
      <w:r w:rsidR="002D2BB6" w:rsidRPr="004738E4">
        <w:rPr>
          <w:rFonts w:ascii="Times New Roman" w:hAnsi="Times New Roman" w:cs="Times New Roman"/>
          <w:spacing w:val="4"/>
          <w:sz w:val="24"/>
          <w:szCs w:val="24"/>
        </w:rPr>
        <w:t xml:space="preserve">. </w:t>
      </w:r>
      <w:r w:rsidR="00B9787C" w:rsidRPr="004738E4">
        <w:rPr>
          <w:rFonts w:ascii="Times New Roman" w:hAnsi="Times New Roman" w:cs="Times New Roman"/>
          <w:spacing w:val="4"/>
          <w:sz w:val="24"/>
          <w:szCs w:val="24"/>
        </w:rPr>
        <w:t xml:space="preserve">Miners </w:t>
      </w:r>
      <w:r w:rsidR="00762946" w:rsidRPr="004738E4">
        <w:rPr>
          <w:rFonts w:ascii="Times New Roman" w:hAnsi="Times New Roman" w:cs="Times New Roman"/>
          <w:spacing w:val="4"/>
          <w:sz w:val="24"/>
          <w:szCs w:val="24"/>
        </w:rPr>
        <w:t xml:space="preserve">et al. </w:t>
      </w:r>
      <w:r w:rsidR="005941EE" w:rsidRPr="004738E4">
        <w:rPr>
          <w:rFonts w:ascii="Times New Roman" w:hAnsi="Times New Roman" w:cs="Times New Roman"/>
          <w:noProof/>
          <w:sz w:val="24"/>
          <w:szCs w:val="24"/>
        </w:rPr>
        <w:t>(14</w:t>
      </w:r>
      <w:r w:rsidR="00762946" w:rsidRPr="004738E4">
        <w:rPr>
          <w:rFonts w:ascii="Times New Roman" w:hAnsi="Times New Roman" w:cs="Times New Roman"/>
          <w:noProof/>
          <w:sz w:val="24"/>
          <w:szCs w:val="24"/>
        </w:rPr>
        <w:t>;</w:t>
      </w:r>
      <w:r w:rsidR="00B9787C" w:rsidRPr="004738E4">
        <w:rPr>
          <w:rFonts w:ascii="Times New Roman" w:hAnsi="Times New Roman" w:cs="Times New Roman"/>
          <w:noProof/>
          <w:sz w:val="24"/>
          <w:szCs w:val="24"/>
        </w:rPr>
        <w:t xml:space="preserve"> </w:t>
      </w:r>
      <w:r w:rsidR="005165C2" w:rsidRPr="004738E4">
        <w:t xml:space="preserve">see </w:t>
      </w:r>
      <w:r w:rsidR="00B51C76" w:rsidRPr="004738E4">
        <w:rPr>
          <w:rFonts w:ascii="Times New Roman" w:hAnsi="Times New Roman" w:cs="Times New Roman"/>
          <w:sz w:val="24"/>
          <w:szCs w:val="24"/>
        </w:rPr>
        <w:t>also</w:t>
      </w:r>
      <w:r w:rsidR="00B9787C"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(132)</w:t>
      </w:r>
      <w:r w:rsidR="00762946" w:rsidRPr="004738E4">
        <w:rPr>
          <w:rFonts w:ascii="Times New Roman" w:hAnsi="Times New Roman" w:cs="Times New Roman"/>
          <w:noProof/>
          <w:sz w:val="24"/>
          <w:szCs w:val="24"/>
        </w:rPr>
        <w:t>),</w:t>
      </w:r>
      <w:r w:rsidR="00DE596A" w:rsidRPr="004738E4">
        <w:rPr>
          <w:rFonts w:ascii="Times New Roman" w:hAnsi="Times New Roman" w:cs="Times New Roman"/>
          <w:sz w:val="24"/>
          <w:szCs w:val="24"/>
        </w:rPr>
        <w:t xml:space="preserve"> </w:t>
      </w:r>
      <w:r w:rsidR="00FD493C" w:rsidRPr="004738E4">
        <w:rPr>
          <w:rFonts w:ascii="Times New Roman" w:hAnsi="Times New Roman" w:cs="Times New Roman"/>
          <w:sz w:val="24"/>
          <w:szCs w:val="24"/>
        </w:rPr>
        <w:t>reported</w:t>
      </w:r>
      <w:r w:rsidR="002D2BB6" w:rsidRPr="004738E4">
        <w:rPr>
          <w:rFonts w:ascii="Times New Roman" w:hAnsi="Times New Roman" w:cs="Times New Roman"/>
          <w:sz w:val="24"/>
          <w:szCs w:val="24"/>
        </w:rPr>
        <w:t xml:space="preserve"> that c</w:t>
      </w:r>
      <w:r w:rsidR="00D7060A" w:rsidRPr="004738E4">
        <w:rPr>
          <w:rFonts w:ascii="Times New Roman" w:hAnsi="Times New Roman" w:cs="Times New Roman"/>
          <w:sz w:val="24"/>
          <w:szCs w:val="24"/>
        </w:rPr>
        <w:t xml:space="preserve">learance was 22% lower in women than men </w:t>
      </w:r>
      <w:r w:rsidR="00082E57" w:rsidRPr="004738E4">
        <w:rPr>
          <w:rFonts w:ascii="Times New Roman" w:hAnsi="Times New Roman" w:cs="Times New Roman"/>
          <w:sz w:val="24"/>
          <w:szCs w:val="24"/>
        </w:rPr>
        <w:t xml:space="preserve">but </w:t>
      </w:r>
      <w:r w:rsidR="009D0D61" w:rsidRPr="004738E4">
        <w:rPr>
          <w:rFonts w:ascii="Times New Roman" w:hAnsi="Times New Roman" w:cs="Times New Roman"/>
          <w:sz w:val="24"/>
          <w:szCs w:val="24"/>
        </w:rPr>
        <w:t xml:space="preserve">Court et al. </w:t>
      </w:r>
      <w:r w:rsidR="005941EE" w:rsidRPr="004738E4">
        <w:rPr>
          <w:rFonts w:ascii="Times New Roman" w:hAnsi="Times New Roman" w:cs="Times New Roman"/>
          <w:noProof/>
          <w:sz w:val="24"/>
          <w:szCs w:val="24"/>
        </w:rPr>
        <w:t>(133)</w:t>
      </w:r>
      <w:r w:rsidR="00082E57" w:rsidRPr="004738E4">
        <w:rPr>
          <w:rFonts w:ascii="Times New Roman" w:hAnsi="Times New Roman" w:cs="Times New Roman"/>
          <w:sz w:val="24"/>
          <w:szCs w:val="24"/>
        </w:rPr>
        <w:t xml:space="preserve"> </w:t>
      </w:r>
      <w:r w:rsidR="002D2BB6" w:rsidRPr="004738E4">
        <w:rPr>
          <w:rFonts w:ascii="Times New Roman" w:hAnsi="Times New Roman" w:cs="Times New Roman"/>
          <w:sz w:val="24"/>
          <w:szCs w:val="24"/>
        </w:rPr>
        <w:t>found</w:t>
      </w:r>
      <w:r w:rsidR="00082E57" w:rsidRPr="004738E4">
        <w:rPr>
          <w:rFonts w:ascii="Times New Roman" w:hAnsi="Times New Roman" w:cs="Times New Roman"/>
          <w:sz w:val="24"/>
          <w:szCs w:val="24"/>
        </w:rPr>
        <w:t xml:space="preserve"> that </w:t>
      </w:r>
      <w:r w:rsidR="002D2BB6" w:rsidRPr="004738E4">
        <w:rPr>
          <w:rFonts w:ascii="Times New Roman" w:hAnsi="Times New Roman" w:cs="Times New Roman"/>
          <w:sz w:val="24"/>
          <w:szCs w:val="24"/>
        </w:rPr>
        <w:t xml:space="preserve">total or metabolite clearance values </w:t>
      </w:r>
      <w:r w:rsidR="00082E57" w:rsidRPr="004738E4">
        <w:rPr>
          <w:rFonts w:ascii="Times New Roman" w:hAnsi="Times New Roman" w:cs="Times New Roman"/>
          <w:sz w:val="24"/>
          <w:szCs w:val="24"/>
        </w:rPr>
        <w:t xml:space="preserve">were not different between </w:t>
      </w:r>
      <w:r w:rsidR="008C3029" w:rsidRPr="004738E4">
        <w:rPr>
          <w:rFonts w:ascii="Times New Roman" w:hAnsi="Times New Roman" w:cs="Times New Roman"/>
          <w:sz w:val="24"/>
          <w:szCs w:val="24"/>
        </w:rPr>
        <w:t>sexe</w:t>
      </w:r>
      <w:r w:rsidR="00082E57" w:rsidRPr="004738E4">
        <w:rPr>
          <w:rFonts w:ascii="Times New Roman" w:hAnsi="Times New Roman" w:cs="Times New Roman"/>
          <w:sz w:val="24"/>
          <w:szCs w:val="24"/>
        </w:rPr>
        <w:t>s</w:t>
      </w:r>
      <w:r w:rsidR="002D2BB6" w:rsidRPr="004738E4">
        <w:rPr>
          <w:rFonts w:ascii="Times New Roman" w:hAnsi="Times New Roman" w:cs="Times New Roman"/>
          <w:sz w:val="24"/>
          <w:szCs w:val="24"/>
        </w:rPr>
        <w:t>;</w:t>
      </w:r>
      <w:r w:rsidR="00082E57" w:rsidRPr="004738E4">
        <w:rPr>
          <w:rFonts w:ascii="Times New Roman" w:hAnsi="Times New Roman" w:cs="Times New Roman"/>
          <w:sz w:val="24"/>
          <w:szCs w:val="24"/>
        </w:rPr>
        <w:t xml:space="preserve"> </w:t>
      </w:r>
      <w:r w:rsidR="002D2BB6" w:rsidRPr="004738E4">
        <w:rPr>
          <w:rFonts w:ascii="Times New Roman" w:hAnsi="Times New Roman" w:cs="Times New Roman"/>
          <w:sz w:val="24"/>
          <w:szCs w:val="24"/>
        </w:rPr>
        <w:t xml:space="preserve">however, </w:t>
      </w:r>
      <w:r w:rsidR="00082E57" w:rsidRPr="004738E4">
        <w:rPr>
          <w:rFonts w:ascii="Times New Roman" w:hAnsi="Times New Roman" w:cs="Times New Roman"/>
          <w:sz w:val="24"/>
          <w:szCs w:val="24"/>
        </w:rPr>
        <w:t>significantly shorter plasma half-life values were observed for acetaminophen, acetaminophen glucuronide, and acetaminophen</w:t>
      </w:r>
      <w:r w:rsidR="002D2BB6" w:rsidRPr="004738E4">
        <w:rPr>
          <w:rFonts w:ascii="Times New Roman" w:hAnsi="Times New Roman" w:cs="Times New Roman"/>
          <w:sz w:val="24"/>
          <w:szCs w:val="24"/>
        </w:rPr>
        <w:t xml:space="preserve"> </w:t>
      </w:r>
      <w:r w:rsidR="00082E57" w:rsidRPr="004738E4">
        <w:rPr>
          <w:rFonts w:ascii="Times New Roman" w:hAnsi="Times New Roman" w:cs="Times New Roman"/>
          <w:sz w:val="24"/>
          <w:szCs w:val="24"/>
        </w:rPr>
        <w:t xml:space="preserve">sulfate in women versus men.  </w:t>
      </w:r>
      <w:r w:rsidR="00D7060A" w:rsidRPr="004738E4">
        <w:rPr>
          <w:rFonts w:ascii="Times New Roman" w:hAnsi="Times New Roman" w:cs="Times New Roman"/>
          <w:sz w:val="24"/>
          <w:szCs w:val="24"/>
        </w:rPr>
        <w:t xml:space="preserve">71% of patients admitted to hospitals for acetaminophen overdose were women </w:t>
      </w:r>
      <w:r w:rsidR="005941EE" w:rsidRPr="004738E4">
        <w:rPr>
          <w:rFonts w:ascii="Times New Roman" w:hAnsi="Times New Roman" w:cs="Times New Roman"/>
          <w:noProof/>
          <w:sz w:val="24"/>
          <w:szCs w:val="24"/>
        </w:rPr>
        <w:t>(134,135)</w:t>
      </w:r>
      <w:r w:rsidR="00D7060A" w:rsidRPr="004738E4">
        <w:rPr>
          <w:rFonts w:ascii="Times New Roman" w:hAnsi="Times New Roman" w:cs="Times New Roman"/>
          <w:sz w:val="24"/>
          <w:szCs w:val="24"/>
        </w:rPr>
        <w:t>. ADR ratio of 1.68</w:t>
      </w:r>
      <w:r w:rsidR="0061243C" w:rsidRPr="004738E4">
        <w:rPr>
          <w:rFonts w:ascii="Times New Roman" w:hAnsi="Times New Roman" w:cs="Times New Roman"/>
          <w:sz w:val="24"/>
          <w:szCs w:val="24"/>
        </w:rPr>
        <w:t>,</w:t>
      </w:r>
      <w:r w:rsidR="00D7060A" w:rsidRPr="004738E4">
        <w:rPr>
          <w:rFonts w:ascii="Times New Roman" w:hAnsi="Times New Roman" w:cs="Times New Roman"/>
          <w:sz w:val="24"/>
          <w:szCs w:val="24"/>
        </w:rPr>
        <w:t xml:space="preserve"> based on 125775 reports.</w:t>
      </w:r>
    </w:p>
    <w:p w14:paraId="708B47E0" w14:textId="218981CF" w:rsidR="001D40E5" w:rsidRPr="004738E4" w:rsidRDefault="001D40E5" w:rsidP="003406EE">
      <w:pPr>
        <w:shd w:val="clear" w:color="auto" w:fill="FFFFFF"/>
        <w:tabs>
          <w:tab w:val="left" w:pos="5264"/>
        </w:tabs>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p>
    <w:p w14:paraId="0D0F9B57" w14:textId="3425268D"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N3 and N4: Nervous system – antiepileptics and anti-</w:t>
      </w:r>
      <w:r w:rsidR="005664F9" w:rsidRPr="004738E4">
        <w:rPr>
          <w:rFonts w:ascii="Times New Roman" w:hAnsi="Times New Roman" w:cs="Times New Roman"/>
          <w:i/>
          <w:sz w:val="24"/>
          <w:szCs w:val="24"/>
        </w:rPr>
        <w:t>P</w:t>
      </w:r>
      <w:r w:rsidRPr="004738E4">
        <w:rPr>
          <w:rFonts w:ascii="Times New Roman" w:hAnsi="Times New Roman" w:cs="Times New Roman"/>
          <w:i/>
          <w:sz w:val="24"/>
          <w:szCs w:val="24"/>
        </w:rPr>
        <w:t>arkinson</w:t>
      </w:r>
      <w:r w:rsidR="005664F9" w:rsidRPr="004738E4">
        <w:rPr>
          <w:rFonts w:ascii="Times New Roman" w:hAnsi="Times New Roman" w:cs="Times New Roman"/>
          <w:i/>
          <w:sz w:val="24"/>
          <w:szCs w:val="24"/>
        </w:rPr>
        <w:t>’</w:t>
      </w:r>
      <w:r w:rsidRPr="004738E4">
        <w:rPr>
          <w:rFonts w:ascii="Times New Roman" w:hAnsi="Times New Roman" w:cs="Times New Roman"/>
          <w:i/>
          <w:sz w:val="24"/>
          <w:szCs w:val="24"/>
        </w:rPr>
        <w:t>s</w:t>
      </w:r>
    </w:p>
    <w:p w14:paraId="02B92DAA" w14:textId="4AE64C63" w:rsidR="00D7060A" w:rsidRPr="004738E4" w:rsidRDefault="00D7060A" w:rsidP="003406EE">
      <w:pPr>
        <w:shd w:val="clear" w:color="auto" w:fill="FFFFFF"/>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Carbamazepine(s)</w:t>
      </w:r>
      <w:r w:rsidRPr="004738E4">
        <w:rPr>
          <w:rFonts w:ascii="Times New Roman" w:hAnsi="Times New Roman" w:cs="Times New Roman"/>
          <w:sz w:val="24"/>
          <w:szCs w:val="24"/>
        </w:rPr>
        <w:t xml:space="preserve">. Absolute clearance was higher and </w:t>
      </w:r>
      <w:r w:rsidR="00B967DD" w:rsidRPr="004738E4">
        <w:rPr>
          <w:rFonts w:ascii="Times New Roman" w:hAnsi="Times New Roman" w:cs="Times New Roman"/>
          <w:i/>
          <w:sz w:val="24"/>
          <w:szCs w:val="24"/>
        </w:rPr>
        <w:t>t</w:t>
      </w:r>
      <w:r w:rsidR="00B967DD" w:rsidRPr="004738E4">
        <w:rPr>
          <w:rFonts w:ascii="Times New Roman" w:hAnsi="Times New Roman" w:cs="Times New Roman"/>
          <w:sz w:val="24"/>
          <w:szCs w:val="24"/>
          <w:vertAlign w:val="subscript"/>
        </w:rPr>
        <w:t>1/2</w:t>
      </w:r>
      <w:r w:rsidRPr="004738E4">
        <w:rPr>
          <w:rFonts w:ascii="Times New Roman" w:hAnsi="Times New Roman" w:cs="Times New Roman"/>
          <w:sz w:val="24"/>
          <w:szCs w:val="24"/>
        </w:rPr>
        <w:t xml:space="preserve"> shorter in women</w:t>
      </w:r>
      <w:r w:rsidRPr="004738E4">
        <w:rPr>
          <w:rFonts w:ascii="Times New Roman" w:hAnsi="Times New Roman" w:cs="Times New Roman"/>
          <w:bCs/>
          <w:sz w:val="24"/>
          <w:szCs w:val="24"/>
        </w:rPr>
        <w:t xml:space="preserve"> than men </w:t>
      </w:r>
      <w:r w:rsidR="005941EE" w:rsidRPr="004738E4">
        <w:rPr>
          <w:rFonts w:ascii="Times New Roman" w:hAnsi="Times New Roman" w:cs="Times New Roman"/>
          <w:bCs/>
          <w:noProof/>
          <w:sz w:val="24"/>
          <w:szCs w:val="24"/>
        </w:rPr>
        <w:t>(136)</w:t>
      </w:r>
      <w:r w:rsidRPr="004738E4">
        <w:rPr>
          <w:rFonts w:ascii="Times New Roman" w:hAnsi="Times New Roman" w:cs="Times New Roman"/>
          <w:bCs/>
          <w:sz w:val="24"/>
          <w:szCs w:val="24"/>
        </w:rPr>
        <w:t>. T</w:t>
      </w:r>
      <w:r w:rsidRPr="004738E4">
        <w:rPr>
          <w:rFonts w:ascii="Times New Roman" w:hAnsi="Times New Roman" w:cs="Times New Roman"/>
          <w:sz w:val="24"/>
          <w:szCs w:val="24"/>
        </w:rPr>
        <w:t xml:space="preserve">he potential toxic dose of oxcarbazepine was substantially lower for women than men (1200 vs. 1800 mg) as also was true for carbamazepine (800 mg for women vs. 1200 mg for men; </w:t>
      </w:r>
      <w:r w:rsidR="005941EE" w:rsidRPr="004738E4">
        <w:rPr>
          <w:rFonts w:ascii="Times New Roman" w:hAnsi="Times New Roman" w:cs="Times New Roman"/>
          <w:noProof/>
          <w:sz w:val="24"/>
          <w:szCs w:val="24"/>
        </w:rPr>
        <w:t>(137)</w:t>
      </w:r>
      <w:r w:rsidRPr="004738E4">
        <w:rPr>
          <w:rFonts w:ascii="Times New Roman" w:hAnsi="Times New Roman" w:cs="Times New Roman"/>
          <w:sz w:val="24"/>
          <w:szCs w:val="24"/>
        </w:rPr>
        <w:t xml:space="preserve">). Thus, women may benefit from lower doses given their tendency to reach toxic concentrations at lower doses </w:t>
      </w:r>
      <w:r w:rsidR="005941EE" w:rsidRPr="004738E4">
        <w:rPr>
          <w:rFonts w:ascii="Times New Roman" w:hAnsi="Times New Roman" w:cs="Times New Roman"/>
          <w:noProof/>
          <w:sz w:val="24"/>
          <w:szCs w:val="24"/>
        </w:rPr>
        <w:t>(137)</w:t>
      </w:r>
      <w:r w:rsidRPr="004738E4">
        <w:rPr>
          <w:rFonts w:ascii="Times New Roman" w:hAnsi="Times New Roman" w:cs="Times New Roman"/>
          <w:sz w:val="24"/>
          <w:szCs w:val="24"/>
        </w:rPr>
        <w:t xml:space="preserve"> although the opposite recommendation has been made; women may require an increase in milligram per kilogram dosing if plasma levels do not </w:t>
      </w:r>
      <w:r w:rsidRPr="004738E4">
        <w:rPr>
          <w:rFonts w:ascii="Times New Roman" w:hAnsi="Times New Roman" w:cs="Times New Roman"/>
          <w:sz w:val="24"/>
          <w:szCs w:val="24"/>
        </w:rPr>
        <w:lastRenderedPageBreak/>
        <w:t xml:space="preserve">correspond to the prescribed dose </w:t>
      </w:r>
      <w:r w:rsidR="005941EE" w:rsidRPr="004738E4">
        <w:rPr>
          <w:rFonts w:ascii="Times New Roman" w:hAnsi="Times New Roman" w:cs="Times New Roman"/>
          <w:noProof/>
          <w:sz w:val="24"/>
          <w:szCs w:val="24"/>
        </w:rPr>
        <w:t>(138)</w:t>
      </w:r>
      <w:r w:rsidRPr="004738E4">
        <w:rPr>
          <w:rFonts w:ascii="Times New Roman" w:hAnsi="Times New Roman" w:cs="Times New Roman"/>
          <w:sz w:val="24"/>
          <w:szCs w:val="24"/>
        </w:rPr>
        <w:t>.</w:t>
      </w:r>
      <w:r w:rsidRPr="004738E4">
        <w:rPr>
          <w:rFonts w:ascii="Times New Roman" w:hAnsi="Times New Roman" w:cs="Times New Roman"/>
          <w:bCs/>
          <w:sz w:val="24"/>
          <w:szCs w:val="24"/>
        </w:rPr>
        <w:t xml:space="preserve"> </w:t>
      </w:r>
      <w:r w:rsidRPr="004738E4">
        <w:rPr>
          <w:rFonts w:ascii="Times New Roman" w:hAnsi="Times New Roman" w:cs="Times New Roman"/>
          <w:sz w:val="24"/>
          <w:szCs w:val="24"/>
        </w:rPr>
        <w:t xml:space="preserve"> Carbamazepine and oxcarbazepine are associated with cognitive impairment which is greater in women </w:t>
      </w:r>
      <w:r w:rsidR="005941EE" w:rsidRPr="004738E4">
        <w:rPr>
          <w:rFonts w:ascii="Times New Roman" w:hAnsi="Times New Roman" w:cs="Times New Roman"/>
          <w:noProof/>
          <w:sz w:val="24"/>
          <w:szCs w:val="24"/>
        </w:rPr>
        <w:t>(139)</w:t>
      </w:r>
      <w:r w:rsidRPr="004738E4">
        <w:rPr>
          <w:rFonts w:ascii="Times New Roman" w:hAnsi="Times New Roman" w:cs="Times New Roman"/>
          <w:sz w:val="24"/>
          <w:szCs w:val="24"/>
        </w:rPr>
        <w:t xml:space="preserve">. High and low density lipid differences were significantly more pronounced in women </w:t>
      </w:r>
      <w:r w:rsidR="00F56DD7" w:rsidRPr="004738E4">
        <w:rPr>
          <w:rFonts w:ascii="Times New Roman" w:hAnsi="Times New Roman" w:cs="Times New Roman"/>
          <w:sz w:val="24"/>
          <w:szCs w:val="24"/>
        </w:rPr>
        <w:t xml:space="preserve">than men </w:t>
      </w:r>
      <w:r w:rsidRPr="004738E4">
        <w:rPr>
          <w:rFonts w:ascii="Times New Roman" w:hAnsi="Times New Roman" w:cs="Times New Roman"/>
          <w:sz w:val="24"/>
          <w:szCs w:val="24"/>
        </w:rPr>
        <w:t xml:space="preserve">treated with carbamazepine </w:t>
      </w:r>
      <w:r w:rsidR="005941EE" w:rsidRPr="004738E4">
        <w:rPr>
          <w:rFonts w:ascii="Times New Roman" w:hAnsi="Times New Roman" w:cs="Times New Roman"/>
          <w:noProof/>
          <w:sz w:val="24"/>
          <w:szCs w:val="24"/>
        </w:rPr>
        <w:t>(140)</w:t>
      </w:r>
      <w:r w:rsidRPr="004738E4">
        <w:rPr>
          <w:rFonts w:ascii="Times New Roman" w:hAnsi="Times New Roman" w:cs="Times New Roman"/>
          <w:sz w:val="24"/>
          <w:szCs w:val="24"/>
        </w:rPr>
        <w:t>.</w:t>
      </w:r>
      <w:r w:rsidRPr="004738E4">
        <w:rPr>
          <w:rFonts w:ascii="Times New Roman" w:eastAsia="Times New Roman" w:hAnsi="Times New Roman" w:cs="Times New Roman"/>
          <w:sz w:val="24"/>
          <w:szCs w:val="24"/>
        </w:rPr>
        <w:t xml:space="preserve"> </w:t>
      </w:r>
    </w:p>
    <w:p w14:paraId="15198B42" w14:textId="536E2FA5" w:rsidR="00D7060A" w:rsidRPr="004738E4" w:rsidRDefault="00D7060A" w:rsidP="003406EE">
      <w:pPr>
        <w:shd w:val="clear" w:color="auto" w:fill="FFFFFF"/>
        <w:spacing w:after="0" w:line="480" w:lineRule="auto"/>
        <w:ind w:firstLine="720"/>
        <w:contextualSpacing/>
        <w:jc w:val="both"/>
        <w:rPr>
          <w:rFonts w:ascii="Times New Roman" w:eastAsia="Times New Roman" w:hAnsi="Times New Roman" w:cs="Times New Roman"/>
          <w:sz w:val="24"/>
          <w:szCs w:val="24"/>
        </w:rPr>
      </w:pPr>
      <w:r w:rsidRPr="004738E4">
        <w:rPr>
          <w:rFonts w:ascii="Times New Roman" w:eastAsia="Times New Roman" w:hAnsi="Times New Roman" w:cs="Times New Roman"/>
          <w:sz w:val="24"/>
          <w:szCs w:val="24"/>
          <w:u w:val="single"/>
        </w:rPr>
        <w:t>Gabapentin</w:t>
      </w:r>
      <w:r w:rsidRPr="004738E4">
        <w:rPr>
          <w:rFonts w:ascii="Times New Roman" w:eastAsia="Times New Roman" w:hAnsi="Times New Roman" w:cs="Times New Roman"/>
          <w:sz w:val="24"/>
          <w:szCs w:val="24"/>
        </w:rPr>
        <w:t>. C</w:t>
      </w:r>
      <w:r w:rsidRPr="004738E4">
        <w:rPr>
          <w:rFonts w:ascii="Times New Roman" w:eastAsia="Times New Roman" w:hAnsi="Times New Roman" w:cs="Times New Roman"/>
          <w:sz w:val="24"/>
          <w:szCs w:val="24"/>
          <w:vertAlign w:val="subscript"/>
        </w:rPr>
        <w:t>max</w:t>
      </w:r>
      <w:r w:rsidRPr="004738E4">
        <w:rPr>
          <w:rFonts w:ascii="Times New Roman" w:eastAsia="Times New Roman" w:hAnsi="Times New Roman" w:cs="Times New Roman"/>
          <w:sz w:val="24"/>
          <w:szCs w:val="24"/>
        </w:rPr>
        <w:t xml:space="preserve"> was significantly different between </w:t>
      </w:r>
      <w:r w:rsidR="008C3029" w:rsidRPr="004738E4">
        <w:rPr>
          <w:rFonts w:ascii="Times New Roman" w:eastAsia="Times New Roman" w:hAnsi="Times New Roman" w:cs="Times New Roman"/>
          <w:sz w:val="24"/>
          <w:szCs w:val="24"/>
        </w:rPr>
        <w:t>sex</w:t>
      </w:r>
      <w:r w:rsidR="00F56DD7" w:rsidRPr="004738E4">
        <w:rPr>
          <w:rFonts w:ascii="Times New Roman" w:eastAsia="Times New Roman" w:hAnsi="Times New Roman" w:cs="Times New Roman"/>
          <w:sz w:val="24"/>
          <w:szCs w:val="24"/>
        </w:rPr>
        <w:t>e</w:t>
      </w:r>
      <w:r w:rsidRPr="004738E4">
        <w:rPr>
          <w:rFonts w:ascii="Times New Roman" w:eastAsia="Times New Roman" w:hAnsi="Times New Roman" w:cs="Times New Roman"/>
          <w:sz w:val="24"/>
          <w:szCs w:val="24"/>
        </w:rPr>
        <w:t xml:space="preserve">s: ~25% higher for women than men </w:t>
      </w:r>
      <w:r w:rsidR="005941EE" w:rsidRPr="004738E4">
        <w:rPr>
          <w:rFonts w:ascii="Times New Roman" w:eastAsia="Times New Roman" w:hAnsi="Times New Roman" w:cs="Times New Roman"/>
          <w:noProof/>
          <w:sz w:val="24"/>
          <w:szCs w:val="24"/>
        </w:rPr>
        <w:t>(141)</w:t>
      </w:r>
      <w:r w:rsidRPr="004738E4">
        <w:rPr>
          <w:rFonts w:ascii="Times New Roman" w:eastAsia="Times New Roman" w:hAnsi="Times New Roman" w:cs="Times New Roman"/>
          <w:sz w:val="24"/>
          <w:szCs w:val="24"/>
        </w:rPr>
        <w:t xml:space="preserve">. </w:t>
      </w:r>
      <w:r w:rsidR="000330FA" w:rsidRPr="004738E4">
        <w:rPr>
          <w:rFonts w:ascii="Times New Roman" w:eastAsia="Times New Roman" w:hAnsi="Times New Roman" w:cs="Times New Roman"/>
          <w:sz w:val="24"/>
          <w:szCs w:val="24"/>
        </w:rPr>
        <w:t>In data combined across two phase III and one phase IV studies</w:t>
      </w:r>
      <w:r w:rsidR="00891D87" w:rsidRPr="004738E4">
        <w:rPr>
          <w:rFonts w:ascii="Times New Roman" w:eastAsia="Times New Roman" w:hAnsi="Times New Roman" w:cs="Times New Roman"/>
          <w:sz w:val="24"/>
          <w:szCs w:val="24"/>
        </w:rPr>
        <w:t xml:space="preserve"> of gastroretentive gabapentin (G-GR)</w:t>
      </w:r>
      <w:r w:rsidR="000330FA" w:rsidRPr="004738E4">
        <w:rPr>
          <w:rFonts w:ascii="Times New Roman" w:eastAsia="Times New Roman" w:hAnsi="Times New Roman" w:cs="Times New Roman"/>
          <w:sz w:val="24"/>
          <w:szCs w:val="24"/>
        </w:rPr>
        <w:t xml:space="preserve">, </w:t>
      </w:r>
      <w:r w:rsidR="00891D87" w:rsidRPr="004738E4">
        <w:rPr>
          <w:rFonts w:ascii="Times New Roman" w:eastAsia="Times New Roman" w:hAnsi="Times New Roman" w:cs="Times New Roman"/>
          <w:sz w:val="24"/>
          <w:szCs w:val="24"/>
        </w:rPr>
        <w:t xml:space="preserve">the most common adverse events were dizziness, somnolescence and nausea. The probability to report any </w:t>
      </w:r>
      <w:r w:rsidR="005922F8" w:rsidRPr="004738E4">
        <w:rPr>
          <w:rFonts w:ascii="Times New Roman" w:eastAsia="Times New Roman" w:hAnsi="Times New Roman" w:cs="Times New Roman"/>
          <w:sz w:val="24"/>
          <w:szCs w:val="24"/>
        </w:rPr>
        <w:t>ADR</w:t>
      </w:r>
      <w:r w:rsidR="00891D87" w:rsidRPr="004738E4">
        <w:rPr>
          <w:rFonts w:ascii="Times New Roman" w:eastAsia="Times New Roman" w:hAnsi="Times New Roman" w:cs="Times New Roman"/>
          <w:sz w:val="24"/>
          <w:szCs w:val="24"/>
        </w:rPr>
        <w:t xml:space="preserve"> was 0.6 for females and 0.4 for males, and </w:t>
      </w:r>
      <w:r w:rsidR="000330FA" w:rsidRPr="004738E4">
        <w:rPr>
          <w:rFonts w:ascii="Times New Roman" w:eastAsia="Times New Roman" w:hAnsi="Times New Roman" w:cs="Times New Roman"/>
          <w:sz w:val="24"/>
          <w:szCs w:val="24"/>
        </w:rPr>
        <w:t>only female sex was a significant predictor of ADR reporting</w:t>
      </w:r>
      <w:r w:rsidR="00891D87" w:rsidRPr="004738E4">
        <w:rPr>
          <w:rFonts w:ascii="Times New Roman" w:eastAsia="Times New Roman" w:hAnsi="Times New Roman" w:cs="Times New Roman"/>
          <w:sz w:val="24"/>
          <w:szCs w:val="24"/>
        </w:rPr>
        <w:t>:</w:t>
      </w:r>
      <w:r w:rsidR="000330FA" w:rsidRPr="004738E4">
        <w:rPr>
          <w:rFonts w:ascii="Times New Roman" w:eastAsia="Times New Roman" w:hAnsi="Times New Roman" w:cs="Times New Roman"/>
          <w:sz w:val="24"/>
          <w:szCs w:val="24"/>
        </w:rPr>
        <w:t xml:space="preserve"> </w:t>
      </w:r>
      <w:r w:rsidR="00891D87" w:rsidRPr="004738E4">
        <w:rPr>
          <w:rFonts w:ascii="Times New Roman" w:eastAsia="Times New Roman" w:hAnsi="Times New Roman" w:cs="Times New Roman"/>
          <w:sz w:val="24"/>
          <w:szCs w:val="24"/>
        </w:rPr>
        <w:t xml:space="preserve">correcting for other covariates, </w:t>
      </w:r>
      <w:r w:rsidRPr="004738E4">
        <w:rPr>
          <w:rFonts w:ascii="Times New Roman" w:eastAsia="Times New Roman" w:hAnsi="Times New Roman" w:cs="Times New Roman"/>
          <w:sz w:val="24"/>
          <w:szCs w:val="24"/>
        </w:rPr>
        <w:t>women were 1.</w:t>
      </w:r>
      <w:r w:rsidR="00891D87" w:rsidRPr="004738E4">
        <w:rPr>
          <w:rFonts w:ascii="Times New Roman" w:eastAsia="Times New Roman" w:hAnsi="Times New Roman" w:cs="Times New Roman"/>
          <w:sz w:val="24"/>
          <w:szCs w:val="24"/>
        </w:rPr>
        <w:t xml:space="preserve">9 </w:t>
      </w:r>
      <w:r w:rsidRPr="004738E4">
        <w:rPr>
          <w:rFonts w:ascii="Times New Roman" w:eastAsia="Times New Roman" w:hAnsi="Times New Roman" w:cs="Times New Roman"/>
          <w:sz w:val="24"/>
          <w:szCs w:val="24"/>
        </w:rPr>
        <w:t xml:space="preserve">times more likely to report ADRs at any time after treatment </w:t>
      </w:r>
      <w:r w:rsidR="005941EE" w:rsidRPr="004738E4">
        <w:rPr>
          <w:rFonts w:ascii="Times New Roman" w:eastAsia="Times New Roman" w:hAnsi="Times New Roman" w:cs="Times New Roman"/>
          <w:noProof/>
          <w:sz w:val="24"/>
          <w:szCs w:val="24"/>
        </w:rPr>
        <w:t>(142)</w:t>
      </w:r>
      <w:r w:rsidRPr="004738E4">
        <w:rPr>
          <w:rFonts w:ascii="Times New Roman" w:eastAsia="Times New Roman" w:hAnsi="Times New Roman" w:cs="Times New Roman"/>
          <w:sz w:val="24"/>
          <w:szCs w:val="24"/>
        </w:rPr>
        <w:t xml:space="preserve">. </w:t>
      </w:r>
    </w:p>
    <w:p w14:paraId="2480831A" w14:textId="7209DEE4" w:rsidR="00D7060A" w:rsidRPr="004738E4" w:rsidRDefault="00D7060A" w:rsidP="003406EE">
      <w:pPr>
        <w:shd w:val="clear" w:color="auto" w:fill="FFFFFF"/>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Perampanel</w:t>
      </w:r>
      <w:r w:rsidRPr="004738E4">
        <w:rPr>
          <w:rFonts w:ascii="Times New Roman" w:hAnsi="Times New Roman" w:cs="Times New Roman"/>
          <w:sz w:val="24"/>
          <w:szCs w:val="24"/>
        </w:rPr>
        <w:t xml:space="preserve">. Healthy women had 32% higher AUC than men; oral clearance was 17% lower in women than men. Vazquez et al. </w:t>
      </w:r>
      <w:r w:rsidR="005941EE" w:rsidRPr="004738E4">
        <w:rPr>
          <w:rFonts w:ascii="Times New Roman" w:hAnsi="Times New Roman" w:cs="Times New Roman"/>
          <w:noProof/>
          <w:sz w:val="24"/>
          <w:szCs w:val="24"/>
        </w:rPr>
        <w:t>(143)</w:t>
      </w:r>
      <w:r w:rsidRPr="004738E4">
        <w:rPr>
          <w:rFonts w:ascii="Times New Roman" w:hAnsi="Times New Roman" w:cs="Times New Roman"/>
          <w:sz w:val="24"/>
          <w:szCs w:val="24"/>
        </w:rPr>
        <w:t xml:space="preserve"> suggested that lower clearance and corresponding increase in plasma concentrations in women may account for the slightly greater seizure reduction seen in women.  Common adverse events such as dizziness and headache occurred more frequently in women than men. ADRs were the main reason for discontinuation of treatment, with a higher percentage for women (10.9%) than men (6.8%). No dosing reductions were recommended for women in labels.</w:t>
      </w:r>
    </w:p>
    <w:p w14:paraId="6850629E" w14:textId="6102439D" w:rsidR="00D7060A" w:rsidRPr="004738E4" w:rsidRDefault="0056190D" w:rsidP="003406EE">
      <w:pPr>
        <w:shd w:val="clear" w:color="auto" w:fill="FFFFFF"/>
        <w:spacing w:line="480" w:lineRule="auto"/>
        <w:contextualSpacing/>
        <w:jc w:val="both"/>
        <w:rPr>
          <w:rFonts w:ascii="Times New Roman" w:eastAsia="Times New Roman" w:hAnsi="Times New Roman" w:cs="Times New Roman"/>
          <w:sz w:val="24"/>
          <w:szCs w:val="24"/>
        </w:rPr>
      </w:pPr>
      <w:r w:rsidRPr="004738E4">
        <w:rPr>
          <w:rFonts w:ascii="Times New Roman" w:hAnsi="Times New Roman" w:cs="Times New Roman"/>
          <w:sz w:val="24"/>
          <w:szCs w:val="24"/>
        </w:rPr>
        <w:tab/>
      </w:r>
      <w:r w:rsidR="00D7060A" w:rsidRPr="004738E4">
        <w:rPr>
          <w:rFonts w:ascii="Times New Roman" w:hAnsi="Times New Roman" w:cs="Times New Roman"/>
          <w:sz w:val="24"/>
          <w:szCs w:val="24"/>
          <w:u w:val="single"/>
        </w:rPr>
        <w:t>Pramipexole</w:t>
      </w:r>
      <w:r w:rsidR="00D7060A" w:rsidRPr="004738E4">
        <w:rPr>
          <w:rFonts w:ascii="Times New Roman" w:hAnsi="Times New Roman" w:cs="Times New Roman"/>
          <w:sz w:val="24"/>
          <w:szCs w:val="24"/>
        </w:rPr>
        <w:t>. For this dopamine receptor agonist administered for the treatment of Parkinson's disease, the steady-state C</w:t>
      </w:r>
      <w:r w:rsidR="00D7060A" w:rsidRPr="004738E4">
        <w:rPr>
          <w:rFonts w:ascii="Times New Roman" w:hAnsi="Times New Roman" w:cs="Times New Roman"/>
          <w:sz w:val="24"/>
          <w:szCs w:val="24"/>
          <w:vertAlign w:val="subscript"/>
        </w:rPr>
        <w:t>max</w:t>
      </w:r>
      <w:r w:rsidR="00D7060A" w:rsidRPr="004738E4">
        <w:rPr>
          <w:rFonts w:ascii="Times New Roman" w:hAnsi="Times New Roman" w:cs="Times New Roman"/>
          <w:sz w:val="24"/>
          <w:szCs w:val="24"/>
        </w:rPr>
        <w:t xml:space="preserve"> and AUC following a single dose were 28-32% and 35-43</w:t>
      </w:r>
      <w:r w:rsidR="00D7060A" w:rsidRPr="004738E4">
        <w:rPr>
          <w:rFonts w:ascii="Times New Roman" w:hAnsi="Times New Roman" w:cs="Times New Roman"/>
          <w:spacing w:val="8"/>
          <w:sz w:val="24"/>
          <w:szCs w:val="24"/>
        </w:rPr>
        <w:t xml:space="preserve">% </w:t>
      </w:r>
      <w:r w:rsidR="00D7060A" w:rsidRPr="004738E4">
        <w:rPr>
          <w:rFonts w:ascii="Times New Roman" w:hAnsi="Times New Roman" w:cs="Times New Roman"/>
          <w:sz w:val="24"/>
          <w:szCs w:val="24"/>
        </w:rPr>
        <w:t>greater</w:t>
      </w:r>
      <w:r w:rsidR="00D7060A" w:rsidRPr="004738E4">
        <w:rPr>
          <w:rFonts w:ascii="Times New Roman" w:hAnsi="Times New Roman" w:cs="Times New Roman"/>
          <w:spacing w:val="-17"/>
          <w:sz w:val="24"/>
          <w:szCs w:val="24"/>
        </w:rPr>
        <w:t xml:space="preserve"> </w:t>
      </w:r>
      <w:r w:rsidR="00D7060A" w:rsidRPr="004738E4">
        <w:rPr>
          <w:rFonts w:ascii="Times New Roman" w:hAnsi="Times New Roman" w:cs="Times New Roman"/>
          <w:spacing w:val="-1"/>
          <w:sz w:val="24"/>
          <w:szCs w:val="24"/>
        </w:rPr>
        <w:t>i</w:t>
      </w:r>
      <w:r w:rsidR="00D7060A" w:rsidRPr="004738E4">
        <w:rPr>
          <w:rFonts w:ascii="Times New Roman" w:hAnsi="Times New Roman" w:cs="Times New Roman"/>
          <w:sz w:val="24"/>
          <w:szCs w:val="24"/>
        </w:rPr>
        <w:t>n</w:t>
      </w:r>
      <w:r w:rsidR="00D7060A" w:rsidRPr="004738E4">
        <w:rPr>
          <w:rFonts w:ascii="Times New Roman" w:hAnsi="Times New Roman" w:cs="Times New Roman"/>
          <w:spacing w:val="-15"/>
          <w:sz w:val="24"/>
          <w:szCs w:val="24"/>
        </w:rPr>
        <w:t xml:space="preserve"> </w:t>
      </w:r>
      <w:r w:rsidR="00D7060A" w:rsidRPr="004738E4">
        <w:rPr>
          <w:rFonts w:ascii="Times New Roman" w:hAnsi="Times New Roman" w:cs="Times New Roman"/>
          <w:spacing w:val="-1"/>
          <w:sz w:val="24"/>
          <w:szCs w:val="24"/>
        </w:rPr>
        <w:t>wome</w:t>
      </w:r>
      <w:r w:rsidR="00D7060A" w:rsidRPr="004738E4">
        <w:rPr>
          <w:rFonts w:ascii="Times New Roman" w:hAnsi="Times New Roman" w:cs="Times New Roman"/>
          <w:sz w:val="24"/>
          <w:szCs w:val="24"/>
        </w:rPr>
        <w:t>n</w:t>
      </w:r>
      <w:r w:rsidR="00D7060A" w:rsidRPr="004738E4">
        <w:rPr>
          <w:rFonts w:ascii="Times New Roman" w:hAnsi="Times New Roman" w:cs="Times New Roman"/>
          <w:spacing w:val="-6"/>
          <w:sz w:val="24"/>
          <w:szCs w:val="24"/>
        </w:rPr>
        <w:t xml:space="preserve"> </w:t>
      </w:r>
      <w:r w:rsidR="00D7060A" w:rsidRPr="004738E4">
        <w:rPr>
          <w:rFonts w:ascii="Times New Roman" w:hAnsi="Times New Roman" w:cs="Times New Roman"/>
          <w:spacing w:val="-1"/>
          <w:sz w:val="24"/>
          <w:szCs w:val="24"/>
        </w:rPr>
        <w:t>than</w:t>
      </w:r>
      <w:r w:rsidR="00D7060A" w:rsidRPr="004738E4">
        <w:rPr>
          <w:rFonts w:ascii="Times New Roman" w:hAnsi="Times New Roman" w:cs="Times New Roman"/>
          <w:spacing w:val="-16"/>
          <w:sz w:val="24"/>
          <w:szCs w:val="24"/>
        </w:rPr>
        <w:t xml:space="preserve"> </w:t>
      </w:r>
      <w:r w:rsidR="00D7060A" w:rsidRPr="004738E4">
        <w:rPr>
          <w:rFonts w:ascii="Times New Roman" w:hAnsi="Times New Roman" w:cs="Times New Roman"/>
          <w:spacing w:val="-1"/>
          <w:sz w:val="24"/>
          <w:szCs w:val="24"/>
        </w:rPr>
        <w:t>men</w:t>
      </w:r>
      <w:r w:rsidR="00D7060A" w:rsidRPr="004738E4">
        <w:rPr>
          <w:rFonts w:ascii="Times New Roman" w:hAnsi="Times New Roman" w:cs="Times New Roman"/>
          <w:sz w:val="24"/>
          <w:szCs w:val="24"/>
        </w:rPr>
        <w:t>,</w:t>
      </w:r>
      <w:r w:rsidR="00D7060A" w:rsidRPr="004738E4">
        <w:rPr>
          <w:rFonts w:ascii="Times New Roman" w:hAnsi="Times New Roman" w:cs="Times New Roman"/>
          <w:spacing w:val="-19"/>
          <w:sz w:val="24"/>
          <w:szCs w:val="24"/>
        </w:rPr>
        <w:t xml:space="preserve"> </w:t>
      </w:r>
      <w:r w:rsidR="00D7060A" w:rsidRPr="004738E4">
        <w:rPr>
          <w:rFonts w:ascii="Times New Roman" w:hAnsi="Times New Roman" w:cs="Times New Roman"/>
          <w:sz w:val="24"/>
          <w:szCs w:val="24"/>
        </w:rPr>
        <w:t>re</w:t>
      </w:r>
      <w:r w:rsidR="00D7060A" w:rsidRPr="004738E4">
        <w:rPr>
          <w:rFonts w:ascii="Times New Roman" w:hAnsi="Times New Roman" w:cs="Times New Roman"/>
          <w:spacing w:val="-1"/>
          <w:sz w:val="24"/>
          <w:szCs w:val="24"/>
        </w:rPr>
        <w:t xml:space="preserve">spectively </w:t>
      </w:r>
      <w:r w:rsidR="005941EE" w:rsidRPr="004738E4">
        <w:rPr>
          <w:rFonts w:ascii="Times New Roman" w:hAnsi="Times New Roman" w:cs="Times New Roman"/>
          <w:noProof/>
          <w:spacing w:val="-1"/>
          <w:sz w:val="24"/>
          <w:szCs w:val="24"/>
        </w:rPr>
        <w:t>(144)</w:t>
      </w:r>
      <w:r w:rsidR="00D7060A" w:rsidRPr="004738E4">
        <w:rPr>
          <w:rFonts w:ascii="Times New Roman" w:hAnsi="Times New Roman" w:cs="Times New Roman"/>
          <w:spacing w:val="-19"/>
          <w:sz w:val="24"/>
          <w:szCs w:val="24"/>
        </w:rPr>
        <w:t>.</w:t>
      </w:r>
      <w:r w:rsidR="00D7060A" w:rsidRPr="004738E4">
        <w:rPr>
          <w:rFonts w:ascii="Times New Roman" w:eastAsia="Times New Roman" w:hAnsi="Times New Roman" w:cs="Times New Roman"/>
          <w:sz w:val="24"/>
          <w:szCs w:val="24"/>
        </w:rPr>
        <w:t xml:space="preserve"> No </w:t>
      </w:r>
      <w:r w:rsidR="008C3029" w:rsidRPr="004738E4">
        <w:rPr>
          <w:rFonts w:ascii="Times New Roman" w:eastAsia="Times New Roman" w:hAnsi="Times New Roman" w:cs="Times New Roman"/>
          <w:sz w:val="24"/>
          <w:szCs w:val="24"/>
        </w:rPr>
        <w:t>sex</w:t>
      </w:r>
      <w:r w:rsidR="00D7060A" w:rsidRPr="004738E4">
        <w:rPr>
          <w:rFonts w:ascii="Times New Roman" w:eastAsia="Times New Roman" w:hAnsi="Times New Roman" w:cs="Times New Roman"/>
          <w:sz w:val="24"/>
          <w:szCs w:val="24"/>
        </w:rPr>
        <w:t xml:space="preserve"> difference with respect to Parkinson’s treatment, but </w:t>
      </w:r>
      <w:r w:rsidR="00D7060A" w:rsidRPr="004738E4">
        <w:rPr>
          <w:rFonts w:ascii="Times New Roman" w:hAnsi="Times New Roman" w:cs="Times New Roman"/>
          <w:sz w:val="24"/>
          <w:szCs w:val="24"/>
        </w:rPr>
        <w:t>nausea and fatigue were more frequently reported by female than male restless leg syndrome patients (NDA 020667).</w:t>
      </w:r>
      <w:r w:rsidR="00D7060A" w:rsidRPr="004738E4">
        <w:rPr>
          <w:rFonts w:ascii="Times New Roman" w:eastAsia="Times New Roman" w:hAnsi="Times New Roman" w:cs="Times New Roman"/>
          <w:sz w:val="24"/>
          <w:szCs w:val="24"/>
        </w:rPr>
        <w:t xml:space="preserve"> </w:t>
      </w:r>
    </w:p>
    <w:p w14:paraId="5BE11C17" w14:textId="3E06D069" w:rsidR="00D7060A" w:rsidRPr="004738E4" w:rsidRDefault="0056190D" w:rsidP="003406EE">
      <w:pPr>
        <w:autoSpaceDE w:val="0"/>
        <w:autoSpaceDN w:val="0"/>
        <w:adjustRightInd w:val="0"/>
        <w:spacing w:after="0" w:line="480" w:lineRule="auto"/>
        <w:jc w:val="both"/>
        <w:rPr>
          <w:rFonts w:ascii="Times New Roman" w:hAnsi="Times New Roman" w:cs="Times New Roman"/>
          <w:sz w:val="24"/>
          <w:szCs w:val="24"/>
        </w:rPr>
      </w:pPr>
      <w:r w:rsidRPr="004738E4">
        <w:rPr>
          <w:rFonts w:ascii="Times New Roman" w:hAnsi="Times New Roman" w:cs="Times New Roman"/>
          <w:sz w:val="24"/>
          <w:szCs w:val="24"/>
        </w:rPr>
        <w:tab/>
      </w:r>
      <w:r w:rsidR="00D7060A" w:rsidRPr="004738E4">
        <w:rPr>
          <w:rFonts w:ascii="Times New Roman" w:hAnsi="Times New Roman" w:cs="Times New Roman"/>
          <w:sz w:val="24"/>
          <w:szCs w:val="24"/>
          <w:u w:val="single"/>
        </w:rPr>
        <w:t>Ezogabine (retigabine)</w:t>
      </w:r>
      <w:r w:rsidR="00D7060A" w:rsidRPr="004738E4">
        <w:rPr>
          <w:rFonts w:ascii="Times New Roman" w:hAnsi="Times New Roman" w:cs="Times New Roman"/>
          <w:sz w:val="24"/>
          <w:szCs w:val="24"/>
        </w:rPr>
        <w:t>. AUC values were 20% higher in young women than young men and 30% higher in elderly women than elderly men. The C</w:t>
      </w:r>
      <w:r w:rsidR="00D7060A" w:rsidRPr="004738E4">
        <w:rPr>
          <w:rFonts w:ascii="Times New Roman" w:hAnsi="Times New Roman" w:cs="Times New Roman"/>
          <w:sz w:val="24"/>
          <w:szCs w:val="24"/>
          <w:vertAlign w:val="subscript"/>
        </w:rPr>
        <w:t xml:space="preserve">max </w:t>
      </w:r>
      <w:r w:rsidR="00D7060A" w:rsidRPr="004738E4">
        <w:rPr>
          <w:rFonts w:ascii="Times New Roman" w:hAnsi="Times New Roman" w:cs="Times New Roman"/>
          <w:sz w:val="24"/>
          <w:szCs w:val="24"/>
        </w:rPr>
        <w:t xml:space="preserve">values were approximately 50% </w:t>
      </w:r>
      <w:r w:rsidR="00D7060A" w:rsidRPr="004738E4">
        <w:rPr>
          <w:rFonts w:ascii="Times New Roman" w:hAnsi="Times New Roman" w:cs="Times New Roman"/>
          <w:sz w:val="24"/>
          <w:szCs w:val="24"/>
        </w:rPr>
        <w:lastRenderedPageBreak/>
        <w:t xml:space="preserve">higher and approximately 100% higher in elderly and young women than men, respectively. There was no </w:t>
      </w:r>
      <w:r w:rsidR="008C3029" w:rsidRPr="004738E4">
        <w:rPr>
          <w:rFonts w:ascii="Times New Roman" w:hAnsi="Times New Roman" w:cs="Times New Roman"/>
          <w:sz w:val="24"/>
          <w:szCs w:val="24"/>
        </w:rPr>
        <w:t>sex</w:t>
      </w:r>
      <w:r w:rsidR="00D7060A" w:rsidRPr="004738E4">
        <w:rPr>
          <w:rFonts w:ascii="Times New Roman" w:hAnsi="Times New Roman" w:cs="Times New Roman"/>
          <w:sz w:val="24"/>
          <w:szCs w:val="24"/>
        </w:rPr>
        <w:t xml:space="preserve"> difference in weight-normalized clearance </w:t>
      </w:r>
      <w:r w:rsidR="005941EE" w:rsidRPr="004738E4">
        <w:rPr>
          <w:rFonts w:ascii="Times New Roman" w:hAnsi="Times New Roman" w:cs="Times New Roman"/>
          <w:noProof/>
          <w:sz w:val="24"/>
          <w:szCs w:val="24"/>
        </w:rPr>
        <w:t>(145)</w:t>
      </w:r>
      <w:r w:rsidR="00D7060A" w:rsidRPr="004738E4">
        <w:rPr>
          <w:rFonts w:ascii="Times New Roman" w:hAnsi="Times New Roman" w:cs="Times New Roman"/>
          <w:sz w:val="24"/>
          <w:szCs w:val="24"/>
        </w:rPr>
        <w:t xml:space="preserve">; </w:t>
      </w:r>
      <w:r w:rsidR="00762946" w:rsidRPr="004738E4">
        <w:rPr>
          <w:rFonts w:ascii="Times New Roman" w:hAnsi="Times New Roman" w:cs="Times New Roman"/>
          <w:sz w:val="24"/>
          <w:szCs w:val="24"/>
        </w:rPr>
        <w:t xml:space="preserve">dosage </w:t>
      </w:r>
      <w:r w:rsidR="00D7060A" w:rsidRPr="004738E4">
        <w:rPr>
          <w:rFonts w:ascii="Times New Roman" w:hAnsi="Times New Roman" w:cs="Times New Roman"/>
          <w:sz w:val="24"/>
          <w:szCs w:val="24"/>
        </w:rPr>
        <w:t xml:space="preserve">adjustments on the basis of </w:t>
      </w:r>
      <w:r w:rsidR="008C3029" w:rsidRPr="004738E4">
        <w:rPr>
          <w:rFonts w:ascii="Times New Roman" w:hAnsi="Times New Roman" w:cs="Times New Roman"/>
          <w:sz w:val="24"/>
          <w:szCs w:val="24"/>
        </w:rPr>
        <w:t>sex</w:t>
      </w:r>
      <w:r w:rsidR="00D7060A" w:rsidRPr="004738E4">
        <w:rPr>
          <w:rFonts w:ascii="Times New Roman" w:hAnsi="Times New Roman" w:cs="Times New Roman"/>
          <w:sz w:val="24"/>
          <w:szCs w:val="24"/>
        </w:rPr>
        <w:t xml:space="preserve"> are not considered necessary as ezogabine is titrated based on individual patient efficacy and tolerability (</w:t>
      </w:r>
      <w:r w:rsidR="005941EE" w:rsidRPr="004738E4">
        <w:rPr>
          <w:rFonts w:ascii="Times New Roman" w:hAnsi="Times New Roman" w:cs="Times New Roman"/>
          <w:noProof/>
          <w:sz w:val="24"/>
          <w:szCs w:val="24"/>
        </w:rPr>
        <w:t>(146)</w:t>
      </w:r>
      <w:r w:rsidR="00D7060A" w:rsidRPr="004738E4">
        <w:rPr>
          <w:rFonts w:ascii="Times New Roman" w:hAnsi="Times New Roman" w:cs="Times New Roman"/>
          <w:sz w:val="24"/>
          <w:szCs w:val="24"/>
        </w:rPr>
        <w:t xml:space="preserve"> citing data from drug manufacturer Glaxo). ADR was 0.90</w:t>
      </w:r>
      <w:r w:rsidR="00C43F2B" w:rsidRPr="004738E4">
        <w:rPr>
          <w:rFonts w:ascii="Times New Roman" w:hAnsi="Times New Roman" w:cs="Times New Roman"/>
          <w:sz w:val="24"/>
          <w:szCs w:val="24"/>
        </w:rPr>
        <w:t>,</w:t>
      </w:r>
      <w:r w:rsidR="00D7060A" w:rsidRPr="004738E4">
        <w:rPr>
          <w:rFonts w:ascii="Times New Roman" w:hAnsi="Times New Roman" w:cs="Times New Roman"/>
          <w:sz w:val="24"/>
          <w:szCs w:val="24"/>
        </w:rPr>
        <w:t xml:space="preserve"> based on 582 reports.</w:t>
      </w:r>
    </w:p>
    <w:p w14:paraId="5A0514E1" w14:textId="77777777" w:rsidR="001D40E5" w:rsidRPr="004738E4" w:rsidRDefault="001D40E5" w:rsidP="003406EE">
      <w:pPr>
        <w:shd w:val="clear" w:color="auto" w:fill="FFFFFF"/>
        <w:spacing w:after="0" w:line="480" w:lineRule="auto"/>
        <w:contextualSpacing/>
        <w:jc w:val="both"/>
        <w:rPr>
          <w:rFonts w:ascii="Times New Roman" w:hAnsi="Times New Roman" w:cs="Times New Roman"/>
          <w:sz w:val="24"/>
          <w:szCs w:val="24"/>
        </w:rPr>
      </w:pPr>
    </w:p>
    <w:p w14:paraId="1BEAD071" w14:textId="4CA38484"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N5: Nervous system – Psycholeptics</w:t>
      </w:r>
    </w:p>
    <w:p w14:paraId="0CA5E7E1" w14:textId="39BFF1F9" w:rsidR="009B7E45" w:rsidRPr="004738E4" w:rsidRDefault="009B7E45" w:rsidP="003406EE">
      <w:pPr>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t xml:space="preserve">In general, patients on long-term antipsychotic therapy, with doses adjusted according to therapeutic efficiency, exhibited hyperprolactinemia that was more frequent and occurred at a lower daily dose in women, despite men being administered, on average, a two-fold higher daily dose </w:t>
      </w:r>
      <w:r w:rsidR="002357A7" w:rsidRPr="004738E4">
        <w:rPr>
          <w:rFonts w:ascii="Times New Roman" w:hAnsi="Times New Roman" w:cs="Times New Roman"/>
          <w:sz w:val="24"/>
          <w:szCs w:val="24"/>
        </w:rPr>
        <w:t>than</w:t>
      </w:r>
      <w:r w:rsidRPr="004738E4">
        <w:rPr>
          <w:rFonts w:ascii="Times New Roman" w:hAnsi="Times New Roman" w:cs="Times New Roman"/>
          <w:sz w:val="24"/>
          <w:szCs w:val="24"/>
        </w:rPr>
        <w:t xml:space="preserve"> women </w:t>
      </w:r>
      <w:r w:rsidR="005941EE" w:rsidRPr="004738E4">
        <w:rPr>
          <w:rFonts w:ascii="Times New Roman" w:hAnsi="Times New Roman" w:cs="Times New Roman"/>
          <w:noProof/>
          <w:sz w:val="24"/>
          <w:szCs w:val="24"/>
        </w:rPr>
        <w:t>(147)</w:t>
      </w:r>
      <w:r w:rsidRPr="004738E4">
        <w:rPr>
          <w:rFonts w:ascii="Times New Roman" w:hAnsi="Times New Roman" w:cs="Times New Roman"/>
          <w:sz w:val="24"/>
          <w:szCs w:val="24"/>
        </w:rPr>
        <w:t xml:space="preserve">. </w:t>
      </w:r>
    </w:p>
    <w:p w14:paraId="53BD608E" w14:textId="26761D38" w:rsidR="009B7E45" w:rsidRPr="004738E4" w:rsidRDefault="009B7E45" w:rsidP="003406EE">
      <w:pPr>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t>Marazziti et al</w:t>
      </w:r>
      <w:r w:rsidR="008C74D3" w:rsidRPr="004738E4">
        <w:rPr>
          <w:rFonts w:ascii="Times New Roman" w:hAnsi="Times New Roman" w:cs="Times New Roman"/>
          <w:sz w:val="24"/>
          <w:szCs w:val="24"/>
        </w:rPr>
        <w:t>.</w:t>
      </w:r>
      <w:r w:rsidR="00DE596A" w:rsidRPr="004738E4">
        <w:rPr>
          <w:rFonts w:ascii="Times New Roman" w:hAnsi="Times New Roman" w:cs="Times New Roman"/>
          <w:sz w:val="24"/>
          <w:szCs w:val="24"/>
        </w:rPr>
        <w:t xml:space="preserve"> (2013)</w:t>
      </w:r>
      <w:r w:rsidRPr="004738E4">
        <w:rPr>
          <w:rFonts w:ascii="Times New Roman" w:hAnsi="Times New Roman" w:cs="Times New Roman"/>
          <w:sz w:val="24"/>
          <w:szCs w:val="24"/>
        </w:rPr>
        <w:t xml:space="preserve"> noted that because blood volume is less in women and lipid mass is greater than in men</w:t>
      </w:r>
      <w:r w:rsidR="00846060" w:rsidRPr="004738E4">
        <w:rPr>
          <w:rFonts w:ascii="Times New Roman" w:hAnsi="Times New Roman" w:cs="Times New Roman"/>
          <w:sz w:val="24"/>
          <w:szCs w:val="24"/>
        </w:rPr>
        <w:t>;</w:t>
      </w:r>
      <w:r w:rsidRPr="004738E4">
        <w:rPr>
          <w:rFonts w:ascii="Times New Roman" w:hAnsi="Times New Roman" w:cs="Times New Roman"/>
          <w:sz w:val="24"/>
          <w:szCs w:val="24"/>
        </w:rPr>
        <w:t xml:space="preserve"> the </w:t>
      </w:r>
      <w:r w:rsidR="00C43F2B" w:rsidRPr="004738E4">
        <w:rPr>
          <w:rFonts w:ascii="Times New Roman" w:hAnsi="Times New Roman" w:cs="Times New Roman"/>
          <w:sz w:val="24"/>
          <w:szCs w:val="24"/>
        </w:rPr>
        <w:t>V</w:t>
      </w:r>
      <w:r w:rsidR="00C43F2B" w:rsidRPr="004738E4">
        <w:rPr>
          <w:rFonts w:ascii="Times New Roman" w:hAnsi="Times New Roman" w:cs="Times New Roman"/>
          <w:sz w:val="24"/>
          <w:szCs w:val="24"/>
          <w:vertAlign w:val="subscript"/>
        </w:rPr>
        <w:t>d</w:t>
      </w:r>
      <w:r w:rsidRPr="004738E4">
        <w:rPr>
          <w:rFonts w:ascii="Times New Roman" w:hAnsi="Times New Roman" w:cs="Times New Roman"/>
          <w:sz w:val="24"/>
          <w:szCs w:val="24"/>
        </w:rPr>
        <w:t xml:space="preserve"> of lipophilic drugs, such as antipsychotics, is greater in women than in men, which may prolong the half-life of antipsychotics in women. This observation is congruent with the findings summarized below.</w:t>
      </w:r>
    </w:p>
    <w:p w14:paraId="6A287162" w14:textId="21EEB71A" w:rsidR="00C43F2B" w:rsidRPr="004738E4" w:rsidRDefault="00C43F2B" w:rsidP="003406EE">
      <w:pPr>
        <w:spacing w:after="0" w:line="480" w:lineRule="auto"/>
        <w:ind w:firstLine="720"/>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u w:val="single"/>
        </w:rPr>
        <w:t>Clozapine</w:t>
      </w:r>
      <w:r w:rsidRPr="004738E4">
        <w:rPr>
          <w:rFonts w:ascii="Times New Roman" w:eastAsia="Times New Roman" w:hAnsi="Times New Roman" w:cs="Times New Roman"/>
          <w:sz w:val="24"/>
          <w:szCs w:val="24"/>
        </w:rPr>
        <w:t xml:space="preserve">. Clozapine is in widespread global use and on the WHO list of essential medicines. Norclozapine is its major active metabolite. Clozapine and norclozapine concentrations in the circulation after comparable dosing regimens were 35% and 36% higher, respectively, in women, after controlling for other variables </w:t>
      </w:r>
      <w:r w:rsidR="005941EE" w:rsidRPr="004738E4">
        <w:rPr>
          <w:rFonts w:ascii="Times New Roman" w:eastAsia="Times New Roman" w:hAnsi="Times New Roman" w:cs="Times New Roman"/>
          <w:noProof/>
          <w:sz w:val="24"/>
          <w:szCs w:val="24"/>
        </w:rPr>
        <w:t>(148–150)</w:t>
      </w:r>
      <w:r w:rsidRPr="004738E4">
        <w:rPr>
          <w:rFonts w:ascii="Times New Roman" w:eastAsia="Times New Roman" w:hAnsi="Times New Roman" w:cs="Times New Roman"/>
          <w:sz w:val="24"/>
          <w:szCs w:val="24"/>
        </w:rPr>
        <w:t xml:space="preserve">. </w:t>
      </w:r>
      <w:r w:rsidRPr="004738E4">
        <w:rPr>
          <w:rFonts w:ascii="Times New Roman" w:hAnsi="Times New Roman" w:cs="Times New Roman"/>
          <w:sz w:val="24"/>
          <w:szCs w:val="24"/>
        </w:rPr>
        <w:t>Fabrazzo et al.</w:t>
      </w:r>
      <w:r w:rsidR="00DE596A" w:rsidRPr="004738E4">
        <w:rPr>
          <w:rFonts w:ascii="Times New Roman" w:hAnsi="Times New Roman" w:cs="Times New Roman"/>
          <w:sz w:val="24"/>
          <w:szCs w:val="24"/>
        </w:rPr>
        <w:t xml:space="preserve"> (1996)</w:t>
      </w:r>
      <w:r w:rsidRPr="004738E4">
        <w:rPr>
          <w:rFonts w:ascii="Times New Roman" w:hAnsi="Times New Roman" w:cs="Times New Roman"/>
          <w:sz w:val="24"/>
          <w:szCs w:val="24"/>
        </w:rPr>
        <w:t xml:space="preserve"> reported that clozapine plasma concentrations are twice as high in women than men during early phases of treatment (4 - 6 weeks), but not after 24 weeks. The dose-adjusted concentrations in women were significantly (28%) higher than in men. </w:t>
      </w:r>
      <w:r w:rsidR="00423112" w:rsidRPr="004738E4">
        <w:rPr>
          <w:rFonts w:ascii="Times New Roman" w:hAnsi="Times New Roman" w:cs="Times New Roman"/>
          <w:sz w:val="24"/>
          <w:szCs w:val="24"/>
        </w:rPr>
        <w:t>Metabolic and gastrointestinal ADRs are common in patients taking clozapine</w:t>
      </w:r>
      <w:r w:rsidR="002B739E" w:rsidRPr="004738E4">
        <w:rPr>
          <w:rFonts w:ascii="Times New Roman" w:hAnsi="Times New Roman" w:cs="Times New Roman"/>
          <w:sz w:val="24"/>
          <w:szCs w:val="24"/>
        </w:rPr>
        <w:t xml:space="preserve">, and sex biases </w:t>
      </w:r>
      <w:r w:rsidR="009E7875" w:rsidRPr="004738E4">
        <w:rPr>
          <w:rFonts w:ascii="Times New Roman" w:hAnsi="Times New Roman" w:cs="Times New Roman"/>
          <w:sz w:val="24"/>
          <w:szCs w:val="24"/>
        </w:rPr>
        <w:t>in ADRs</w:t>
      </w:r>
      <w:r w:rsidR="002B739E" w:rsidRPr="004738E4">
        <w:rPr>
          <w:rFonts w:ascii="Times New Roman" w:hAnsi="Times New Roman" w:cs="Times New Roman"/>
          <w:sz w:val="24"/>
          <w:szCs w:val="24"/>
        </w:rPr>
        <w:t xml:space="preserve"> are symptom-specific</w:t>
      </w:r>
      <w:r w:rsidR="00423112" w:rsidRPr="004738E4">
        <w:rPr>
          <w:rFonts w:ascii="Times New Roman" w:hAnsi="Times New Roman" w:cs="Times New Roman"/>
          <w:sz w:val="24"/>
          <w:szCs w:val="24"/>
        </w:rPr>
        <w:t xml:space="preserve">. Metabolic </w:t>
      </w:r>
      <w:r w:rsidR="00423112" w:rsidRPr="004738E4">
        <w:rPr>
          <w:rFonts w:ascii="Times New Roman" w:hAnsi="Times New Roman" w:cs="Times New Roman"/>
          <w:sz w:val="24"/>
          <w:szCs w:val="24"/>
        </w:rPr>
        <w:lastRenderedPageBreak/>
        <w:t>syndrome was reported to be more prevalent in men on clozapine</w:t>
      </w:r>
      <w:r w:rsidR="001220E5"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(151)</w:t>
      </w:r>
      <w:r w:rsidR="001220E5" w:rsidRPr="004738E4">
        <w:rPr>
          <w:rFonts w:ascii="Times New Roman" w:hAnsi="Times New Roman" w:cs="Times New Roman"/>
          <w:sz w:val="24"/>
          <w:szCs w:val="24"/>
        </w:rPr>
        <w:t>, although</w:t>
      </w:r>
      <w:r w:rsidR="002B739E" w:rsidRPr="004738E4">
        <w:rPr>
          <w:rFonts w:ascii="Times New Roman" w:hAnsi="Times New Roman" w:cs="Times New Roman"/>
          <w:sz w:val="24"/>
          <w:szCs w:val="24"/>
        </w:rPr>
        <w:t xml:space="preserve"> a report with a larger sample size indicated a female bias in </w:t>
      </w:r>
      <w:r w:rsidR="009E7875" w:rsidRPr="004738E4">
        <w:rPr>
          <w:rFonts w:ascii="Times New Roman" w:hAnsi="Times New Roman" w:cs="Times New Roman"/>
          <w:sz w:val="24"/>
          <w:szCs w:val="24"/>
        </w:rPr>
        <w:t>clozapine</w:t>
      </w:r>
      <w:r w:rsidR="002B739E" w:rsidRPr="004738E4">
        <w:rPr>
          <w:rFonts w:ascii="Times New Roman" w:hAnsi="Times New Roman" w:cs="Times New Roman"/>
          <w:sz w:val="24"/>
          <w:szCs w:val="24"/>
        </w:rPr>
        <w:t>-associated metabolic syndrom</w:t>
      </w:r>
      <w:r w:rsidR="00AD02E3" w:rsidRPr="004738E4">
        <w:rPr>
          <w:rFonts w:ascii="Times New Roman" w:hAnsi="Times New Roman" w:cs="Times New Roman"/>
          <w:sz w:val="24"/>
          <w:szCs w:val="24"/>
        </w:rPr>
        <w:t>e</w:t>
      </w:r>
      <w:r w:rsidR="002B739E"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(152)</w:t>
      </w:r>
      <w:r w:rsidR="002B739E" w:rsidRPr="004738E4">
        <w:rPr>
          <w:rFonts w:ascii="Times New Roman" w:hAnsi="Times New Roman" w:cs="Times New Roman"/>
          <w:sz w:val="24"/>
          <w:szCs w:val="24"/>
        </w:rPr>
        <w:t>.</w:t>
      </w:r>
      <w:r w:rsidR="001220E5" w:rsidRPr="004738E4">
        <w:rPr>
          <w:rFonts w:ascii="Times New Roman" w:hAnsi="Times New Roman" w:cs="Times New Roman"/>
          <w:sz w:val="24"/>
          <w:szCs w:val="24"/>
        </w:rPr>
        <w:t xml:space="preserve"> </w:t>
      </w:r>
      <w:r w:rsidR="00423112" w:rsidRPr="004738E4">
        <w:rPr>
          <w:rFonts w:ascii="Times New Roman" w:hAnsi="Times New Roman" w:cs="Times New Roman"/>
          <w:sz w:val="24"/>
          <w:szCs w:val="24"/>
        </w:rPr>
        <w:t>In a meta-analysis</w:t>
      </w:r>
      <w:r w:rsidR="002D6995" w:rsidRPr="004738E4">
        <w:rPr>
          <w:rFonts w:ascii="Times New Roman" w:hAnsi="Times New Roman" w:cs="Times New Roman"/>
          <w:sz w:val="24"/>
          <w:szCs w:val="24"/>
        </w:rPr>
        <w:t xml:space="preserve"> focu</w:t>
      </w:r>
      <w:r w:rsidR="00F84B82" w:rsidRPr="004738E4">
        <w:rPr>
          <w:rFonts w:ascii="Times New Roman" w:hAnsi="Times New Roman" w:cs="Times New Roman"/>
          <w:sz w:val="24"/>
          <w:szCs w:val="24"/>
        </w:rPr>
        <w:t>s</w:t>
      </w:r>
      <w:r w:rsidR="002D6995" w:rsidRPr="004738E4">
        <w:rPr>
          <w:rFonts w:ascii="Times New Roman" w:hAnsi="Times New Roman" w:cs="Times New Roman"/>
          <w:sz w:val="24"/>
          <w:szCs w:val="24"/>
        </w:rPr>
        <w:t>ed on case reports</w:t>
      </w:r>
      <w:r w:rsidR="00423112" w:rsidRPr="004738E4">
        <w:rPr>
          <w:rFonts w:ascii="Times New Roman" w:hAnsi="Times New Roman" w:cs="Times New Roman"/>
          <w:sz w:val="24"/>
          <w:szCs w:val="24"/>
        </w:rPr>
        <w:t xml:space="preserve">, </w:t>
      </w:r>
      <w:r w:rsidR="001220E5" w:rsidRPr="004738E4">
        <w:rPr>
          <w:rFonts w:ascii="Times New Roman" w:hAnsi="Times New Roman" w:cs="Times New Roman"/>
          <w:sz w:val="24"/>
          <w:szCs w:val="24"/>
        </w:rPr>
        <w:t xml:space="preserve">West et al. </w:t>
      </w:r>
      <w:r w:rsidR="005941EE" w:rsidRPr="004738E4">
        <w:rPr>
          <w:rFonts w:ascii="Times New Roman" w:hAnsi="Times New Roman" w:cs="Times New Roman"/>
          <w:noProof/>
          <w:sz w:val="24"/>
          <w:szCs w:val="24"/>
        </w:rPr>
        <w:t>(153)</w:t>
      </w:r>
      <w:r w:rsidR="001220E5" w:rsidRPr="004738E4">
        <w:rPr>
          <w:rFonts w:ascii="Times New Roman" w:hAnsi="Times New Roman" w:cs="Times New Roman"/>
          <w:sz w:val="24"/>
          <w:szCs w:val="24"/>
        </w:rPr>
        <w:t xml:space="preserve"> </w:t>
      </w:r>
      <w:r w:rsidR="00423112" w:rsidRPr="004738E4">
        <w:rPr>
          <w:rFonts w:ascii="Times New Roman" w:hAnsi="Times New Roman" w:cs="Times New Roman"/>
          <w:sz w:val="24"/>
          <w:szCs w:val="24"/>
        </w:rPr>
        <w:t xml:space="preserve">concluded that </w:t>
      </w:r>
      <w:r w:rsidR="001220E5" w:rsidRPr="004738E4">
        <w:rPr>
          <w:rFonts w:ascii="Times New Roman" w:hAnsi="Times New Roman" w:cs="Times New Roman"/>
          <w:sz w:val="24"/>
          <w:szCs w:val="24"/>
        </w:rPr>
        <w:t>c</w:t>
      </w:r>
      <w:r w:rsidRPr="004738E4">
        <w:rPr>
          <w:rFonts w:ascii="Times New Roman" w:hAnsi="Times New Roman" w:cs="Times New Roman"/>
          <w:sz w:val="24"/>
          <w:szCs w:val="24"/>
        </w:rPr>
        <w:t xml:space="preserve">lozapine-induced gastric hypomobility </w:t>
      </w:r>
      <w:r w:rsidR="002D6995" w:rsidRPr="004738E4">
        <w:rPr>
          <w:rFonts w:ascii="Times New Roman" w:hAnsi="Times New Roman" w:cs="Times New Roman"/>
          <w:sz w:val="24"/>
          <w:szCs w:val="24"/>
        </w:rPr>
        <w:t>was more common in men;</w:t>
      </w:r>
      <w:r w:rsidR="00423112" w:rsidRPr="004738E4">
        <w:rPr>
          <w:rFonts w:ascii="Times New Roman" w:hAnsi="Times New Roman" w:cs="Times New Roman"/>
          <w:sz w:val="24"/>
          <w:szCs w:val="24"/>
        </w:rPr>
        <w:t xml:space="preserve"> however</w:t>
      </w:r>
      <w:r w:rsidR="002D6995" w:rsidRPr="004738E4">
        <w:rPr>
          <w:rFonts w:ascii="Times New Roman" w:hAnsi="Times New Roman" w:cs="Times New Roman"/>
          <w:sz w:val="24"/>
          <w:szCs w:val="24"/>
        </w:rPr>
        <w:t>,</w:t>
      </w:r>
      <w:r w:rsidR="00423112" w:rsidRPr="004738E4">
        <w:rPr>
          <w:rFonts w:ascii="Times New Roman" w:hAnsi="Times New Roman" w:cs="Times New Roman"/>
          <w:sz w:val="24"/>
          <w:szCs w:val="24"/>
        </w:rPr>
        <w:t xml:space="preserve"> other reports indicated that women taking clozapine were more likely to develop ileus </w:t>
      </w:r>
      <w:r w:rsidR="005941EE" w:rsidRPr="004738E4">
        <w:rPr>
          <w:rFonts w:ascii="Times New Roman" w:hAnsi="Times New Roman" w:cs="Times New Roman"/>
          <w:noProof/>
          <w:sz w:val="24"/>
          <w:szCs w:val="24"/>
        </w:rPr>
        <w:t>(154)</w:t>
      </w:r>
      <w:r w:rsidR="00423112" w:rsidRPr="004738E4">
        <w:rPr>
          <w:rFonts w:ascii="Times New Roman" w:hAnsi="Times New Roman" w:cs="Times New Roman"/>
          <w:sz w:val="24"/>
          <w:szCs w:val="24"/>
        </w:rPr>
        <w:t xml:space="preserve">, and another report </w:t>
      </w:r>
      <w:r w:rsidR="00AF7BDE" w:rsidRPr="004738E4">
        <w:rPr>
          <w:rFonts w:ascii="Times New Roman" w:hAnsi="Times New Roman" w:cs="Times New Roman"/>
          <w:sz w:val="24"/>
          <w:szCs w:val="24"/>
        </w:rPr>
        <w:t>indicated that sex did not impact</w:t>
      </w:r>
      <w:r w:rsidR="00423112" w:rsidRPr="004738E4">
        <w:rPr>
          <w:rFonts w:ascii="Times New Roman" w:hAnsi="Times New Roman" w:cs="Times New Roman"/>
          <w:sz w:val="24"/>
          <w:szCs w:val="24"/>
        </w:rPr>
        <w:t xml:space="preserve"> colonic transit time </w:t>
      </w:r>
      <w:r w:rsidR="00AF7BDE" w:rsidRPr="004738E4">
        <w:rPr>
          <w:rFonts w:ascii="Times New Roman" w:hAnsi="Times New Roman" w:cs="Times New Roman"/>
          <w:sz w:val="24"/>
          <w:szCs w:val="24"/>
        </w:rPr>
        <w:t xml:space="preserve">in patients on clozapine </w:t>
      </w:r>
      <w:r w:rsidR="00423112" w:rsidRPr="004738E4">
        <w:rPr>
          <w:rFonts w:ascii="Times New Roman" w:hAnsi="Times New Roman" w:cs="Times New Roman"/>
          <w:sz w:val="24"/>
          <w:szCs w:val="24"/>
        </w:rPr>
        <w:t xml:space="preserve">(Every-Palmer et al., 2016). </w:t>
      </w:r>
      <w:r w:rsidR="002B739E" w:rsidRPr="004738E4">
        <w:rPr>
          <w:rFonts w:ascii="Times New Roman" w:hAnsi="Times New Roman" w:cs="Times New Roman"/>
          <w:sz w:val="24"/>
          <w:szCs w:val="24"/>
        </w:rPr>
        <w:t xml:space="preserve">In a broader meta-analysis, </w:t>
      </w:r>
      <w:r w:rsidR="002D6995" w:rsidRPr="004738E4">
        <w:rPr>
          <w:rFonts w:ascii="Times New Roman" w:hAnsi="Times New Roman" w:cs="Times New Roman"/>
          <w:sz w:val="24"/>
          <w:szCs w:val="24"/>
        </w:rPr>
        <w:t xml:space="preserve">Alberich </w:t>
      </w:r>
      <w:r w:rsidR="002B739E" w:rsidRPr="004738E4">
        <w:rPr>
          <w:rFonts w:ascii="Times New Roman" w:hAnsi="Times New Roman" w:cs="Times New Roman"/>
          <w:sz w:val="24"/>
          <w:szCs w:val="24"/>
        </w:rPr>
        <w:t>et al</w:t>
      </w:r>
      <w:r w:rsidR="00EB2E5E" w:rsidRPr="004738E4">
        <w:rPr>
          <w:rFonts w:ascii="Times New Roman" w:hAnsi="Times New Roman" w:cs="Times New Roman"/>
          <w:sz w:val="24"/>
          <w:szCs w:val="24"/>
        </w:rPr>
        <w:t>. (2019)</w:t>
      </w:r>
      <w:r w:rsidR="002B739E" w:rsidRPr="004738E4">
        <w:rPr>
          <w:rFonts w:ascii="Times New Roman" w:hAnsi="Times New Roman" w:cs="Times New Roman"/>
          <w:sz w:val="24"/>
          <w:szCs w:val="24"/>
        </w:rPr>
        <w:t xml:space="preserve"> </w:t>
      </w:r>
      <w:r w:rsidR="002D6995" w:rsidRPr="004738E4">
        <w:rPr>
          <w:rFonts w:ascii="Times New Roman" w:hAnsi="Times New Roman" w:cs="Times New Roman"/>
          <w:sz w:val="24"/>
          <w:szCs w:val="24"/>
        </w:rPr>
        <w:t xml:space="preserve">identified </w:t>
      </w:r>
      <w:r w:rsidR="002B739E" w:rsidRPr="004738E4">
        <w:rPr>
          <w:rFonts w:ascii="Times New Roman" w:hAnsi="Times New Roman" w:cs="Times New Roman"/>
          <w:sz w:val="24"/>
          <w:szCs w:val="24"/>
        </w:rPr>
        <w:t xml:space="preserve">elevated blood glucose, laxative use, obesity, increases in body mass, type II diabetes, neutropenia and leukopenia as ADRs that were increased in women, and hypertension, increases in BMI, homocysteine, increased basal metabolic rate, increased plasma lipids, QTc, blood dyscrasias, myocarditis and cardiomyopathy as male-biased ADRs. </w:t>
      </w:r>
      <w:r w:rsidR="00AF7BDE" w:rsidRPr="004738E4">
        <w:rPr>
          <w:rFonts w:ascii="Times New Roman" w:hAnsi="Times New Roman" w:cs="Times New Roman"/>
          <w:sz w:val="24"/>
          <w:szCs w:val="24"/>
        </w:rPr>
        <w:t xml:space="preserve">Perhaps the most consistently-reported ADR on clozapine is weight gain. </w:t>
      </w:r>
      <w:r w:rsidR="005941EE" w:rsidRPr="004738E4">
        <w:rPr>
          <w:rFonts w:ascii="Times New Roman" w:hAnsi="Times New Roman" w:cs="Times New Roman"/>
          <w:noProof/>
          <w:sz w:val="24"/>
          <w:szCs w:val="24"/>
        </w:rPr>
        <w:t>(155)</w:t>
      </w:r>
      <w:r w:rsidR="00AF7BDE" w:rsidRPr="004738E4">
        <w:rPr>
          <w:rFonts w:ascii="Times New Roman" w:hAnsi="Times New Roman" w:cs="Times New Roman"/>
          <w:sz w:val="24"/>
          <w:szCs w:val="24"/>
        </w:rPr>
        <w:t xml:space="preserve"> identified female sex as a risk factor for significant weight gain among 110 schizophrenics on clozapine, data which confir</w:t>
      </w:r>
      <w:r w:rsidR="00F84B82" w:rsidRPr="004738E4">
        <w:rPr>
          <w:rFonts w:ascii="Times New Roman" w:hAnsi="Times New Roman" w:cs="Times New Roman"/>
          <w:sz w:val="24"/>
          <w:szCs w:val="24"/>
        </w:rPr>
        <w:t>m</w:t>
      </w:r>
      <w:r w:rsidR="00AF7BDE" w:rsidRPr="004738E4">
        <w:rPr>
          <w:rFonts w:ascii="Times New Roman" w:hAnsi="Times New Roman" w:cs="Times New Roman"/>
          <w:sz w:val="24"/>
          <w:szCs w:val="24"/>
        </w:rPr>
        <w:t xml:space="preserve">ed a previous report indicating greater weight gain in women on clozapine </w:t>
      </w:r>
      <w:r w:rsidR="005941EE" w:rsidRPr="004738E4">
        <w:rPr>
          <w:rFonts w:ascii="Times New Roman" w:hAnsi="Times New Roman" w:cs="Times New Roman"/>
          <w:noProof/>
          <w:sz w:val="24"/>
          <w:szCs w:val="24"/>
        </w:rPr>
        <w:t>(156)</w:t>
      </w:r>
      <w:r w:rsidR="00AF7BDE" w:rsidRPr="004738E4">
        <w:rPr>
          <w:rFonts w:ascii="Times New Roman" w:hAnsi="Times New Roman" w:cs="Times New Roman"/>
          <w:sz w:val="24"/>
          <w:szCs w:val="24"/>
        </w:rPr>
        <w:t xml:space="preserve">. </w:t>
      </w:r>
    </w:p>
    <w:p w14:paraId="2A3143CE" w14:textId="16657BCF" w:rsidR="008D4EAA" w:rsidRPr="004738E4" w:rsidRDefault="00377811" w:rsidP="003406EE">
      <w:pPr>
        <w:kinsoku w:val="0"/>
        <w:overflowPunct w:val="0"/>
        <w:spacing w:after="12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008D4EAA" w:rsidRPr="004738E4">
        <w:rPr>
          <w:rFonts w:ascii="Times New Roman" w:hAnsi="Times New Roman" w:cs="Times New Roman"/>
          <w:sz w:val="24"/>
          <w:szCs w:val="24"/>
          <w:u w:val="single"/>
        </w:rPr>
        <w:t>Olanzapine</w:t>
      </w:r>
      <w:r w:rsidR="008D4EAA" w:rsidRPr="004738E4">
        <w:rPr>
          <w:rFonts w:ascii="Times New Roman" w:hAnsi="Times New Roman" w:cs="Times New Roman"/>
          <w:sz w:val="24"/>
          <w:szCs w:val="24"/>
        </w:rPr>
        <w:t xml:space="preserve">. In a psychotic inpatient population on a stable olanzapine dose, adjusted mean plasma concentrations were 18.5 ng/ml for men and 31.7 ng/ml for women. Weight-corrected concentration/dose ratios for women were 33.5% higher than those shown by men </w:t>
      </w:r>
      <w:r w:rsidR="005941EE" w:rsidRPr="004738E4">
        <w:rPr>
          <w:rFonts w:ascii="Times New Roman" w:hAnsi="Times New Roman" w:cs="Times New Roman"/>
          <w:noProof/>
          <w:sz w:val="24"/>
          <w:szCs w:val="24"/>
        </w:rPr>
        <w:t>(157)</w:t>
      </w:r>
      <w:r w:rsidR="008D4EAA" w:rsidRPr="004738E4">
        <w:rPr>
          <w:rFonts w:ascii="Times New Roman" w:hAnsi="Times New Roman" w:cs="Times New Roman"/>
          <w:sz w:val="24"/>
          <w:szCs w:val="24"/>
        </w:rPr>
        <w:t>; clearance from the blood is ~30% reduced in women than men (NDA 20592)</w:t>
      </w:r>
      <w:r w:rsidR="008D4EAA" w:rsidRPr="004738E4">
        <w:rPr>
          <w:rFonts w:ascii="Times New Roman" w:eastAsia="Times New Roman" w:hAnsi="Times New Roman" w:cs="Times New Roman"/>
          <w:sz w:val="24"/>
          <w:szCs w:val="24"/>
        </w:rPr>
        <w:t xml:space="preserve">. However, </w:t>
      </w:r>
      <w:r w:rsidR="008D4EAA" w:rsidRPr="004738E4">
        <w:rPr>
          <w:rFonts w:ascii="Times New Roman" w:hAnsi="Times New Roman" w:cs="Times New Roman"/>
          <w:sz w:val="24"/>
          <w:szCs w:val="24"/>
        </w:rPr>
        <w:t xml:space="preserve">sex did not significantly affect plasma olanzapine concentrations in an adolescent study population </w:t>
      </w:r>
      <w:r w:rsidR="005941EE" w:rsidRPr="004738E4">
        <w:rPr>
          <w:rFonts w:ascii="Times New Roman" w:hAnsi="Times New Roman" w:cs="Times New Roman"/>
          <w:noProof/>
          <w:sz w:val="24"/>
          <w:szCs w:val="24"/>
        </w:rPr>
        <w:t>(158)</w:t>
      </w:r>
      <w:r w:rsidR="008D4EAA" w:rsidRPr="004738E4">
        <w:rPr>
          <w:rFonts w:ascii="Times New Roman" w:hAnsi="Times New Roman" w:cs="Times New Roman"/>
          <w:sz w:val="24"/>
          <w:szCs w:val="24"/>
        </w:rPr>
        <w:t>.</w:t>
      </w:r>
      <w:r w:rsidR="008D4EAA" w:rsidRPr="004738E4">
        <w:rPr>
          <w:rFonts w:ascii="Times New Roman" w:eastAsia="Times New Roman" w:hAnsi="Times New Roman" w:cs="Times New Roman"/>
          <w:bCs/>
          <w:sz w:val="24"/>
          <w:szCs w:val="24"/>
        </w:rPr>
        <w:t xml:space="preserve"> </w:t>
      </w:r>
      <w:r w:rsidR="005B52CA" w:rsidRPr="004738E4">
        <w:rPr>
          <w:rFonts w:ascii="Times" w:hAnsi="Times" w:cs="Times"/>
          <w:sz w:val="24"/>
          <w:szCs w:val="24"/>
        </w:rPr>
        <w:t xml:space="preserve">Female sex was significantly associated with probability of </w:t>
      </w:r>
      <w:r w:rsidR="002E001E" w:rsidRPr="004738E4">
        <w:rPr>
          <w:rFonts w:ascii="Times" w:hAnsi="Times" w:cs="Times"/>
          <w:sz w:val="24"/>
          <w:szCs w:val="24"/>
        </w:rPr>
        <w:t>undesired or severe</w:t>
      </w:r>
      <w:r w:rsidR="005B52CA" w:rsidRPr="004738E4">
        <w:rPr>
          <w:rFonts w:ascii="Times" w:hAnsi="Times" w:cs="Times"/>
          <w:sz w:val="24"/>
          <w:szCs w:val="24"/>
        </w:rPr>
        <w:t xml:space="preserve"> weight gain </w:t>
      </w:r>
      <w:r w:rsidR="005941EE" w:rsidRPr="004738E4">
        <w:rPr>
          <w:rFonts w:ascii="Times" w:hAnsi="Times" w:cs="Times"/>
          <w:noProof/>
          <w:sz w:val="24"/>
          <w:szCs w:val="24"/>
        </w:rPr>
        <w:t>(159,160)</w:t>
      </w:r>
      <w:r w:rsidR="002E001E" w:rsidRPr="004738E4">
        <w:rPr>
          <w:rFonts w:ascii="Times" w:hAnsi="Times" w:cs="Times"/>
          <w:sz w:val="24"/>
          <w:szCs w:val="24"/>
        </w:rPr>
        <w:t>.</w:t>
      </w:r>
      <w:r w:rsidR="005B52CA" w:rsidRPr="004738E4">
        <w:rPr>
          <w:rFonts w:ascii="Times" w:hAnsi="Times" w:cs="Times"/>
          <w:sz w:val="24"/>
          <w:szCs w:val="24"/>
        </w:rPr>
        <w:t xml:space="preserve"> </w:t>
      </w:r>
      <w:r w:rsidR="008D4EAA" w:rsidRPr="004738E4">
        <w:rPr>
          <w:rFonts w:ascii="Times New Roman" w:eastAsia="Times New Roman" w:hAnsi="Times New Roman" w:cs="Times New Roman"/>
          <w:sz w:val="24"/>
          <w:szCs w:val="24"/>
        </w:rPr>
        <w:t xml:space="preserve">Olanzapine labeling recommends lower doses in patients in whom higher exposures are anticipated </w:t>
      </w:r>
      <w:r w:rsidR="005941EE" w:rsidRPr="004738E4">
        <w:rPr>
          <w:rFonts w:ascii="Times New Roman" w:eastAsia="Times New Roman" w:hAnsi="Times New Roman" w:cs="Times New Roman"/>
          <w:noProof/>
          <w:sz w:val="24"/>
          <w:szCs w:val="24"/>
        </w:rPr>
        <w:t>(161)</w:t>
      </w:r>
      <w:r w:rsidR="00846060" w:rsidRPr="004738E4">
        <w:rPr>
          <w:rFonts w:ascii="Times New Roman" w:eastAsia="Times New Roman" w:hAnsi="Times New Roman" w:cs="Times New Roman"/>
          <w:noProof/>
          <w:sz w:val="24"/>
          <w:szCs w:val="24"/>
        </w:rPr>
        <w:t>.</w:t>
      </w:r>
      <w:r w:rsidR="008D4EAA" w:rsidRPr="004738E4">
        <w:rPr>
          <w:rFonts w:ascii="Times New Roman" w:eastAsia="Times New Roman" w:hAnsi="Times New Roman" w:cs="Times New Roman"/>
          <w:sz w:val="24"/>
          <w:szCs w:val="24"/>
        </w:rPr>
        <w:t xml:space="preserve"> </w:t>
      </w:r>
      <w:r w:rsidR="008D4EAA" w:rsidRPr="004738E4">
        <w:rPr>
          <w:rFonts w:ascii="Times New Roman" w:hAnsi="Times New Roman" w:cs="Times New Roman"/>
          <w:sz w:val="24"/>
          <w:szCs w:val="24"/>
        </w:rPr>
        <w:t xml:space="preserve">A pharmacometric analysis suggests that for olanzapine to achieve 70% dopamine (DA) receptor occupancy, men require ~20 mg/day and women require </w:t>
      </w:r>
      <w:r w:rsidR="008D4EAA" w:rsidRPr="004738E4">
        <w:rPr>
          <w:rFonts w:ascii="Times New Roman" w:hAnsi="Times New Roman" w:cs="Times New Roman"/>
          <w:sz w:val="24"/>
          <w:szCs w:val="24"/>
        </w:rPr>
        <w:lastRenderedPageBreak/>
        <w:t xml:space="preserve">only half that amount, which suggests clinicians should consider this difference in selecting starting doses </w:t>
      </w:r>
      <w:r w:rsidR="005941EE" w:rsidRPr="004738E4">
        <w:rPr>
          <w:rFonts w:ascii="Times New Roman" w:hAnsi="Times New Roman" w:cs="Times New Roman"/>
          <w:noProof/>
          <w:sz w:val="24"/>
          <w:szCs w:val="24"/>
        </w:rPr>
        <w:t>(162)</w:t>
      </w:r>
      <w:r w:rsidR="008D4EAA" w:rsidRPr="004738E4">
        <w:rPr>
          <w:rFonts w:ascii="Times New Roman" w:hAnsi="Times New Roman" w:cs="Times New Roman"/>
          <w:sz w:val="24"/>
          <w:szCs w:val="24"/>
        </w:rPr>
        <w:t xml:space="preserve">. </w:t>
      </w:r>
    </w:p>
    <w:p w14:paraId="55A002D1" w14:textId="1C4BB55A" w:rsidR="00391AB5" w:rsidRPr="004738E4" w:rsidRDefault="000270D5" w:rsidP="003406EE">
      <w:pPr>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Pr="004738E4">
        <w:rPr>
          <w:rFonts w:ascii="Times New Roman" w:hAnsi="Times New Roman" w:cs="Times New Roman"/>
          <w:sz w:val="24"/>
          <w:szCs w:val="24"/>
          <w:u w:val="single"/>
        </w:rPr>
        <w:t>Risperidone</w:t>
      </w:r>
      <w:r w:rsidRPr="004738E4">
        <w:rPr>
          <w:rFonts w:ascii="Times New Roman" w:hAnsi="Times New Roman" w:cs="Times New Roman"/>
          <w:sz w:val="24"/>
          <w:szCs w:val="24"/>
        </w:rPr>
        <w:t xml:space="preserve">. Dose-adjusted plasma concentrations were 18.7% higher in women </w:t>
      </w:r>
      <w:r w:rsidR="005941EE" w:rsidRPr="004738E4">
        <w:rPr>
          <w:rFonts w:ascii="Times New Roman" w:hAnsi="Times New Roman" w:cs="Times New Roman"/>
          <w:noProof/>
          <w:sz w:val="24"/>
          <w:szCs w:val="24"/>
        </w:rPr>
        <w:t>(158,163)</w:t>
      </w:r>
      <w:r w:rsidRPr="004738E4">
        <w:rPr>
          <w:rFonts w:ascii="Times New Roman" w:hAnsi="Times New Roman" w:cs="Times New Roman"/>
          <w:sz w:val="24"/>
          <w:szCs w:val="24"/>
        </w:rPr>
        <w:t xml:space="preserve">. Another study indicated 30% higher serum concentrations in women compared to men </w:t>
      </w:r>
      <w:r w:rsidR="005941EE" w:rsidRPr="004738E4">
        <w:rPr>
          <w:rFonts w:ascii="Times New Roman" w:hAnsi="Times New Roman" w:cs="Times New Roman"/>
          <w:noProof/>
          <w:sz w:val="24"/>
          <w:szCs w:val="24"/>
        </w:rPr>
        <w:t>(164,165)</w:t>
      </w:r>
      <w:r w:rsidRPr="004738E4">
        <w:rPr>
          <w:rFonts w:ascii="Times New Roman" w:hAnsi="Times New Roman" w:cs="Times New Roman"/>
          <w:sz w:val="24"/>
          <w:szCs w:val="24"/>
        </w:rPr>
        <w:t xml:space="preserve">. Hyperprolactinemia, a neuroendocrine side effect of tuberoinfundibular DA inhibition, was significantly greater in women than men treated with risperidone (127 vs. 54 ng/ml; </w:t>
      </w:r>
      <w:r w:rsidR="005941EE" w:rsidRPr="004738E4">
        <w:rPr>
          <w:rFonts w:ascii="Times New Roman" w:hAnsi="Times New Roman" w:cs="Times New Roman"/>
          <w:noProof/>
          <w:sz w:val="24"/>
          <w:szCs w:val="24"/>
        </w:rPr>
        <w:t>(166,167)</w:t>
      </w:r>
      <w:r w:rsidRPr="004738E4">
        <w:rPr>
          <w:rFonts w:ascii="Times New Roman" w:hAnsi="Times New Roman" w:cs="Times New Roman"/>
          <w:sz w:val="24"/>
          <w:szCs w:val="24"/>
        </w:rPr>
        <w:t xml:space="preserve">). Hyperprolactinemia is a well-established risk factor in the development of mammary carcinomas </w:t>
      </w:r>
      <w:r w:rsidR="005941EE" w:rsidRPr="004738E4">
        <w:rPr>
          <w:rFonts w:ascii="Times New Roman" w:hAnsi="Times New Roman" w:cs="Times New Roman"/>
          <w:noProof/>
          <w:sz w:val="24"/>
          <w:szCs w:val="24"/>
        </w:rPr>
        <w:t>(168)</w:t>
      </w:r>
      <w:r w:rsidRPr="004738E4">
        <w:rPr>
          <w:rFonts w:ascii="Times New Roman" w:hAnsi="Times New Roman" w:cs="Times New Roman"/>
          <w:sz w:val="24"/>
          <w:szCs w:val="24"/>
        </w:rPr>
        <w:t xml:space="preserve">. Women treated with risperidone also exhibited neurological effects more frequently than men </w:t>
      </w:r>
      <w:r w:rsidR="005941EE" w:rsidRPr="004738E4">
        <w:rPr>
          <w:rFonts w:ascii="Times New Roman" w:hAnsi="Times New Roman" w:cs="Times New Roman"/>
          <w:noProof/>
          <w:sz w:val="24"/>
          <w:szCs w:val="24"/>
        </w:rPr>
        <w:t>(169)</w:t>
      </w:r>
      <w:r w:rsidRPr="004738E4">
        <w:rPr>
          <w:rFonts w:ascii="Times New Roman" w:hAnsi="Times New Roman" w:cs="Times New Roman"/>
          <w:sz w:val="24"/>
          <w:szCs w:val="24"/>
        </w:rPr>
        <w:t>; sex differences in risperidone-associated ADRs also included headache and hypotension, which were significantly more frequent in women than men (31% vs. 11%, and 17% vs. 0%, respectively</w:t>
      </w:r>
      <w:r w:rsidR="00846060"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(170)</w:t>
      </w:r>
      <w:r w:rsidRPr="004738E4">
        <w:rPr>
          <w:rFonts w:ascii="Times New Roman" w:hAnsi="Times New Roman" w:cs="Times New Roman"/>
          <w:sz w:val="24"/>
          <w:szCs w:val="24"/>
        </w:rPr>
        <w:t>).</w:t>
      </w:r>
    </w:p>
    <w:p w14:paraId="602E6E57" w14:textId="640D978C" w:rsidR="000270D5" w:rsidRPr="004738E4" w:rsidRDefault="000270D5" w:rsidP="003406EE">
      <w:pPr>
        <w:kinsoku w:val="0"/>
        <w:overflowPunct w:val="0"/>
        <w:spacing w:after="120" w:line="480" w:lineRule="auto"/>
        <w:ind w:firstLine="720"/>
        <w:contextualSpacing/>
        <w:jc w:val="both"/>
        <w:rPr>
          <w:rFonts w:ascii="Times New Roman" w:hAnsi="Times New Roman" w:cs="Times New Roman"/>
          <w:sz w:val="24"/>
          <w:szCs w:val="24"/>
          <w:shd w:val="clear" w:color="auto" w:fill="FFFFFF"/>
        </w:rPr>
      </w:pPr>
      <w:r w:rsidRPr="004738E4">
        <w:rPr>
          <w:rFonts w:ascii="Times New Roman" w:eastAsia="Times New Roman" w:hAnsi="Times New Roman" w:cs="Times New Roman"/>
          <w:bCs/>
          <w:sz w:val="24"/>
          <w:szCs w:val="24"/>
          <w:u w:val="single"/>
        </w:rPr>
        <w:t>Aripiprazol</w:t>
      </w:r>
      <w:r w:rsidRPr="004738E4">
        <w:rPr>
          <w:rFonts w:ascii="Times New Roman" w:eastAsia="Times New Roman" w:hAnsi="Times New Roman" w:cs="Times New Roman"/>
          <w:bCs/>
          <w:sz w:val="24"/>
          <w:szCs w:val="24"/>
        </w:rPr>
        <w:t>. C</w:t>
      </w:r>
      <w:r w:rsidRPr="004738E4">
        <w:rPr>
          <w:rFonts w:ascii="Times New Roman" w:eastAsia="Times New Roman" w:hAnsi="Times New Roman" w:cs="Times New Roman"/>
          <w:bCs/>
          <w:sz w:val="24"/>
          <w:szCs w:val="24"/>
          <w:vertAlign w:val="subscript"/>
        </w:rPr>
        <w:t>max</w:t>
      </w:r>
      <w:r w:rsidRPr="004738E4">
        <w:rPr>
          <w:rFonts w:ascii="Times New Roman" w:eastAsia="Times New Roman" w:hAnsi="Times New Roman" w:cs="Times New Roman"/>
          <w:bCs/>
          <w:sz w:val="24"/>
          <w:szCs w:val="24"/>
        </w:rPr>
        <w:t xml:space="preserve"> and AUC are 30-40 % higher in women than men and the apparent oral clearance is lower in women (</w:t>
      </w:r>
      <w:r w:rsidR="000C7746" w:rsidRPr="004738E4">
        <w:rPr>
          <w:rFonts w:ascii="Times New Roman" w:hAnsi="Times New Roman" w:cs="Times New Roman"/>
          <w:sz w:val="24"/>
          <w:szCs w:val="24"/>
          <w:shd w:val="clear" w:color="auto" w:fill="FFFFFF"/>
        </w:rPr>
        <w:t xml:space="preserve">Figure 23 in </w:t>
      </w:r>
      <w:r w:rsidRPr="004738E4">
        <w:rPr>
          <w:rFonts w:ascii="Times New Roman" w:hAnsi="Times New Roman" w:cs="Times New Roman"/>
          <w:sz w:val="24"/>
          <w:szCs w:val="24"/>
        </w:rPr>
        <w:t xml:space="preserve">NDA </w:t>
      </w:r>
      <w:r w:rsidRPr="004738E4">
        <w:rPr>
          <w:rFonts w:ascii="Times New Roman" w:hAnsi="Times New Roman" w:cs="Times New Roman"/>
          <w:sz w:val="24"/>
          <w:szCs w:val="24"/>
          <w:shd w:val="clear" w:color="auto" w:fill="FFFFFF"/>
        </w:rPr>
        <w:t xml:space="preserve">021436). </w:t>
      </w:r>
      <w:r w:rsidRPr="004738E4">
        <w:rPr>
          <w:rFonts w:ascii="Times New Roman" w:hAnsi="Times New Roman" w:cs="Times New Roman"/>
          <w:sz w:val="24"/>
          <w:szCs w:val="24"/>
        </w:rPr>
        <w:t xml:space="preserve">Aripiprazol </w:t>
      </w:r>
      <w:r w:rsidRPr="004738E4">
        <w:rPr>
          <w:rFonts w:ascii="Times New Roman" w:eastAsia="Times New Roman" w:hAnsi="Times New Roman" w:cs="Times New Roman"/>
          <w:sz w:val="24"/>
          <w:szCs w:val="24"/>
        </w:rPr>
        <w:t>treatment is accompanied by sex differences in blood pressure, heart rate and an elongated corrected QT (QT</w:t>
      </w:r>
      <w:r w:rsidRPr="004738E4">
        <w:rPr>
          <w:rFonts w:ascii="Times New Roman" w:eastAsia="Times New Roman" w:hAnsi="Times New Roman" w:cs="Times New Roman"/>
          <w:sz w:val="24"/>
          <w:szCs w:val="24"/>
          <w:vertAlign w:val="subscript"/>
        </w:rPr>
        <w:t>c</w:t>
      </w:r>
      <w:r w:rsidRPr="004738E4">
        <w:rPr>
          <w:rFonts w:ascii="Times New Roman" w:eastAsia="Times New Roman" w:hAnsi="Times New Roman" w:cs="Times New Roman"/>
          <w:sz w:val="24"/>
          <w:szCs w:val="24"/>
        </w:rPr>
        <w:t>) interval; women and patients with higher AUC and C</w:t>
      </w:r>
      <w:r w:rsidRPr="004738E4">
        <w:rPr>
          <w:rFonts w:ascii="Times New Roman" w:eastAsia="Times New Roman" w:hAnsi="Times New Roman" w:cs="Times New Roman"/>
          <w:sz w:val="24"/>
          <w:szCs w:val="24"/>
          <w:vertAlign w:val="subscript"/>
        </w:rPr>
        <w:t>max</w:t>
      </w:r>
      <w:r w:rsidRPr="004738E4">
        <w:rPr>
          <w:rFonts w:ascii="Times New Roman" w:eastAsia="Times New Roman" w:hAnsi="Times New Roman" w:cs="Times New Roman"/>
          <w:sz w:val="24"/>
          <w:szCs w:val="24"/>
        </w:rPr>
        <w:t xml:space="preserve"> values were also more prone to gastrointestinal ADRs </w:t>
      </w:r>
      <w:r w:rsidR="005941EE" w:rsidRPr="004738E4">
        <w:rPr>
          <w:rFonts w:ascii="Times New Roman" w:eastAsia="Times New Roman" w:hAnsi="Times New Roman" w:cs="Times New Roman"/>
          <w:noProof/>
          <w:sz w:val="24"/>
          <w:szCs w:val="24"/>
        </w:rPr>
        <w:t>(171)</w:t>
      </w:r>
      <w:r w:rsidRPr="004738E4">
        <w:rPr>
          <w:rFonts w:ascii="Times New Roman" w:eastAsia="Times New Roman" w:hAnsi="Times New Roman" w:cs="Times New Roman"/>
          <w:sz w:val="24"/>
          <w:szCs w:val="24"/>
        </w:rPr>
        <w:t xml:space="preserve">. Nevertheless, </w:t>
      </w:r>
      <w:r w:rsidRPr="004738E4">
        <w:rPr>
          <w:rFonts w:ascii="Times New Roman" w:hAnsi="Times New Roman" w:cs="Times New Roman"/>
          <w:sz w:val="24"/>
          <w:szCs w:val="24"/>
        </w:rPr>
        <w:t xml:space="preserve">no dosage adjustment is recommended based on </w:t>
      </w:r>
      <w:r w:rsidR="008C3029" w:rsidRPr="004738E4">
        <w:rPr>
          <w:rFonts w:ascii="Times New Roman" w:hAnsi="Times New Roman" w:cs="Times New Roman"/>
          <w:sz w:val="24"/>
          <w:szCs w:val="24"/>
        </w:rPr>
        <w:t>sex</w:t>
      </w:r>
      <w:r w:rsidRPr="004738E4">
        <w:rPr>
          <w:rFonts w:ascii="Times New Roman" w:hAnsi="Times New Roman" w:cs="Times New Roman"/>
          <w:sz w:val="24"/>
          <w:szCs w:val="24"/>
        </w:rPr>
        <w:t xml:space="preserve"> (NDA </w:t>
      </w:r>
      <w:r w:rsidRPr="004738E4">
        <w:rPr>
          <w:rFonts w:ascii="Times New Roman" w:hAnsi="Times New Roman" w:cs="Times New Roman"/>
          <w:sz w:val="24"/>
          <w:szCs w:val="24"/>
          <w:shd w:val="clear" w:color="auto" w:fill="FFFFFF"/>
        </w:rPr>
        <w:t>021436). Indeed, the NDA repeats the clause “Examination of population subsets (age, race, and gender) did not reveal any differential responsiveness on the basis of these subgroupings.”, and variants thereof, in multiple instances, without indicating the statistical basis of these conclusions (significance level for rejection, statistical trends, sample sizes, power, etc</w:t>
      </w:r>
      <w:r w:rsidR="00F84B82" w:rsidRPr="004738E4">
        <w:rPr>
          <w:rFonts w:ascii="Times New Roman" w:hAnsi="Times New Roman" w:cs="Times New Roman"/>
          <w:sz w:val="24"/>
          <w:szCs w:val="24"/>
          <w:shd w:val="clear" w:color="auto" w:fill="FFFFFF"/>
        </w:rPr>
        <w:t>.</w:t>
      </w:r>
      <w:r w:rsidRPr="004738E4">
        <w:rPr>
          <w:rFonts w:ascii="Times New Roman" w:hAnsi="Times New Roman" w:cs="Times New Roman"/>
          <w:sz w:val="24"/>
          <w:szCs w:val="24"/>
          <w:shd w:val="clear" w:color="auto" w:fill="FFFFFF"/>
        </w:rPr>
        <w:t>).</w:t>
      </w:r>
    </w:p>
    <w:p w14:paraId="741FA525" w14:textId="77133EDB" w:rsidR="0056190D" w:rsidRPr="004738E4" w:rsidRDefault="0056190D" w:rsidP="003406EE">
      <w:pPr>
        <w:autoSpaceDE w:val="0"/>
        <w:autoSpaceDN w:val="0"/>
        <w:adjustRightInd w:val="0"/>
        <w:spacing w:after="0" w:line="480" w:lineRule="auto"/>
        <w:contextualSpacing/>
        <w:jc w:val="both"/>
        <w:rPr>
          <w:rFonts w:ascii="Times New Roman" w:hAnsi="Times New Roman" w:cs="Times New Roman"/>
          <w:sz w:val="24"/>
          <w:szCs w:val="24"/>
        </w:rPr>
      </w:pPr>
      <w:r w:rsidRPr="004738E4">
        <w:rPr>
          <w:rFonts w:ascii="Times New Roman" w:eastAsia="Times New Roman" w:hAnsi="Times New Roman" w:cs="Times New Roman"/>
          <w:sz w:val="24"/>
          <w:szCs w:val="24"/>
        </w:rPr>
        <w:tab/>
      </w:r>
      <w:r w:rsidRPr="004738E4">
        <w:rPr>
          <w:rFonts w:ascii="Times New Roman" w:eastAsia="Times New Roman" w:hAnsi="Times New Roman" w:cs="Times New Roman"/>
          <w:sz w:val="24"/>
          <w:szCs w:val="24"/>
          <w:u w:val="single"/>
        </w:rPr>
        <w:t>Diazepam</w:t>
      </w:r>
      <w:r w:rsidRPr="004738E4">
        <w:rPr>
          <w:rFonts w:ascii="Times New Roman" w:eastAsia="Times New Roman" w:hAnsi="Times New Roman" w:cs="Times New Roman"/>
          <w:sz w:val="24"/>
          <w:szCs w:val="24"/>
        </w:rPr>
        <w:t xml:space="preserve">. Data indicating robust sex differences in circulating diazepam were available in the 1970’s: the mean percent of unbound pharmacologically-active diazepam was higher in women than men (10.8% vs. 5.8%, </w:t>
      </w:r>
      <w:r w:rsidR="005941EE" w:rsidRPr="004738E4">
        <w:rPr>
          <w:rFonts w:ascii="Times New Roman" w:eastAsia="Times New Roman" w:hAnsi="Times New Roman" w:cs="Times New Roman"/>
          <w:noProof/>
          <w:sz w:val="24"/>
          <w:szCs w:val="24"/>
        </w:rPr>
        <w:t>(172)</w:t>
      </w:r>
      <w:r w:rsidRPr="004738E4">
        <w:rPr>
          <w:rFonts w:ascii="Times New Roman" w:eastAsia="Times New Roman" w:hAnsi="Times New Roman" w:cs="Times New Roman"/>
          <w:sz w:val="24"/>
          <w:szCs w:val="24"/>
        </w:rPr>
        <w:t xml:space="preserve">). </w:t>
      </w:r>
      <w:r w:rsidRPr="004738E4">
        <w:rPr>
          <w:rFonts w:ascii="Times New Roman" w:hAnsi="Times New Roman" w:cs="Times New Roman"/>
          <w:sz w:val="24"/>
          <w:szCs w:val="24"/>
        </w:rPr>
        <w:t xml:space="preserve">Sample sizes were small and this nearly two-fold </w:t>
      </w:r>
      <w:r w:rsidRPr="004738E4">
        <w:rPr>
          <w:rFonts w:ascii="Times New Roman" w:hAnsi="Times New Roman" w:cs="Times New Roman"/>
          <w:sz w:val="24"/>
          <w:szCs w:val="24"/>
        </w:rPr>
        <w:lastRenderedPageBreak/>
        <w:t>difference only approached statistical significance.</w:t>
      </w:r>
      <w:r w:rsidRPr="004738E4">
        <w:rPr>
          <w:rFonts w:ascii="Times New Roman" w:eastAsia="Times New Roman" w:hAnsi="Times New Roman" w:cs="Times New Roman"/>
          <w:sz w:val="24"/>
          <w:szCs w:val="24"/>
        </w:rPr>
        <w:t xml:space="preserve"> In contrast, in another report clearance of total (bound + free) diazepam was substantially higher in older women than men (0.48 vs. 0.24 ml/min/kg; </w:t>
      </w:r>
      <w:r w:rsidR="005941EE" w:rsidRPr="004738E4">
        <w:rPr>
          <w:rFonts w:ascii="Times New Roman" w:eastAsia="Times New Roman" w:hAnsi="Times New Roman" w:cs="Times New Roman"/>
          <w:noProof/>
          <w:sz w:val="24"/>
          <w:szCs w:val="24"/>
        </w:rPr>
        <w:t>(173)</w:t>
      </w:r>
      <w:r w:rsidRPr="004738E4">
        <w:rPr>
          <w:rFonts w:ascii="Times New Roman" w:eastAsia="Times New Roman" w:hAnsi="Times New Roman" w:cs="Times New Roman"/>
          <w:sz w:val="24"/>
          <w:szCs w:val="24"/>
        </w:rPr>
        <w:t xml:space="preserve">). </w:t>
      </w:r>
      <w:r w:rsidR="002B1E28" w:rsidRPr="004738E4">
        <w:rPr>
          <w:rFonts w:ascii="Times New Roman" w:hAnsi="Times New Roman" w:cs="Times New Roman"/>
          <w:sz w:val="24"/>
          <w:szCs w:val="24"/>
        </w:rPr>
        <w:t>MacLeod et al.</w:t>
      </w:r>
      <w:r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(174)</w:t>
      </w:r>
      <w:r w:rsidRPr="004738E4">
        <w:rPr>
          <w:rFonts w:ascii="Times New Roman" w:hAnsi="Times New Roman" w:cs="Times New Roman"/>
          <w:sz w:val="24"/>
          <w:szCs w:val="24"/>
        </w:rPr>
        <w:t xml:space="preserve">, again with small sample sizes, noted that the </w:t>
      </w:r>
      <w:r w:rsidR="00B967DD" w:rsidRPr="004738E4">
        <w:rPr>
          <w:rFonts w:ascii="Times New Roman" w:hAnsi="Times New Roman" w:cs="Times New Roman"/>
          <w:i/>
          <w:sz w:val="24"/>
          <w:szCs w:val="24"/>
        </w:rPr>
        <w:t>t</w:t>
      </w:r>
      <w:r w:rsidR="00B967DD" w:rsidRPr="004738E4">
        <w:rPr>
          <w:rFonts w:ascii="Times New Roman" w:hAnsi="Times New Roman" w:cs="Times New Roman"/>
          <w:sz w:val="24"/>
          <w:szCs w:val="24"/>
          <w:vertAlign w:val="subscript"/>
        </w:rPr>
        <w:t>1/2</w:t>
      </w:r>
      <w:r w:rsidRPr="004738E4">
        <w:rPr>
          <w:rFonts w:ascii="Times New Roman" w:hAnsi="Times New Roman" w:cs="Times New Roman"/>
          <w:sz w:val="24"/>
          <w:szCs w:val="24"/>
        </w:rPr>
        <w:t xml:space="preserve"> of diazepam was significantly greater in women than men (46.2 h vs. 32.0 h). Moreover, female sex hormones markedly affect the clearance: women using contraceptives exhibited significantly greater percent of diazepam free in plasma as compared to contraceptive-free women, both of which were greater than male percentages </w:t>
      </w:r>
      <w:r w:rsidR="005941EE" w:rsidRPr="004738E4">
        <w:rPr>
          <w:rFonts w:ascii="Times New Roman" w:hAnsi="Times New Roman" w:cs="Times New Roman"/>
          <w:noProof/>
          <w:sz w:val="24"/>
          <w:szCs w:val="24"/>
        </w:rPr>
        <w:t>(174)</w:t>
      </w:r>
      <w:r w:rsidRPr="004738E4">
        <w:rPr>
          <w:rFonts w:ascii="Times New Roman" w:hAnsi="Times New Roman" w:cs="Times New Roman"/>
          <w:sz w:val="24"/>
          <w:szCs w:val="24"/>
        </w:rPr>
        <w:t xml:space="preserve">. These data are consistent with ADR observations that indicate that women are more impaired than men in psychomotor skills after diazepam administration </w:t>
      </w:r>
      <w:r w:rsidR="005941EE" w:rsidRPr="004738E4">
        <w:rPr>
          <w:rFonts w:ascii="Times New Roman" w:hAnsi="Times New Roman" w:cs="Times New Roman"/>
          <w:noProof/>
          <w:sz w:val="24"/>
          <w:szCs w:val="24"/>
        </w:rPr>
        <w:t>(175)</w:t>
      </w:r>
      <w:r w:rsidRPr="004738E4">
        <w:rPr>
          <w:rFonts w:ascii="Times New Roman" w:hAnsi="Times New Roman" w:cs="Times New Roman"/>
          <w:sz w:val="24"/>
          <w:szCs w:val="24"/>
        </w:rPr>
        <w:t xml:space="preserve">. </w:t>
      </w:r>
    </w:p>
    <w:p w14:paraId="3D164C0F" w14:textId="1F790687" w:rsidR="009B7E45" w:rsidRPr="004738E4" w:rsidRDefault="009B7E45" w:rsidP="003406EE">
      <w:pPr>
        <w:kinsoku w:val="0"/>
        <w:overflowPunct w:val="0"/>
        <w:autoSpaceDE w:val="0"/>
        <w:autoSpaceDN w:val="0"/>
        <w:adjustRightInd w:val="0"/>
        <w:spacing w:after="0" w:line="480" w:lineRule="auto"/>
        <w:ind w:left="39"/>
        <w:contextualSpacing/>
        <w:jc w:val="both"/>
        <w:rPr>
          <w:rFonts w:ascii="Times New Roman" w:eastAsia="Times New Roman" w:hAnsi="Times New Roman" w:cs="Times New Roman"/>
          <w:sz w:val="24"/>
          <w:szCs w:val="24"/>
        </w:rPr>
      </w:pPr>
      <w:r w:rsidRPr="004738E4">
        <w:rPr>
          <w:rFonts w:ascii="Times New Roman" w:hAnsi="Times New Roman" w:cs="Times New Roman"/>
          <w:sz w:val="24"/>
          <w:szCs w:val="24"/>
        </w:rPr>
        <w:tab/>
      </w:r>
      <w:r w:rsidR="000270D5" w:rsidRPr="004738E4">
        <w:rPr>
          <w:rFonts w:ascii="Times New Roman" w:hAnsi="Times New Roman" w:cs="Times New Roman"/>
          <w:sz w:val="24"/>
          <w:szCs w:val="24"/>
          <w:u w:val="single"/>
        </w:rPr>
        <w:t>Zolpidem</w:t>
      </w:r>
      <w:r w:rsidR="000270D5" w:rsidRPr="004738E4">
        <w:rPr>
          <w:rFonts w:ascii="Times New Roman" w:hAnsi="Times New Roman" w:cs="Times New Roman"/>
          <w:sz w:val="24"/>
          <w:szCs w:val="24"/>
        </w:rPr>
        <w:t xml:space="preserve">. Zolpidem was FDA-approved in 1992 to treat insomnia (NDA 19908). The sole pre-approval assessment of the effect of </w:t>
      </w:r>
      <w:r w:rsidR="008C3029" w:rsidRPr="004738E4">
        <w:rPr>
          <w:rFonts w:ascii="Times New Roman" w:hAnsi="Times New Roman" w:cs="Times New Roman"/>
          <w:sz w:val="24"/>
          <w:szCs w:val="24"/>
        </w:rPr>
        <w:t>sex</w:t>
      </w:r>
      <w:r w:rsidR="000270D5" w:rsidRPr="004738E4">
        <w:rPr>
          <w:rFonts w:ascii="Times New Roman" w:hAnsi="Times New Roman" w:cs="Times New Roman"/>
          <w:sz w:val="24"/>
          <w:szCs w:val="24"/>
        </w:rPr>
        <w:t xml:space="preserve"> on zolpidem PKs enrolled 19 women and 49 men; both the C</w:t>
      </w:r>
      <w:r w:rsidR="000270D5" w:rsidRPr="004738E4">
        <w:rPr>
          <w:rFonts w:ascii="Times New Roman" w:hAnsi="Times New Roman" w:cs="Times New Roman"/>
          <w:sz w:val="24"/>
          <w:szCs w:val="24"/>
          <w:vertAlign w:val="subscript"/>
        </w:rPr>
        <w:t>max</w:t>
      </w:r>
      <w:r w:rsidR="000270D5" w:rsidRPr="004738E4">
        <w:rPr>
          <w:rFonts w:ascii="Times New Roman" w:hAnsi="Times New Roman" w:cs="Times New Roman"/>
          <w:sz w:val="24"/>
          <w:szCs w:val="24"/>
        </w:rPr>
        <w:t xml:space="preserve"> and </w:t>
      </w:r>
      <w:r w:rsidRPr="004738E4">
        <w:rPr>
          <w:rFonts w:ascii="Times New Roman" w:hAnsi="Times New Roman" w:cs="Times New Roman"/>
          <w:sz w:val="24"/>
          <w:szCs w:val="24"/>
        </w:rPr>
        <w:t xml:space="preserve">AUC </w:t>
      </w:r>
      <w:r w:rsidR="000270D5" w:rsidRPr="004738E4">
        <w:rPr>
          <w:rFonts w:ascii="Times New Roman" w:hAnsi="Times New Roman" w:cs="Times New Roman"/>
          <w:sz w:val="24"/>
          <w:szCs w:val="24"/>
        </w:rPr>
        <w:t xml:space="preserve">were ~45% higher in women. Peak concentrations were also reached 1 hour sooner in women. The lack of specific details of study design did not convince the FDA to recommend dose reductions for women. This was a missed opportunity, which would be repeated many times over the next quarter century. Eight hours after a 10 mg dose of zolpidem, 15% of women and 3% of men had blood zolpidem concentrations of 50 ng/ml or greater </w:t>
      </w:r>
      <w:r w:rsidR="005941EE" w:rsidRPr="004738E4">
        <w:rPr>
          <w:rFonts w:ascii="Times New Roman" w:hAnsi="Times New Roman" w:cs="Times New Roman"/>
          <w:noProof/>
          <w:sz w:val="24"/>
          <w:szCs w:val="24"/>
        </w:rPr>
        <w:t>(176)</w:t>
      </w:r>
      <w:r w:rsidR="000270D5" w:rsidRPr="004738E4">
        <w:rPr>
          <w:rFonts w:ascii="Times New Roman" w:hAnsi="Times New Roman" w:cs="Times New Roman"/>
          <w:sz w:val="24"/>
          <w:szCs w:val="24"/>
        </w:rPr>
        <w:t xml:space="preserve">. </w:t>
      </w:r>
      <w:r w:rsidR="000270D5" w:rsidRPr="004738E4">
        <w:rPr>
          <w:rFonts w:ascii="Times New Roman" w:hAnsi="Times New Roman" w:cs="Times New Roman"/>
          <w:iCs/>
          <w:sz w:val="24"/>
          <w:szCs w:val="24"/>
        </w:rPr>
        <w:t xml:space="preserve">Fast forward to 2011, </w:t>
      </w:r>
      <w:r w:rsidR="000270D5" w:rsidRPr="004738E4">
        <w:rPr>
          <w:rFonts w:ascii="Times New Roman" w:eastAsia="Times New Roman" w:hAnsi="Times New Roman" w:cs="Times New Roman"/>
          <w:sz w:val="24"/>
          <w:szCs w:val="24"/>
        </w:rPr>
        <w:t>when more rigorous pre-approval testing of a newer form of zolpidem tartrate (Intermezzo) was FDA-approved (NDA 022328) after enrolling 259 women and 118 men. W</w:t>
      </w:r>
      <w:r w:rsidR="000270D5" w:rsidRPr="004738E4">
        <w:rPr>
          <w:rFonts w:ascii="Times New Roman" w:hAnsi="Times New Roman" w:cs="Times New Roman"/>
          <w:sz w:val="24"/>
          <w:szCs w:val="24"/>
        </w:rPr>
        <w:t xml:space="preserve">omen cleared zolpidem tartrate after sublingual administration of a 3.5 mg dose at a significantly lower rate than men (2.7 </w:t>
      </w:r>
      <w:r w:rsidR="005D171B" w:rsidRPr="004738E4">
        <w:rPr>
          <w:rFonts w:ascii="Times New Roman" w:hAnsi="Times New Roman" w:cs="Times New Roman"/>
          <w:sz w:val="24"/>
          <w:szCs w:val="24"/>
        </w:rPr>
        <w:t>ml</w:t>
      </w:r>
      <w:r w:rsidR="000270D5" w:rsidRPr="004738E4">
        <w:rPr>
          <w:rFonts w:ascii="Times New Roman" w:hAnsi="Times New Roman" w:cs="Times New Roman"/>
          <w:sz w:val="24"/>
          <w:szCs w:val="24"/>
        </w:rPr>
        <w:t xml:space="preserve">/min/kg vs. 4.0 </w:t>
      </w:r>
      <w:r w:rsidR="007F1394" w:rsidRPr="004738E4">
        <w:rPr>
          <w:rFonts w:ascii="Times New Roman" w:hAnsi="Times New Roman" w:cs="Times New Roman"/>
          <w:sz w:val="24"/>
          <w:szCs w:val="24"/>
        </w:rPr>
        <w:t>ml</w:t>
      </w:r>
      <w:r w:rsidR="000270D5" w:rsidRPr="004738E4">
        <w:rPr>
          <w:rFonts w:ascii="Times New Roman" w:hAnsi="Times New Roman" w:cs="Times New Roman"/>
          <w:sz w:val="24"/>
          <w:szCs w:val="24"/>
        </w:rPr>
        <w:t>/min/kg); C</w:t>
      </w:r>
      <w:r w:rsidR="000270D5" w:rsidRPr="004738E4">
        <w:rPr>
          <w:rFonts w:ascii="Times New Roman" w:hAnsi="Times New Roman" w:cs="Times New Roman"/>
          <w:sz w:val="24"/>
          <w:szCs w:val="24"/>
          <w:vertAlign w:val="subscript"/>
        </w:rPr>
        <w:t>max</w:t>
      </w:r>
      <w:r w:rsidR="000270D5" w:rsidRPr="004738E4">
        <w:rPr>
          <w:rFonts w:ascii="Times New Roman" w:hAnsi="Times New Roman" w:cs="Times New Roman"/>
          <w:sz w:val="24"/>
          <w:szCs w:val="24"/>
        </w:rPr>
        <w:t xml:space="preserve"> and AUC parameters again were ~45% higher in female subjects (e.g., </w:t>
      </w:r>
      <w:r w:rsidR="005941EE" w:rsidRPr="004738E4">
        <w:rPr>
          <w:rFonts w:ascii="Times New Roman" w:hAnsi="Times New Roman" w:cs="Times New Roman"/>
          <w:noProof/>
          <w:sz w:val="24"/>
          <w:szCs w:val="24"/>
        </w:rPr>
        <w:t>(177)</w:t>
      </w:r>
      <w:r w:rsidR="000270D5" w:rsidRPr="004738E4">
        <w:rPr>
          <w:rFonts w:ascii="Times New Roman" w:hAnsi="Times New Roman" w:cs="Times New Roman"/>
          <w:sz w:val="24"/>
          <w:szCs w:val="24"/>
        </w:rPr>
        <w:t>), replicating the zolpidem NDA assessment 21 years prior.</w:t>
      </w:r>
      <w:r w:rsidR="00C45722" w:rsidRPr="004738E4">
        <w:rPr>
          <w:rFonts w:ascii="Times New Roman" w:hAnsi="Times New Roman" w:cs="Times New Roman"/>
          <w:sz w:val="24"/>
          <w:szCs w:val="24"/>
        </w:rPr>
        <w:t xml:space="preserve"> A</w:t>
      </w:r>
      <w:r w:rsidR="000270D5" w:rsidRPr="004738E4">
        <w:rPr>
          <w:rFonts w:ascii="Times New Roman" w:hAnsi="Times New Roman" w:cs="Times New Roman"/>
          <w:sz w:val="24"/>
          <w:szCs w:val="24"/>
        </w:rPr>
        <w:t xml:space="preserve">s recently as 2007, labeling information recommended a dose of 10 mg zolpidem immediately before bedtime for both women and men. By 2013, prompted </w:t>
      </w:r>
      <w:r w:rsidR="000270D5" w:rsidRPr="004738E4">
        <w:rPr>
          <w:rFonts w:ascii="Times New Roman" w:hAnsi="Times New Roman" w:cs="Times New Roman"/>
          <w:sz w:val="24"/>
          <w:szCs w:val="24"/>
        </w:rPr>
        <w:lastRenderedPageBreak/>
        <w:t xml:space="preserve">by post-marketing reports of cognitive deficits, the label advised an initial dose of 5 mg for women. Such reports included data indicating that </w:t>
      </w:r>
      <w:r w:rsidR="000270D5" w:rsidRPr="004738E4">
        <w:rPr>
          <w:rFonts w:ascii="Times New Roman" w:hAnsi="Times New Roman" w:cs="Times New Roman"/>
          <w:iCs/>
          <w:sz w:val="24"/>
          <w:szCs w:val="24"/>
        </w:rPr>
        <w:t xml:space="preserve">women were more seriously compromised than men in driving performance on the morning after middle-of-the-night administration of 10 mg zolpidem </w:t>
      </w:r>
      <w:r w:rsidR="005941EE" w:rsidRPr="004738E4">
        <w:rPr>
          <w:rFonts w:ascii="Times New Roman" w:hAnsi="Times New Roman" w:cs="Times New Roman"/>
          <w:noProof/>
          <w:sz w:val="24"/>
          <w:szCs w:val="24"/>
        </w:rPr>
        <w:t>(178)</w:t>
      </w:r>
      <w:r w:rsidR="000270D5" w:rsidRPr="004738E4">
        <w:rPr>
          <w:rFonts w:ascii="Times New Roman" w:hAnsi="Times New Roman" w:cs="Times New Roman"/>
          <w:sz w:val="24"/>
          <w:szCs w:val="24"/>
        </w:rPr>
        <w:t xml:space="preserve">. </w:t>
      </w:r>
      <w:r w:rsidR="00B746C4" w:rsidRPr="004738E4">
        <w:rPr>
          <w:rFonts w:ascii="Times New Roman" w:hAnsi="Times New Roman" w:cs="Times New Roman"/>
          <w:sz w:val="24"/>
          <w:szCs w:val="24"/>
        </w:rPr>
        <w:t xml:space="preserve">In a study that did not test for sex differences Yang et al. </w:t>
      </w:r>
      <w:r w:rsidR="005941EE" w:rsidRPr="004738E4">
        <w:rPr>
          <w:rFonts w:ascii="Times New Roman" w:hAnsi="Times New Roman" w:cs="Times New Roman"/>
          <w:noProof/>
          <w:sz w:val="24"/>
          <w:szCs w:val="24"/>
        </w:rPr>
        <w:t>(179)</w:t>
      </w:r>
      <w:r w:rsidR="00B746C4" w:rsidRPr="004738E4">
        <w:rPr>
          <w:rFonts w:ascii="Times New Roman" w:hAnsi="Times New Roman" w:cs="Times New Roman"/>
          <w:sz w:val="24"/>
          <w:szCs w:val="24"/>
        </w:rPr>
        <w:t xml:space="preserve"> reported that use of zolpidem </w:t>
      </w:r>
      <w:r w:rsidR="00C45722" w:rsidRPr="004738E4">
        <w:rPr>
          <w:rFonts w:ascii="Times New Roman" w:hAnsi="Times New Roman" w:cs="Times New Roman"/>
          <w:sz w:val="24"/>
          <w:szCs w:val="24"/>
        </w:rPr>
        <w:t>on the previous day</w:t>
      </w:r>
      <w:r w:rsidR="00B746C4" w:rsidRPr="004738E4">
        <w:rPr>
          <w:rFonts w:ascii="Times New Roman" w:hAnsi="Times New Roman" w:cs="Times New Roman"/>
          <w:sz w:val="24"/>
          <w:szCs w:val="24"/>
        </w:rPr>
        <w:t xml:space="preserve"> might be associated with an increased risk of motor vehicle accidents.</w:t>
      </w:r>
      <w:r w:rsidR="00F0645E" w:rsidRPr="004738E4">
        <w:rPr>
          <w:rFonts w:ascii="Times New Roman" w:hAnsi="Times New Roman" w:cs="Times New Roman"/>
          <w:sz w:val="24"/>
          <w:szCs w:val="24"/>
        </w:rPr>
        <w:t xml:space="preserve"> </w:t>
      </w:r>
      <w:r w:rsidR="000270D5" w:rsidRPr="004738E4">
        <w:rPr>
          <w:rFonts w:ascii="Times New Roman" w:hAnsi="Times New Roman" w:cs="Times New Roman"/>
          <w:sz w:val="24"/>
          <w:szCs w:val="24"/>
        </w:rPr>
        <w:t xml:space="preserve">By </w:t>
      </w:r>
      <w:r w:rsidR="00550DEC" w:rsidRPr="004738E4">
        <w:rPr>
          <w:rFonts w:ascii="Times New Roman" w:hAnsi="Times New Roman" w:cs="Times New Roman"/>
          <w:sz w:val="24"/>
          <w:szCs w:val="24"/>
        </w:rPr>
        <w:t xml:space="preserve">2013 </w:t>
      </w:r>
      <w:r w:rsidR="000270D5" w:rsidRPr="004738E4">
        <w:rPr>
          <w:rFonts w:ascii="Times New Roman" w:hAnsi="Times New Roman" w:cs="Times New Roman"/>
          <w:sz w:val="24"/>
          <w:szCs w:val="24"/>
        </w:rPr>
        <w:t>the label information for extended release zolpidem tartrate (NDA 021774) finally advised using the lowest effective dose for the patient, based on findings that women clear zolpidem tartrate from the body at a lower rate than men</w:t>
      </w:r>
      <w:r w:rsidR="00846060" w:rsidRPr="004738E4">
        <w:rPr>
          <w:rFonts w:ascii="Times New Roman" w:hAnsi="Times New Roman" w:cs="Times New Roman"/>
          <w:sz w:val="24"/>
          <w:szCs w:val="24"/>
        </w:rPr>
        <w:t>,</w:t>
      </w:r>
      <w:r w:rsidR="000270D5" w:rsidRPr="004738E4">
        <w:rPr>
          <w:rFonts w:ascii="Times New Roman" w:hAnsi="Times New Roman" w:cs="Times New Roman"/>
          <w:sz w:val="24"/>
          <w:szCs w:val="24"/>
        </w:rPr>
        <w:t xml:space="preserve"> with C</w:t>
      </w:r>
      <w:r w:rsidR="000270D5" w:rsidRPr="004738E4">
        <w:rPr>
          <w:rFonts w:ascii="Times New Roman" w:hAnsi="Times New Roman" w:cs="Times New Roman"/>
          <w:sz w:val="24"/>
          <w:szCs w:val="24"/>
          <w:vertAlign w:val="subscript"/>
        </w:rPr>
        <w:t>max</w:t>
      </w:r>
      <w:r w:rsidR="000270D5" w:rsidRPr="004738E4">
        <w:rPr>
          <w:rFonts w:ascii="Times New Roman" w:hAnsi="Times New Roman" w:cs="Times New Roman"/>
          <w:sz w:val="24"/>
          <w:szCs w:val="24"/>
        </w:rPr>
        <w:t xml:space="preserve"> and AUC approximately 50% and 75% higher at the same dose in women, 6 to 12 hours after dosing (i.e., on the following day). The recommended initial dose of Ambien CR for adult women was </w:t>
      </w:r>
      <w:r w:rsidR="00550DEC" w:rsidRPr="004738E4">
        <w:rPr>
          <w:rFonts w:ascii="Times New Roman" w:hAnsi="Times New Roman" w:cs="Times New Roman"/>
          <w:sz w:val="24"/>
          <w:szCs w:val="24"/>
        </w:rPr>
        <w:t>5</w:t>
      </w:r>
      <w:r w:rsidR="000270D5" w:rsidRPr="004738E4">
        <w:rPr>
          <w:rFonts w:ascii="Times New Roman" w:hAnsi="Times New Roman" w:cs="Times New Roman"/>
          <w:sz w:val="24"/>
          <w:szCs w:val="24"/>
        </w:rPr>
        <w:t xml:space="preserve"> mg, and for men </w:t>
      </w:r>
      <w:r w:rsidR="00550DEC" w:rsidRPr="004738E4">
        <w:rPr>
          <w:rFonts w:ascii="Times New Roman" w:hAnsi="Times New Roman" w:cs="Times New Roman"/>
          <w:sz w:val="24"/>
          <w:szCs w:val="24"/>
        </w:rPr>
        <w:t>5</w:t>
      </w:r>
      <w:r w:rsidR="000270D5" w:rsidRPr="004738E4">
        <w:rPr>
          <w:rFonts w:ascii="Times New Roman" w:hAnsi="Times New Roman" w:cs="Times New Roman"/>
          <w:sz w:val="24"/>
          <w:szCs w:val="24"/>
        </w:rPr>
        <w:t xml:space="preserve"> or </w:t>
      </w:r>
      <w:r w:rsidR="00550DEC" w:rsidRPr="004738E4">
        <w:rPr>
          <w:rFonts w:ascii="Times New Roman" w:hAnsi="Times New Roman" w:cs="Times New Roman"/>
          <w:sz w:val="24"/>
          <w:szCs w:val="24"/>
        </w:rPr>
        <w:t>10</w:t>
      </w:r>
      <w:r w:rsidR="000270D5" w:rsidRPr="004738E4">
        <w:rPr>
          <w:rFonts w:ascii="Times New Roman" w:hAnsi="Times New Roman" w:cs="Times New Roman"/>
          <w:sz w:val="24"/>
          <w:szCs w:val="24"/>
        </w:rPr>
        <w:t xml:space="preserve"> mg. This change in labeling precipitated an increase in the percentage of patients prescribed low-dose zolpidem that was only significant for young women </w:t>
      </w:r>
      <w:r w:rsidR="005941EE" w:rsidRPr="004738E4">
        <w:rPr>
          <w:rFonts w:ascii="Times New Roman" w:hAnsi="Times New Roman" w:cs="Times New Roman"/>
          <w:noProof/>
          <w:sz w:val="24"/>
          <w:szCs w:val="24"/>
        </w:rPr>
        <w:t>(180)</w:t>
      </w:r>
      <w:r w:rsidR="000270D5" w:rsidRPr="004738E4">
        <w:rPr>
          <w:rFonts w:ascii="Times New Roman" w:hAnsi="Times New Roman" w:cs="Times New Roman"/>
          <w:sz w:val="24"/>
          <w:szCs w:val="24"/>
        </w:rPr>
        <w:t>.  It also did not escape pushback from scientists and the pharmaceutical industry: Greenblatt et al.</w:t>
      </w:r>
      <w:r w:rsidR="00035B5A" w:rsidRPr="004738E4">
        <w:rPr>
          <w:rFonts w:ascii="Times New Roman" w:hAnsi="Times New Roman" w:cs="Times New Roman"/>
          <w:sz w:val="24"/>
          <w:szCs w:val="24"/>
        </w:rPr>
        <w:t xml:space="preserve"> (2019)</w:t>
      </w:r>
      <w:r w:rsidR="000270D5" w:rsidRPr="004738E4">
        <w:rPr>
          <w:rFonts w:ascii="Times New Roman" w:hAnsi="Times New Roman" w:cs="Times New Roman"/>
          <w:sz w:val="24"/>
          <w:szCs w:val="24"/>
        </w:rPr>
        <w:t xml:space="preserve"> in a review and reanalysis of earlier studies, note</w:t>
      </w:r>
      <w:r w:rsidR="00567EB2" w:rsidRPr="004738E4">
        <w:rPr>
          <w:rFonts w:ascii="Times New Roman" w:hAnsi="Times New Roman" w:cs="Times New Roman"/>
          <w:sz w:val="24"/>
          <w:szCs w:val="24"/>
        </w:rPr>
        <w:t>d</w:t>
      </w:r>
      <w:r w:rsidR="000270D5" w:rsidRPr="004738E4">
        <w:rPr>
          <w:rFonts w:ascii="Times New Roman" w:hAnsi="Times New Roman" w:cs="Times New Roman"/>
          <w:sz w:val="24"/>
          <w:szCs w:val="24"/>
        </w:rPr>
        <w:t xml:space="preserve"> that none of the epidemiological studies demonstrating driving deficits after zolpidem treatment considered the issue of timing of treatment dosage relative to the timing of driving tests</w:t>
      </w:r>
      <w:r w:rsidR="00C45722" w:rsidRPr="004738E4">
        <w:rPr>
          <w:rFonts w:ascii="Times New Roman" w:hAnsi="Times New Roman" w:cs="Times New Roman"/>
          <w:sz w:val="24"/>
          <w:szCs w:val="24"/>
        </w:rPr>
        <w:t xml:space="preserve"> and</w:t>
      </w:r>
      <w:r w:rsidR="000270D5" w:rsidRPr="004738E4">
        <w:rPr>
          <w:rFonts w:ascii="Times New Roman" w:hAnsi="Times New Roman" w:cs="Times New Roman"/>
          <w:sz w:val="24"/>
          <w:szCs w:val="24"/>
        </w:rPr>
        <w:t xml:space="preserve"> concluded that there is no established relationship between zolpidem concentration and driving impairment</w:t>
      </w:r>
      <w:r w:rsidR="00C45722" w:rsidRPr="004738E4">
        <w:rPr>
          <w:rFonts w:ascii="Times New Roman" w:hAnsi="Times New Roman" w:cs="Times New Roman"/>
          <w:sz w:val="24"/>
          <w:szCs w:val="24"/>
        </w:rPr>
        <w:t>. They</w:t>
      </w:r>
      <w:r w:rsidR="000270D5" w:rsidRPr="004738E4">
        <w:rPr>
          <w:rFonts w:ascii="Times New Roman" w:hAnsi="Times New Roman" w:cs="Times New Roman"/>
          <w:sz w:val="24"/>
          <w:szCs w:val="24"/>
        </w:rPr>
        <w:t xml:space="preserve"> recommended that the FDA revise the mandated dose recommendations for zolpidem to become equivalent to doses in men</w:t>
      </w:r>
      <w:r w:rsidR="00F0645E" w:rsidRPr="004738E4">
        <w:rPr>
          <w:rFonts w:ascii="Times New Roman" w:hAnsi="Times New Roman" w:cs="Times New Roman"/>
          <w:sz w:val="24"/>
          <w:szCs w:val="24"/>
        </w:rPr>
        <w:t>. They</w:t>
      </w:r>
      <w:r w:rsidR="000270D5" w:rsidRPr="004738E4">
        <w:rPr>
          <w:rFonts w:ascii="Times New Roman" w:hAnsi="Times New Roman" w:cs="Times New Roman"/>
          <w:sz w:val="24"/>
          <w:szCs w:val="24"/>
        </w:rPr>
        <w:t xml:space="preserve"> also suggest that dose reductions in women may negatively impact treatment of insomnia, echoing the drug sponsor’s concerns after the label change was proposed by the FDA. These </w:t>
      </w:r>
      <w:r w:rsidR="008E5246" w:rsidRPr="004738E4">
        <w:rPr>
          <w:rFonts w:ascii="Times New Roman" w:hAnsi="Times New Roman" w:cs="Times New Roman"/>
          <w:sz w:val="24"/>
          <w:szCs w:val="24"/>
        </w:rPr>
        <w:t xml:space="preserve">are </w:t>
      </w:r>
      <w:r w:rsidR="000270D5" w:rsidRPr="004738E4">
        <w:rPr>
          <w:rFonts w:ascii="Times New Roman" w:hAnsi="Times New Roman" w:cs="Times New Roman"/>
          <w:sz w:val="24"/>
          <w:szCs w:val="24"/>
        </w:rPr>
        <w:t>valid considerations</w:t>
      </w:r>
      <w:r w:rsidR="008E5246" w:rsidRPr="004738E4">
        <w:rPr>
          <w:rFonts w:ascii="Times New Roman" w:hAnsi="Times New Roman" w:cs="Times New Roman"/>
          <w:sz w:val="24"/>
          <w:szCs w:val="24"/>
        </w:rPr>
        <w:t xml:space="preserve">; </w:t>
      </w:r>
      <w:r w:rsidR="000270D5" w:rsidRPr="004738E4">
        <w:rPr>
          <w:rFonts w:ascii="Times New Roman" w:hAnsi="Times New Roman" w:cs="Times New Roman"/>
          <w:sz w:val="24"/>
          <w:szCs w:val="24"/>
        </w:rPr>
        <w:t xml:space="preserve">earlier data, </w:t>
      </w:r>
      <w:r w:rsidR="008E5246" w:rsidRPr="004738E4">
        <w:rPr>
          <w:rFonts w:ascii="Times New Roman" w:hAnsi="Times New Roman" w:cs="Times New Roman"/>
          <w:sz w:val="24"/>
          <w:szCs w:val="24"/>
        </w:rPr>
        <w:t xml:space="preserve">however, </w:t>
      </w:r>
      <w:r w:rsidR="000270D5" w:rsidRPr="004738E4">
        <w:rPr>
          <w:rFonts w:ascii="Times New Roman" w:hAnsi="Times New Roman" w:cs="Times New Roman"/>
          <w:sz w:val="24"/>
          <w:szCs w:val="24"/>
        </w:rPr>
        <w:t>not associated with driving tests</w:t>
      </w:r>
      <w:r w:rsidR="00B7054E" w:rsidRPr="004738E4">
        <w:rPr>
          <w:rFonts w:ascii="Times New Roman" w:hAnsi="Times New Roman" w:cs="Times New Roman"/>
          <w:sz w:val="24"/>
          <w:szCs w:val="24"/>
        </w:rPr>
        <w:t>,</w:t>
      </w:r>
      <w:r w:rsidR="00567EB2" w:rsidRPr="004738E4">
        <w:rPr>
          <w:rFonts w:ascii="Times New Roman" w:hAnsi="Times New Roman" w:cs="Times New Roman"/>
          <w:sz w:val="24"/>
          <w:szCs w:val="24"/>
        </w:rPr>
        <w:t xml:space="preserve"> </w:t>
      </w:r>
      <w:r w:rsidR="00910D8C" w:rsidRPr="004738E4">
        <w:rPr>
          <w:rFonts w:ascii="Times New Roman" w:hAnsi="Times New Roman" w:cs="Times New Roman"/>
          <w:sz w:val="24"/>
          <w:szCs w:val="24"/>
        </w:rPr>
        <w:t xml:space="preserve">provide circumstantial evidence </w:t>
      </w:r>
      <w:r w:rsidR="000270D5" w:rsidRPr="004738E4">
        <w:rPr>
          <w:rFonts w:ascii="Times New Roman" w:hAnsi="Times New Roman" w:cs="Times New Roman"/>
          <w:sz w:val="24"/>
          <w:szCs w:val="24"/>
        </w:rPr>
        <w:t xml:space="preserve">that zolpidem concentrations would be substantially increased at times corresponding to when driving could reasonably be assumed to be occurring: </w:t>
      </w:r>
      <w:r w:rsidR="00910D8C" w:rsidRPr="004738E4">
        <w:rPr>
          <w:rFonts w:ascii="Times New Roman" w:hAnsi="Times New Roman" w:cs="Times New Roman"/>
          <w:sz w:val="24"/>
          <w:szCs w:val="24"/>
        </w:rPr>
        <w:t xml:space="preserve">i.e., </w:t>
      </w:r>
      <w:r w:rsidR="000270D5" w:rsidRPr="004738E4">
        <w:rPr>
          <w:rFonts w:ascii="Times New Roman" w:hAnsi="Times New Roman" w:cs="Times New Roman"/>
          <w:sz w:val="24"/>
          <w:szCs w:val="24"/>
        </w:rPr>
        <w:t xml:space="preserve">12 hours </w:t>
      </w:r>
      <w:r w:rsidR="000270D5" w:rsidRPr="004738E4">
        <w:rPr>
          <w:rFonts w:ascii="Times New Roman" w:hAnsi="Times New Roman" w:cs="Times New Roman"/>
          <w:sz w:val="24"/>
          <w:szCs w:val="24"/>
        </w:rPr>
        <w:lastRenderedPageBreak/>
        <w:t>after dosing, zolpidem concentrations were 2- to 3 fold higher in adult female compared to adult male subjects (</w:t>
      </w:r>
      <w:r w:rsidR="000270D5" w:rsidRPr="004738E4">
        <w:rPr>
          <w:rFonts w:ascii="Times New Roman" w:eastAsia="Times New Roman" w:hAnsi="Times New Roman" w:cs="Times New Roman"/>
          <w:sz w:val="24"/>
          <w:szCs w:val="24"/>
        </w:rPr>
        <w:t xml:space="preserve">NDA </w:t>
      </w:r>
      <w:r w:rsidR="000270D5" w:rsidRPr="004738E4">
        <w:rPr>
          <w:rFonts w:ascii="Times New Roman" w:hAnsi="Times New Roman" w:cs="Times New Roman"/>
          <w:bCs/>
          <w:sz w:val="24"/>
          <w:szCs w:val="24"/>
        </w:rPr>
        <w:t>021774)</w:t>
      </w:r>
      <w:r w:rsidR="000270D5" w:rsidRPr="004738E4">
        <w:rPr>
          <w:rFonts w:ascii="Times New Roman" w:hAnsi="Times New Roman" w:cs="Times New Roman"/>
          <w:sz w:val="24"/>
          <w:szCs w:val="24"/>
        </w:rPr>
        <w:t>.</w:t>
      </w:r>
      <w:r w:rsidR="000270D5" w:rsidRPr="004738E4">
        <w:rPr>
          <w:rFonts w:ascii="Times New Roman" w:eastAsia="Times New Roman" w:hAnsi="Times New Roman" w:cs="Times New Roman"/>
          <w:sz w:val="24"/>
          <w:szCs w:val="24"/>
        </w:rPr>
        <w:t xml:space="preserve"> And </w:t>
      </w:r>
      <w:r w:rsidR="000270D5" w:rsidRPr="004738E4">
        <w:rPr>
          <w:rFonts w:ascii="Times New Roman" w:hAnsi="Times New Roman" w:cs="Times New Roman"/>
          <w:sz w:val="24"/>
          <w:szCs w:val="24"/>
        </w:rPr>
        <w:t>8.5 hours after a dosing of 10 mg Ambien, circulating concentrations averaged 38 ng/ml in women and 17 ng/ml in men; 5 of 16 women, but only 1 of 17 men generated blood levels ≥50 ng/ml (</w:t>
      </w:r>
      <w:r w:rsidR="000270D5" w:rsidRPr="004738E4">
        <w:rPr>
          <w:rFonts w:ascii="Times New Roman" w:eastAsia="Times New Roman" w:hAnsi="Times New Roman" w:cs="Times New Roman"/>
          <w:sz w:val="24"/>
          <w:szCs w:val="24"/>
        </w:rPr>
        <w:t xml:space="preserve">NDA </w:t>
      </w:r>
      <w:r w:rsidR="000270D5" w:rsidRPr="004738E4">
        <w:rPr>
          <w:rFonts w:ascii="Times New Roman" w:hAnsi="Times New Roman" w:cs="Times New Roman"/>
          <w:bCs/>
          <w:sz w:val="24"/>
          <w:szCs w:val="24"/>
        </w:rPr>
        <w:t>021774). Greenblatt et al.</w:t>
      </w:r>
      <w:r w:rsidR="00035B5A" w:rsidRPr="004738E4">
        <w:rPr>
          <w:rFonts w:ascii="Times New Roman" w:hAnsi="Times New Roman" w:cs="Times New Roman"/>
          <w:bCs/>
          <w:sz w:val="24"/>
          <w:szCs w:val="24"/>
        </w:rPr>
        <w:t xml:space="preserve"> (2019)</w:t>
      </w:r>
      <w:r w:rsidR="000270D5" w:rsidRPr="004738E4">
        <w:rPr>
          <w:rFonts w:ascii="Times New Roman" w:hAnsi="Times New Roman" w:cs="Times New Roman"/>
          <w:bCs/>
          <w:sz w:val="24"/>
          <w:szCs w:val="24"/>
        </w:rPr>
        <w:t xml:space="preserve"> reanalyzing data from a study that did not evaluate </w:t>
      </w:r>
      <w:r w:rsidR="008C3029" w:rsidRPr="004738E4">
        <w:rPr>
          <w:rFonts w:ascii="Times New Roman" w:hAnsi="Times New Roman" w:cs="Times New Roman"/>
          <w:bCs/>
          <w:sz w:val="24"/>
          <w:szCs w:val="24"/>
        </w:rPr>
        <w:t>sex</w:t>
      </w:r>
      <w:r w:rsidR="000270D5" w:rsidRPr="004738E4">
        <w:rPr>
          <w:rFonts w:ascii="Times New Roman" w:hAnsi="Times New Roman" w:cs="Times New Roman"/>
          <w:bCs/>
          <w:sz w:val="24"/>
          <w:szCs w:val="24"/>
        </w:rPr>
        <w:t xml:space="preserve"> differences </w:t>
      </w:r>
      <w:r w:rsidR="005941EE" w:rsidRPr="004738E4">
        <w:rPr>
          <w:rFonts w:ascii="Times New Roman" w:hAnsi="Times New Roman" w:cs="Times New Roman"/>
          <w:bCs/>
          <w:noProof/>
          <w:sz w:val="24"/>
          <w:szCs w:val="24"/>
        </w:rPr>
        <w:t>(181)</w:t>
      </w:r>
      <w:r w:rsidR="000270D5" w:rsidRPr="004738E4">
        <w:rPr>
          <w:rFonts w:ascii="Times New Roman" w:hAnsi="Times New Roman" w:cs="Times New Roman"/>
          <w:bCs/>
          <w:sz w:val="24"/>
          <w:szCs w:val="24"/>
        </w:rPr>
        <w:t xml:space="preserve"> reported that </w:t>
      </w:r>
      <w:r w:rsidR="000270D5" w:rsidRPr="004738E4">
        <w:rPr>
          <w:rFonts w:ascii="Times New Roman" w:hAnsi="Times New Roman" w:cs="Times New Roman"/>
          <w:sz w:val="24"/>
          <w:szCs w:val="24"/>
        </w:rPr>
        <w:t xml:space="preserve">8-hour post-dosage plasma zolpidem concentrations were higher in women than in men for both the 10 mg immediate release and 12.5 mg modified release dose trials and that self-rated and/or observer-rated sedation was significantly greater in women than men for both treatments. </w:t>
      </w:r>
    </w:p>
    <w:p w14:paraId="62F1BF92" w14:textId="5AE08629" w:rsidR="00EE37C5" w:rsidRPr="004738E4" w:rsidRDefault="00EE37C5" w:rsidP="003406EE">
      <w:pPr>
        <w:kinsoku w:val="0"/>
        <w:overflowPunct w:val="0"/>
        <w:autoSpaceDE w:val="0"/>
        <w:autoSpaceDN w:val="0"/>
        <w:adjustRightInd w:val="0"/>
        <w:spacing w:after="0" w:line="480" w:lineRule="auto"/>
        <w:ind w:left="39" w:firstLine="681"/>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Clob</w:t>
      </w:r>
      <w:r w:rsidR="003A340C" w:rsidRPr="004738E4">
        <w:rPr>
          <w:rFonts w:ascii="Times New Roman" w:hAnsi="Times New Roman" w:cs="Times New Roman"/>
          <w:sz w:val="24"/>
          <w:szCs w:val="24"/>
          <w:u w:val="single"/>
        </w:rPr>
        <w:t>a</w:t>
      </w:r>
      <w:r w:rsidRPr="004738E4">
        <w:rPr>
          <w:rFonts w:ascii="Times New Roman" w:hAnsi="Times New Roman" w:cs="Times New Roman"/>
          <w:sz w:val="24"/>
          <w:szCs w:val="24"/>
          <w:u w:val="single"/>
        </w:rPr>
        <w:t>zam.</w:t>
      </w:r>
      <w:r w:rsidRPr="004738E4">
        <w:rPr>
          <w:rFonts w:ascii="Times New Roman" w:hAnsi="Times New Roman" w:cs="Times New Roman"/>
          <w:sz w:val="24"/>
          <w:szCs w:val="24"/>
        </w:rPr>
        <w:t xml:space="preserve"> Distribution was larger in women than men of all ages. In young subjects, elimination </w:t>
      </w:r>
      <w:r w:rsidR="00512A48" w:rsidRPr="004738E4">
        <w:rPr>
          <w:rFonts w:ascii="Times New Roman" w:hAnsi="Times New Roman" w:cs="Times New Roman"/>
          <w:i/>
          <w:sz w:val="24"/>
          <w:szCs w:val="24"/>
        </w:rPr>
        <w:t>t</w:t>
      </w:r>
      <w:r w:rsidR="00512A48" w:rsidRPr="004738E4">
        <w:rPr>
          <w:rFonts w:ascii="Times New Roman" w:hAnsi="Times New Roman" w:cs="Times New Roman"/>
          <w:sz w:val="24"/>
          <w:szCs w:val="24"/>
          <w:vertAlign w:val="subscript"/>
        </w:rPr>
        <w:t>1/2</w:t>
      </w:r>
      <w:r w:rsidRPr="004738E4">
        <w:rPr>
          <w:rFonts w:ascii="Times New Roman" w:hAnsi="Times New Roman" w:cs="Times New Roman"/>
          <w:sz w:val="24"/>
          <w:szCs w:val="24"/>
        </w:rPr>
        <w:t xml:space="preserve"> was longer in women than in men </w:t>
      </w:r>
      <w:r w:rsidR="005941EE" w:rsidRPr="004738E4">
        <w:rPr>
          <w:rFonts w:ascii="Times New Roman" w:hAnsi="Times New Roman" w:cs="Times New Roman"/>
          <w:noProof/>
          <w:sz w:val="24"/>
          <w:szCs w:val="24"/>
        </w:rPr>
        <w:t>(182)</w:t>
      </w:r>
      <w:r w:rsidR="00512A48" w:rsidRPr="004738E4">
        <w:rPr>
          <w:rFonts w:ascii="Times New Roman" w:hAnsi="Times New Roman" w:cs="Times New Roman"/>
          <w:sz w:val="24"/>
          <w:szCs w:val="24"/>
        </w:rPr>
        <w:t>. ADR r</w:t>
      </w:r>
      <w:r w:rsidRPr="004738E4">
        <w:rPr>
          <w:rFonts w:ascii="Times New Roman" w:hAnsi="Times New Roman" w:cs="Times New Roman"/>
          <w:sz w:val="24"/>
          <w:szCs w:val="24"/>
        </w:rPr>
        <w:t>atio of 1.1 based on 6372 reports.</w:t>
      </w:r>
    </w:p>
    <w:p w14:paraId="2D09FB96" w14:textId="0591250C" w:rsidR="000270D5" w:rsidRPr="004738E4" w:rsidRDefault="000270D5"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Eszopiclone</w:t>
      </w:r>
      <w:r w:rsidRPr="004738E4">
        <w:rPr>
          <w:rFonts w:ascii="Times New Roman" w:hAnsi="Times New Roman" w:cs="Times New Roman"/>
          <w:sz w:val="24"/>
          <w:szCs w:val="24"/>
        </w:rPr>
        <w:t>.</w:t>
      </w:r>
      <w:r w:rsidRPr="004738E4" w:rsidDel="00182D61">
        <w:rPr>
          <w:rFonts w:ascii="Times New Roman" w:hAnsi="Times New Roman" w:cs="Times New Roman"/>
          <w:sz w:val="24"/>
          <w:szCs w:val="24"/>
        </w:rPr>
        <w:t xml:space="preserve"> </w:t>
      </w:r>
      <w:r w:rsidRPr="004738E4">
        <w:rPr>
          <w:rFonts w:ascii="Times New Roman" w:hAnsi="Times New Roman" w:cs="Times New Roman"/>
          <w:sz w:val="24"/>
          <w:szCs w:val="24"/>
        </w:rPr>
        <w:t xml:space="preserve">Under steady-state conditions, women had a 25% higher AUC for eszopiclone (NDA 21476). Dysgeusia was more intense and longer lasting in women than in men, and positively correlated with drug plasma and saliva </w:t>
      </w:r>
      <w:r w:rsidR="00C45722" w:rsidRPr="004738E4">
        <w:rPr>
          <w:rFonts w:ascii="Times New Roman" w:hAnsi="Times New Roman" w:cs="Times New Roman"/>
          <w:sz w:val="24"/>
          <w:szCs w:val="24"/>
        </w:rPr>
        <w:t>concentrations</w:t>
      </w:r>
      <w:r w:rsidR="00512A48"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(183)</w:t>
      </w:r>
      <w:r w:rsidRPr="004738E4">
        <w:rPr>
          <w:rFonts w:ascii="Times New Roman" w:hAnsi="Times New Roman" w:cs="Times New Roman"/>
          <w:sz w:val="24"/>
          <w:szCs w:val="24"/>
        </w:rPr>
        <w:t>.</w:t>
      </w:r>
    </w:p>
    <w:p w14:paraId="1F7CBC4B" w14:textId="3DAEB993" w:rsidR="000270D5" w:rsidRPr="004738E4" w:rsidRDefault="000270D5"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Sertindole</w:t>
      </w:r>
      <w:r w:rsidRPr="004738E4">
        <w:rPr>
          <w:rFonts w:ascii="Times New Roman" w:hAnsi="Times New Roman" w:cs="Times New Roman"/>
          <w:sz w:val="24"/>
          <w:szCs w:val="24"/>
        </w:rPr>
        <w:t>. Multiple oral dosing yielded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values 20% higher in young and 31% higher in elderly women compared to men of similar age. The mean AUC values within a single dosing interval were 29% higher in women than men and persisted after correction for body weight; this sex difference may reflect an age disparity as women in the study were substantially older than men </w:t>
      </w:r>
      <w:r w:rsidR="005941EE" w:rsidRPr="004738E4">
        <w:rPr>
          <w:rFonts w:ascii="Times New Roman" w:hAnsi="Times New Roman" w:cs="Times New Roman"/>
          <w:noProof/>
          <w:sz w:val="24"/>
          <w:szCs w:val="24"/>
        </w:rPr>
        <w:t>(184)</w:t>
      </w:r>
      <w:r w:rsidRPr="004738E4">
        <w:rPr>
          <w:rFonts w:ascii="Times New Roman" w:hAnsi="Times New Roman" w:cs="Times New Roman"/>
          <w:sz w:val="24"/>
          <w:szCs w:val="24"/>
        </w:rPr>
        <w:t>. ADR ratio of 1.06</w:t>
      </w:r>
      <w:r w:rsidR="002B7A64"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611 reports.</w:t>
      </w:r>
    </w:p>
    <w:p w14:paraId="12F30F04" w14:textId="01567CF9" w:rsidR="0056190D" w:rsidRPr="004738E4" w:rsidRDefault="0056190D"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 xml:space="preserve">Thiothixene </w:t>
      </w:r>
      <w:r w:rsidRPr="004738E4">
        <w:rPr>
          <w:rFonts w:ascii="Times New Roman" w:hAnsi="Times New Roman" w:cs="Times New Roman"/>
          <w:sz w:val="24"/>
          <w:szCs w:val="24"/>
        </w:rPr>
        <w:t xml:space="preserve">(tiotixene). Orally administered thiothixene had higher clearance in men than women (48 vs 22 L/min; </w:t>
      </w:r>
      <w:r w:rsidR="005941EE" w:rsidRPr="004738E4">
        <w:rPr>
          <w:rFonts w:ascii="Times New Roman" w:hAnsi="Times New Roman" w:cs="Times New Roman"/>
          <w:noProof/>
          <w:sz w:val="24"/>
          <w:szCs w:val="24"/>
        </w:rPr>
        <w:t>(185)</w:t>
      </w:r>
      <w:r w:rsidRPr="004738E4">
        <w:rPr>
          <w:rFonts w:ascii="Times New Roman" w:hAnsi="Times New Roman" w:cs="Times New Roman"/>
          <w:sz w:val="24"/>
          <w:szCs w:val="24"/>
        </w:rPr>
        <w:t>). The ADR ratio was 1.35</w:t>
      </w:r>
      <w:r w:rsidR="002B7A64"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949 reports.</w:t>
      </w:r>
    </w:p>
    <w:p w14:paraId="4D0BFBE8" w14:textId="651EFB10" w:rsidR="0056190D" w:rsidRPr="004738E4" w:rsidRDefault="0056190D"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Oxazepam</w:t>
      </w:r>
      <w:r w:rsidRPr="004738E4">
        <w:rPr>
          <w:rFonts w:ascii="Times New Roman" w:hAnsi="Times New Roman" w:cs="Times New Roman"/>
          <w:sz w:val="24"/>
          <w:szCs w:val="24"/>
        </w:rPr>
        <w:t xml:space="preserve">. Clearance of oxazepam was significantly slower in women than men (9.7 h vs. 7.8 h; </w:t>
      </w:r>
      <w:r w:rsidR="005941EE" w:rsidRPr="004738E4">
        <w:rPr>
          <w:rFonts w:ascii="Times New Roman" w:hAnsi="Times New Roman" w:cs="Times New Roman"/>
          <w:noProof/>
          <w:sz w:val="24"/>
          <w:szCs w:val="24"/>
        </w:rPr>
        <w:t>(186)</w:t>
      </w:r>
      <w:r w:rsidRPr="004738E4">
        <w:rPr>
          <w:rFonts w:ascii="Times New Roman" w:hAnsi="Times New Roman" w:cs="Times New Roman"/>
          <w:sz w:val="24"/>
          <w:szCs w:val="24"/>
        </w:rPr>
        <w:t>). The ADR ratio was 1.31</w:t>
      </w:r>
      <w:r w:rsidR="002B7A64"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6573 reports.</w:t>
      </w:r>
    </w:p>
    <w:p w14:paraId="30788ED0" w14:textId="7E669F29" w:rsidR="009B7E45" w:rsidRPr="004738E4" w:rsidRDefault="009B7E45"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lastRenderedPageBreak/>
        <w:t>Temazepam</w:t>
      </w:r>
      <w:r w:rsidRPr="004738E4">
        <w:rPr>
          <w:rFonts w:ascii="Times New Roman" w:hAnsi="Times New Roman" w:cs="Times New Roman"/>
          <w:sz w:val="24"/>
          <w:szCs w:val="24"/>
        </w:rPr>
        <w:t>. The elimination</w:t>
      </w:r>
      <w:r w:rsidR="00B967DD" w:rsidRPr="004738E4">
        <w:rPr>
          <w:rFonts w:ascii="Times New Roman" w:hAnsi="Times New Roman" w:cs="Times New Roman"/>
          <w:sz w:val="24"/>
          <w:szCs w:val="24"/>
        </w:rPr>
        <w:t xml:space="preserve"> </w:t>
      </w:r>
      <w:r w:rsidR="00B967DD" w:rsidRPr="004738E4">
        <w:rPr>
          <w:rFonts w:ascii="Times New Roman" w:hAnsi="Times New Roman" w:cs="Times New Roman"/>
          <w:i/>
          <w:sz w:val="24"/>
          <w:szCs w:val="24"/>
        </w:rPr>
        <w:t>t</w:t>
      </w:r>
      <w:r w:rsidR="00B967DD" w:rsidRPr="004738E4">
        <w:rPr>
          <w:rFonts w:ascii="Times New Roman" w:hAnsi="Times New Roman" w:cs="Times New Roman"/>
          <w:sz w:val="24"/>
          <w:szCs w:val="24"/>
          <w:vertAlign w:val="subscript"/>
        </w:rPr>
        <w:t>1/2</w:t>
      </w:r>
      <w:r w:rsidRPr="004738E4">
        <w:rPr>
          <w:rFonts w:ascii="Times New Roman" w:hAnsi="Times New Roman" w:cs="Times New Roman"/>
          <w:sz w:val="24"/>
          <w:szCs w:val="24"/>
        </w:rPr>
        <w:t xml:space="preserve"> was consistently longer in women than men (16.8 vs. 12.3 h); clearance of</w:t>
      </w:r>
      <w:r w:rsidRPr="004738E4">
        <w:rPr>
          <w:rFonts w:ascii="Times New Roman" w:hAnsi="Times New Roman" w:cs="Times New Roman"/>
          <w:spacing w:val="10"/>
          <w:sz w:val="24"/>
          <w:szCs w:val="24"/>
        </w:rPr>
        <w:t xml:space="preserve"> </w:t>
      </w:r>
      <w:r w:rsidRPr="004738E4">
        <w:rPr>
          <w:rFonts w:ascii="Times New Roman" w:hAnsi="Times New Roman" w:cs="Times New Roman"/>
          <w:sz w:val="24"/>
          <w:szCs w:val="24"/>
        </w:rPr>
        <w:t xml:space="preserve">unbound temazepam was higher in men </w:t>
      </w:r>
      <w:r w:rsidR="0067204B" w:rsidRPr="004738E4">
        <w:rPr>
          <w:rFonts w:ascii="Times New Roman" w:hAnsi="Times New Roman" w:cs="Times New Roman"/>
          <w:sz w:val="24"/>
          <w:szCs w:val="24"/>
        </w:rPr>
        <w:t xml:space="preserve">than women </w:t>
      </w:r>
      <w:r w:rsidR="005941EE" w:rsidRPr="004738E4">
        <w:rPr>
          <w:rFonts w:ascii="Times New Roman" w:hAnsi="Times New Roman" w:cs="Times New Roman"/>
          <w:noProof/>
          <w:sz w:val="24"/>
          <w:szCs w:val="24"/>
        </w:rPr>
        <w:t>(187)</w:t>
      </w:r>
      <w:r w:rsidRPr="004738E4">
        <w:rPr>
          <w:rFonts w:ascii="Times New Roman" w:hAnsi="Times New Roman" w:cs="Times New Roman"/>
          <w:sz w:val="24"/>
          <w:szCs w:val="24"/>
        </w:rPr>
        <w:t>. The ADR ratio was 1.34 based on 4508 reports.</w:t>
      </w:r>
    </w:p>
    <w:p w14:paraId="500AD7BF" w14:textId="0B0199AA" w:rsidR="009B7E45" w:rsidRPr="004738E4" w:rsidRDefault="0056190D" w:rsidP="003406EE">
      <w:pPr>
        <w:autoSpaceDE w:val="0"/>
        <w:autoSpaceDN w:val="0"/>
        <w:adjustRightInd w:val="0"/>
        <w:spacing w:after="0" w:line="480" w:lineRule="auto"/>
        <w:ind w:firstLine="720"/>
        <w:contextualSpacing/>
        <w:jc w:val="both"/>
        <w:rPr>
          <w:rFonts w:ascii="Times New Roman" w:hAnsi="Times New Roman" w:cs="Times New Roman"/>
          <w:sz w:val="24"/>
          <w:szCs w:val="24"/>
          <w:u w:val="single"/>
        </w:rPr>
      </w:pPr>
      <w:r w:rsidRPr="004738E4">
        <w:rPr>
          <w:rFonts w:ascii="Times New Roman" w:hAnsi="Times New Roman" w:cs="Times New Roman"/>
          <w:sz w:val="24"/>
          <w:szCs w:val="24"/>
          <w:u w:val="single"/>
        </w:rPr>
        <w:t>Zopiclone</w:t>
      </w:r>
      <w:r w:rsidRPr="004738E4">
        <w:rPr>
          <w:rFonts w:ascii="Times New Roman" w:hAnsi="Times New Roman" w:cs="Times New Roman"/>
          <w:sz w:val="24"/>
          <w:szCs w:val="24"/>
        </w:rPr>
        <w:t>. The C</w:t>
      </w:r>
      <w:r w:rsidRPr="004738E4">
        <w:rPr>
          <w:rFonts w:ascii="Times New Roman" w:hAnsi="Times New Roman" w:cs="Times New Roman"/>
          <w:sz w:val="24"/>
          <w:szCs w:val="24"/>
          <w:vertAlign w:val="subscript"/>
        </w:rPr>
        <w:t>max</w:t>
      </w:r>
      <w:r w:rsidRPr="004738E4">
        <w:rPr>
          <w:rFonts w:ascii="Times New Roman" w:hAnsi="Times New Roman" w:cs="Times New Roman"/>
          <w:sz w:val="24"/>
          <w:szCs w:val="24"/>
        </w:rPr>
        <w:t xml:space="preserve"> was 14% to 24% higher, and the AUC was 16% to 20% higher in women than men </w:t>
      </w:r>
      <w:r w:rsidR="005941EE" w:rsidRPr="004738E4">
        <w:rPr>
          <w:rFonts w:ascii="Times New Roman" w:hAnsi="Times New Roman" w:cs="Times New Roman"/>
          <w:noProof/>
          <w:sz w:val="24"/>
          <w:szCs w:val="24"/>
        </w:rPr>
        <w:t>(188)</w:t>
      </w:r>
      <w:r w:rsidRPr="004738E4">
        <w:rPr>
          <w:rFonts w:ascii="Times New Roman" w:hAnsi="Times New Roman" w:cs="Times New Roman"/>
          <w:sz w:val="24"/>
          <w:szCs w:val="24"/>
        </w:rPr>
        <w:t xml:space="preserve">. Zopiclone impaired driving equally in men and women in the morning, until 11 hours after bedtime ingestion </w:t>
      </w:r>
      <w:r w:rsidR="005941EE" w:rsidRPr="004738E4">
        <w:rPr>
          <w:rFonts w:ascii="Times New Roman" w:hAnsi="Times New Roman" w:cs="Times New Roman"/>
          <w:noProof/>
          <w:sz w:val="24"/>
          <w:szCs w:val="24"/>
        </w:rPr>
        <w:t>(189)</w:t>
      </w:r>
      <w:r w:rsidRPr="004738E4">
        <w:rPr>
          <w:rFonts w:ascii="Times New Roman" w:hAnsi="Times New Roman" w:cs="Times New Roman"/>
          <w:sz w:val="24"/>
          <w:szCs w:val="24"/>
        </w:rPr>
        <w:t>; however, these behavioral conclusions were based on small sample sizes (13 men, 12 women) and were performed in patients with no history of insomnia. The ADR ratio was 1.55</w:t>
      </w:r>
      <w:r w:rsidR="002B7A64"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9632 reports in the </w:t>
      </w:r>
      <w:r w:rsidRPr="004738E4">
        <w:rPr>
          <w:rFonts w:ascii="Times New Roman" w:hAnsi="Times New Roman" w:cs="Times New Roman"/>
          <w:i/>
          <w:sz w:val="24"/>
          <w:szCs w:val="24"/>
        </w:rPr>
        <w:t>VigiBase</w:t>
      </w:r>
      <w:r w:rsidRPr="004738E4">
        <w:rPr>
          <w:rFonts w:ascii="Times New Roman" w:hAnsi="Times New Roman" w:cs="Times New Roman"/>
          <w:sz w:val="24"/>
          <w:szCs w:val="24"/>
        </w:rPr>
        <w:t>.</w:t>
      </w:r>
    </w:p>
    <w:p w14:paraId="0FFEDCA0" w14:textId="77777777" w:rsidR="001D40E5" w:rsidRPr="004738E4" w:rsidRDefault="001D40E5" w:rsidP="003406EE">
      <w:pPr>
        <w:shd w:val="clear" w:color="auto" w:fill="FFFFFF"/>
        <w:spacing w:after="0" w:line="480" w:lineRule="auto"/>
        <w:contextualSpacing/>
        <w:jc w:val="both"/>
        <w:rPr>
          <w:rFonts w:ascii="Times New Roman" w:hAnsi="Times New Roman" w:cs="Times New Roman"/>
          <w:sz w:val="24"/>
          <w:szCs w:val="24"/>
        </w:rPr>
      </w:pPr>
    </w:p>
    <w:p w14:paraId="095AB0A0" w14:textId="3082CA3F" w:rsidR="001D40E5" w:rsidRPr="004738E4" w:rsidRDefault="001D40E5"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N6: Nervous system – Psychoanaleptics</w:t>
      </w:r>
    </w:p>
    <w:p w14:paraId="1933580D" w14:textId="6DDC7414" w:rsidR="009B7E45" w:rsidRPr="004738E4" w:rsidRDefault="009B7E45" w:rsidP="003406EE">
      <w:pPr>
        <w:spacing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t>Antidepressants are disproportionately prescribed to women. During 2011–2014, 12.7% of persons in the U</w:t>
      </w:r>
      <w:r w:rsidR="00BB79B4" w:rsidRPr="004738E4">
        <w:rPr>
          <w:rFonts w:ascii="Times New Roman" w:hAnsi="Times New Roman" w:cs="Times New Roman"/>
          <w:sz w:val="24"/>
          <w:szCs w:val="24"/>
        </w:rPr>
        <w:t>.</w:t>
      </w:r>
      <w:r w:rsidRPr="004738E4">
        <w:rPr>
          <w:rFonts w:ascii="Times New Roman" w:hAnsi="Times New Roman" w:cs="Times New Roman"/>
          <w:sz w:val="24"/>
          <w:szCs w:val="24"/>
        </w:rPr>
        <w:t>S</w:t>
      </w:r>
      <w:r w:rsidR="00BB79B4" w:rsidRPr="004738E4">
        <w:rPr>
          <w:rFonts w:ascii="Times New Roman" w:hAnsi="Times New Roman" w:cs="Times New Roman"/>
          <w:sz w:val="24"/>
          <w:szCs w:val="24"/>
        </w:rPr>
        <w:t>.</w:t>
      </w:r>
      <w:r w:rsidRPr="004738E4">
        <w:rPr>
          <w:rFonts w:ascii="Times New Roman" w:hAnsi="Times New Roman" w:cs="Times New Roman"/>
          <w:sz w:val="24"/>
          <w:szCs w:val="24"/>
        </w:rPr>
        <w:t xml:space="preserve"> aged 12 and older reported taking antidepressants in the previous month; the overall ratio of women to men on antidepressants is at least 2:1 among Caucasians and Hispanics</w:t>
      </w:r>
      <w:r w:rsidR="005C43DA" w:rsidRPr="004738E4">
        <w:rPr>
          <w:rFonts w:ascii="Times New Roman" w:hAnsi="Times New Roman" w:cs="Times New Roman"/>
          <w:sz w:val="24"/>
          <w:szCs w:val="24"/>
        </w:rPr>
        <w:t xml:space="preserve">; </w:t>
      </w:r>
      <w:r w:rsidRPr="004738E4">
        <w:rPr>
          <w:rFonts w:ascii="Times New Roman" w:hAnsi="Times New Roman" w:cs="Times New Roman"/>
          <w:sz w:val="24"/>
          <w:szCs w:val="24"/>
        </w:rPr>
        <w:t xml:space="preserve">this ratio increases to ~2.5:1 among non-Hispanic Asian Americans and non-Hispanic African Americans </w:t>
      </w:r>
      <w:r w:rsidR="005941EE" w:rsidRPr="004738E4">
        <w:rPr>
          <w:rFonts w:ascii="Times New Roman" w:hAnsi="Times New Roman" w:cs="Times New Roman"/>
          <w:noProof/>
          <w:sz w:val="24"/>
          <w:szCs w:val="24"/>
        </w:rPr>
        <w:t>(190)</w:t>
      </w:r>
      <w:r w:rsidRPr="004738E4">
        <w:rPr>
          <w:rFonts w:ascii="Times New Roman" w:hAnsi="Times New Roman" w:cs="Times New Roman"/>
          <w:sz w:val="24"/>
          <w:szCs w:val="24"/>
        </w:rPr>
        <w:t xml:space="preserve">. </w:t>
      </w:r>
    </w:p>
    <w:p w14:paraId="2145F52C" w14:textId="1AB5CE22" w:rsidR="00851E3F" w:rsidRPr="004738E4" w:rsidRDefault="00851E3F" w:rsidP="003406EE">
      <w:pPr>
        <w:spacing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Pr="004738E4">
        <w:rPr>
          <w:rFonts w:ascii="Times New Roman" w:hAnsi="Times New Roman" w:cs="Times New Roman"/>
          <w:sz w:val="24"/>
          <w:szCs w:val="24"/>
          <w:u w:val="single"/>
        </w:rPr>
        <w:t>Imipramine</w:t>
      </w:r>
      <w:r w:rsidRPr="004738E4">
        <w:rPr>
          <w:rFonts w:ascii="Times New Roman" w:hAnsi="Times New Roman" w:cs="Times New Roman"/>
          <w:sz w:val="24"/>
          <w:szCs w:val="24"/>
        </w:rPr>
        <w:t xml:space="preserve">. A meta-analysis of 12 studies found that women had significantly higher dose-adjusted plasma concentrations than men, although in three of the studies the adjustment of dose to body mass eliminated the effect of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(191)</w:t>
      </w:r>
      <w:r w:rsidRPr="004738E4">
        <w:rPr>
          <w:rFonts w:ascii="Times New Roman" w:hAnsi="Times New Roman" w:cs="Times New Roman"/>
          <w:sz w:val="24"/>
          <w:szCs w:val="24"/>
        </w:rPr>
        <w:t xml:space="preserve">. Men exhibited better responses to imipramine than pre-menopausal women </w:t>
      </w:r>
      <w:r w:rsidR="005941EE" w:rsidRPr="004738E4">
        <w:rPr>
          <w:rFonts w:ascii="Times New Roman" w:hAnsi="Times New Roman" w:cs="Times New Roman"/>
          <w:noProof/>
          <w:sz w:val="24"/>
          <w:szCs w:val="24"/>
        </w:rPr>
        <w:t>(192)</w:t>
      </w:r>
      <w:r w:rsidRPr="004738E4">
        <w:rPr>
          <w:rFonts w:ascii="Times New Roman" w:hAnsi="Times New Roman" w:cs="Times New Roman"/>
          <w:sz w:val="24"/>
          <w:szCs w:val="24"/>
        </w:rPr>
        <w:t xml:space="preserve">. Depressed women responded significantly more slowly than men to imipramine </w:t>
      </w:r>
      <w:r w:rsidR="005941EE" w:rsidRPr="004738E4">
        <w:rPr>
          <w:rFonts w:ascii="Times New Roman" w:hAnsi="Times New Roman" w:cs="Times New Roman"/>
          <w:noProof/>
          <w:sz w:val="24"/>
          <w:szCs w:val="24"/>
        </w:rPr>
        <w:t>(193)</w:t>
      </w:r>
      <w:r w:rsidRPr="004738E4">
        <w:rPr>
          <w:rFonts w:ascii="Times New Roman" w:hAnsi="Times New Roman" w:cs="Times New Roman"/>
          <w:sz w:val="24"/>
          <w:szCs w:val="24"/>
        </w:rPr>
        <w:t xml:space="preserve">. Baca et al. </w:t>
      </w:r>
      <w:r w:rsidR="005941EE" w:rsidRPr="004738E4">
        <w:rPr>
          <w:rFonts w:ascii="Times New Roman" w:hAnsi="Times New Roman" w:cs="Times New Roman"/>
          <w:noProof/>
          <w:sz w:val="24"/>
          <w:szCs w:val="24"/>
        </w:rPr>
        <w:t>(194)</w:t>
      </w:r>
      <w:r w:rsidRPr="004738E4">
        <w:rPr>
          <w:rFonts w:ascii="Times New Roman" w:hAnsi="Times New Roman" w:cs="Times New Roman"/>
          <w:sz w:val="24"/>
          <w:szCs w:val="24"/>
        </w:rPr>
        <w:t xml:space="preserve"> reported that women treated with imipramine experienced significantly more ADRs including dry mouth, constipation, sweating and tremor. The proportion of patients who dropped out of imipramine drug trials due to ADRs was 27.8% for women and 11.5% for men </w:t>
      </w:r>
      <w:r w:rsidR="005941EE" w:rsidRPr="004738E4">
        <w:rPr>
          <w:rFonts w:ascii="Times New Roman" w:hAnsi="Times New Roman" w:cs="Times New Roman"/>
          <w:noProof/>
          <w:sz w:val="24"/>
          <w:szCs w:val="24"/>
        </w:rPr>
        <w:t>(194)</w:t>
      </w:r>
      <w:r w:rsidRPr="004738E4">
        <w:rPr>
          <w:rFonts w:ascii="Times New Roman" w:hAnsi="Times New Roman" w:cs="Times New Roman"/>
          <w:sz w:val="24"/>
          <w:szCs w:val="24"/>
        </w:rPr>
        <w:t>.</w:t>
      </w:r>
    </w:p>
    <w:p w14:paraId="055CE132" w14:textId="698B39D3" w:rsidR="00851E3F" w:rsidRPr="004738E4" w:rsidRDefault="00851E3F" w:rsidP="003406EE">
      <w:pPr>
        <w:kinsoku w:val="0"/>
        <w:overflowPunct w:val="0"/>
        <w:spacing w:after="12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lastRenderedPageBreak/>
        <w:t>Nortriptyline</w:t>
      </w:r>
      <w:r w:rsidRPr="004738E4">
        <w:rPr>
          <w:rFonts w:ascii="Times New Roman" w:hAnsi="Times New Roman" w:cs="Times New Roman"/>
          <w:sz w:val="24"/>
          <w:szCs w:val="24"/>
        </w:rPr>
        <w:t xml:space="preserve">. Female patients do not clear nortriptyline as fast as male patients do; plasma concentrations were significantly greater in female than male patients (3.8 ± 1.1, versus 2.1 ± 0.5); this difference manifested despite a combined total study sample size of 21 patients </w:t>
      </w:r>
      <w:r w:rsidR="005941EE" w:rsidRPr="004738E4">
        <w:rPr>
          <w:rFonts w:ascii="Times New Roman" w:hAnsi="Times New Roman" w:cs="Times New Roman"/>
          <w:noProof/>
          <w:sz w:val="24"/>
          <w:szCs w:val="24"/>
        </w:rPr>
        <w:t>(195)</w:t>
      </w:r>
      <w:r w:rsidRPr="004738E4">
        <w:rPr>
          <w:rFonts w:ascii="Times New Roman" w:hAnsi="Times New Roman" w:cs="Times New Roman"/>
          <w:sz w:val="24"/>
          <w:szCs w:val="24"/>
        </w:rPr>
        <w:t xml:space="preserve">. In a clinical trial, a significant increase in ADRs, self-rated dry mouth, was present during all 6 weeks of nortriptyline treatment in women, whereas in men this symptom was only manifest on two of the study weeks </w:t>
      </w:r>
      <w:r w:rsidR="005941EE" w:rsidRPr="004738E4">
        <w:rPr>
          <w:rFonts w:ascii="Times New Roman" w:hAnsi="Times New Roman" w:cs="Times New Roman"/>
          <w:noProof/>
          <w:sz w:val="24"/>
          <w:szCs w:val="24"/>
        </w:rPr>
        <w:t>(196)</w:t>
      </w:r>
      <w:r w:rsidRPr="004738E4">
        <w:rPr>
          <w:rFonts w:ascii="Times New Roman" w:hAnsi="Times New Roman" w:cs="Times New Roman"/>
          <w:sz w:val="24"/>
          <w:szCs w:val="24"/>
        </w:rPr>
        <w:t xml:space="preserve">. </w:t>
      </w:r>
    </w:p>
    <w:p w14:paraId="1D677A4E" w14:textId="35A8B2DF" w:rsidR="00851E3F" w:rsidRPr="004738E4" w:rsidRDefault="00851E3F" w:rsidP="003406EE">
      <w:pPr>
        <w:spacing w:line="480" w:lineRule="auto"/>
        <w:ind w:right="112" w:firstLine="720"/>
        <w:contextualSpacing/>
        <w:jc w:val="both"/>
        <w:rPr>
          <w:rFonts w:ascii="Times New Roman" w:eastAsia="Times New Roman" w:hAnsi="Times New Roman" w:cs="Times New Roman"/>
          <w:sz w:val="24"/>
          <w:szCs w:val="24"/>
        </w:rPr>
      </w:pPr>
      <w:r w:rsidRPr="004738E4">
        <w:rPr>
          <w:rFonts w:ascii="Times New Roman" w:hAnsi="Times New Roman" w:cs="Times New Roman"/>
          <w:sz w:val="24"/>
          <w:szCs w:val="24"/>
          <w:u w:val="single"/>
        </w:rPr>
        <w:t>Fluoxetine</w:t>
      </w:r>
      <w:r w:rsidRPr="004738E4">
        <w:rPr>
          <w:rFonts w:ascii="Times New Roman" w:hAnsi="Times New Roman" w:cs="Times New Roman"/>
          <w:sz w:val="24"/>
          <w:szCs w:val="24"/>
        </w:rPr>
        <w:t xml:space="preserve">. In adolescents administered fluoxetine for 8 weeks, serum concentrations were significantly higher in females than males (111 vs. 62 ng/ml); similar sex differences were recorded after 12 weeks of treatment </w:t>
      </w:r>
      <w:r w:rsidR="005941EE" w:rsidRPr="004738E4">
        <w:rPr>
          <w:rFonts w:ascii="Times New Roman" w:hAnsi="Times New Roman" w:cs="Times New Roman"/>
          <w:noProof/>
          <w:sz w:val="24"/>
          <w:szCs w:val="24"/>
        </w:rPr>
        <w:t>(197)</w:t>
      </w:r>
      <w:r w:rsidRPr="004738E4">
        <w:rPr>
          <w:rFonts w:ascii="Times New Roman" w:hAnsi="Times New Roman" w:cs="Times New Roman"/>
          <w:sz w:val="24"/>
          <w:szCs w:val="24"/>
        </w:rPr>
        <w:t xml:space="preserve">. Peak concentrations were 37% higher in adult women than men </w:t>
      </w:r>
      <w:r w:rsidR="005941EE" w:rsidRPr="004738E4">
        <w:rPr>
          <w:rFonts w:ascii="Times New Roman" w:hAnsi="Times New Roman" w:cs="Times New Roman"/>
          <w:noProof/>
          <w:sz w:val="24"/>
          <w:szCs w:val="24"/>
        </w:rPr>
        <w:t>(198)</w:t>
      </w:r>
      <w:r w:rsidRPr="004738E4">
        <w:rPr>
          <w:rFonts w:ascii="Times New Roman" w:hAnsi="Times New Roman" w:cs="Times New Roman"/>
          <w:sz w:val="24"/>
          <w:szCs w:val="24"/>
        </w:rPr>
        <w:t>.</w:t>
      </w:r>
      <w:r w:rsidRPr="004738E4">
        <w:rPr>
          <w:rFonts w:ascii="Times New Roman" w:eastAsia="Times New Roman" w:hAnsi="Times New Roman" w:cs="Times New Roman"/>
          <w:sz w:val="24"/>
          <w:szCs w:val="24"/>
        </w:rPr>
        <w:t xml:space="preserve"> </w:t>
      </w:r>
      <w:r w:rsidR="003A36E8" w:rsidRPr="004738E4">
        <w:rPr>
          <w:rFonts w:ascii="Times New Roman" w:eastAsia="Times New Roman" w:hAnsi="Times New Roman" w:cs="Times New Roman"/>
          <w:sz w:val="24"/>
          <w:szCs w:val="24"/>
        </w:rPr>
        <w:t>Use of f</w:t>
      </w:r>
      <w:r w:rsidRPr="004738E4">
        <w:rPr>
          <w:rFonts w:ascii="Times New Roman" w:eastAsia="Times New Roman" w:hAnsi="Times New Roman" w:cs="Times New Roman"/>
          <w:sz w:val="24"/>
          <w:szCs w:val="24"/>
        </w:rPr>
        <w:t>luoxetine (as well as other SSRIs</w:t>
      </w:r>
      <w:r w:rsidR="003A36E8" w:rsidRPr="004738E4">
        <w:rPr>
          <w:rFonts w:ascii="Times New Roman" w:eastAsia="Times New Roman" w:hAnsi="Times New Roman" w:cs="Times New Roman"/>
          <w:sz w:val="24"/>
          <w:szCs w:val="24"/>
        </w:rPr>
        <w:t xml:space="preserve"> and</w:t>
      </w:r>
      <w:r w:rsidR="003A36E8" w:rsidRPr="004738E4">
        <w:t xml:space="preserve"> </w:t>
      </w:r>
      <w:r w:rsidR="003A36E8" w:rsidRPr="004738E4">
        <w:rPr>
          <w:rFonts w:ascii="Times New Roman" w:eastAsia="Times New Roman" w:hAnsi="Times New Roman" w:cs="Times New Roman"/>
          <w:sz w:val="24"/>
          <w:szCs w:val="24"/>
        </w:rPr>
        <w:t>TCAs</w:t>
      </w:r>
      <w:r w:rsidRPr="004738E4">
        <w:rPr>
          <w:rFonts w:ascii="Times New Roman" w:eastAsia="Times New Roman" w:hAnsi="Times New Roman" w:cs="Times New Roman"/>
          <w:sz w:val="24"/>
          <w:szCs w:val="24"/>
        </w:rPr>
        <w:t xml:space="preserve">) is commonly accompanied by increased hypothalamic-pituitary adrenal axis (HPA) activity </w:t>
      </w:r>
      <w:r w:rsidR="005941EE" w:rsidRPr="004738E4">
        <w:rPr>
          <w:rFonts w:ascii="Times New Roman" w:eastAsia="Times New Roman" w:hAnsi="Times New Roman" w:cs="Times New Roman"/>
          <w:noProof/>
          <w:sz w:val="24"/>
          <w:szCs w:val="24"/>
        </w:rPr>
        <w:t>(199)</w:t>
      </w:r>
      <w:r w:rsidRPr="004738E4">
        <w:rPr>
          <w:rFonts w:ascii="Times New Roman" w:eastAsia="Times New Roman" w:hAnsi="Times New Roman" w:cs="Times New Roman"/>
          <w:sz w:val="24"/>
          <w:szCs w:val="24"/>
        </w:rPr>
        <w:t xml:space="preserve">. Serum cortisol concentrations were increased by 68% and 98% in depressed men and women respectively, after treatment with fluoxetine </w:t>
      </w:r>
      <w:r w:rsidR="005941EE" w:rsidRPr="004738E4">
        <w:rPr>
          <w:rFonts w:ascii="Times New Roman" w:eastAsia="Times New Roman" w:hAnsi="Times New Roman" w:cs="Times New Roman"/>
          <w:noProof/>
          <w:sz w:val="24"/>
          <w:szCs w:val="24"/>
        </w:rPr>
        <w:t>(200)</w:t>
      </w:r>
      <w:r w:rsidRPr="004738E4">
        <w:rPr>
          <w:rFonts w:ascii="Times New Roman" w:eastAsia="Times New Roman" w:hAnsi="Times New Roman" w:cs="Times New Roman"/>
          <w:sz w:val="24"/>
          <w:szCs w:val="24"/>
        </w:rPr>
        <w:t xml:space="preserve">. Increased HPA axis </w:t>
      </w:r>
      <w:r w:rsidR="00A84F00" w:rsidRPr="004738E4">
        <w:rPr>
          <w:rFonts w:ascii="Times New Roman" w:eastAsia="Times New Roman" w:hAnsi="Times New Roman" w:cs="Times New Roman"/>
          <w:sz w:val="24"/>
          <w:szCs w:val="24"/>
        </w:rPr>
        <w:t xml:space="preserve">activity </w:t>
      </w:r>
      <w:r w:rsidRPr="004738E4">
        <w:rPr>
          <w:rFonts w:ascii="Times New Roman" w:eastAsia="Times New Roman" w:hAnsi="Times New Roman" w:cs="Times New Roman"/>
          <w:sz w:val="24"/>
          <w:szCs w:val="24"/>
        </w:rPr>
        <w:t xml:space="preserve">may be related to treatment efficacy </w:t>
      </w:r>
      <w:r w:rsidR="005941EE" w:rsidRPr="004738E4">
        <w:rPr>
          <w:rFonts w:ascii="Times New Roman" w:eastAsia="Times New Roman" w:hAnsi="Times New Roman" w:cs="Times New Roman"/>
          <w:noProof/>
          <w:sz w:val="24"/>
          <w:szCs w:val="24"/>
        </w:rPr>
        <w:t>(201)</w:t>
      </w:r>
      <w:r w:rsidRPr="004738E4">
        <w:rPr>
          <w:rFonts w:ascii="Times New Roman" w:hAnsi="Times New Roman" w:cs="Times New Roman"/>
          <w:sz w:val="24"/>
          <w:szCs w:val="24"/>
        </w:rPr>
        <w:t xml:space="preserve">. </w:t>
      </w:r>
      <w:r w:rsidRPr="004738E4">
        <w:rPr>
          <w:rFonts w:ascii="Times New Roman" w:eastAsia="Times New Roman" w:hAnsi="Times New Roman" w:cs="Times New Roman"/>
          <w:sz w:val="24"/>
          <w:szCs w:val="24"/>
        </w:rPr>
        <w:t xml:space="preserve">Fluoxetine also induced significant increases in albumin concentrations in women only, and total serum tryptophan concentrations increased by 32% in men and 83% in women </w:t>
      </w:r>
      <w:r w:rsidR="005941EE" w:rsidRPr="004738E4">
        <w:rPr>
          <w:rFonts w:ascii="Times New Roman" w:eastAsia="Times New Roman" w:hAnsi="Times New Roman" w:cs="Times New Roman"/>
          <w:noProof/>
          <w:sz w:val="24"/>
          <w:szCs w:val="24"/>
        </w:rPr>
        <w:t>(200)</w:t>
      </w:r>
      <w:r w:rsidRPr="004738E4">
        <w:rPr>
          <w:rFonts w:ascii="Times New Roman" w:eastAsia="Times New Roman" w:hAnsi="Times New Roman" w:cs="Times New Roman"/>
          <w:sz w:val="24"/>
          <w:szCs w:val="24"/>
        </w:rPr>
        <w:t xml:space="preserve">.  Suicidal ideation was more likely to emerge in women than men during treatment </w:t>
      </w:r>
      <w:r w:rsidR="005941EE" w:rsidRPr="004738E4">
        <w:rPr>
          <w:rFonts w:ascii="Times New Roman" w:eastAsia="Times New Roman" w:hAnsi="Times New Roman" w:cs="Times New Roman"/>
          <w:noProof/>
          <w:sz w:val="24"/>
          <w:szCs w:val="24"/>
        </w:rPr>
        <w:t>(202)</w:t>
      </w:r>
      <w:r w:rsidRPr="004738E4">
        <w:rPr>
          <w:rFonts w:ascii="Times New Roman" w:eastAsia="Times New Roman" w:hAnsi="Times New Roman" w:cs="Times New Roman"/>
          <w:sz w:val="24"/>
          <w:szCs w:val="24"/>
        </w:rPr>
        <w:t xml:space="preserve">. </w:t>
      </w:r>
    </w:p>
    <w:p w14:paraId="3A7F96A2" w14:textId="7D22CB2C" w:rsidR="00851E3F" w:rsidRPr="004738E4" w:rsidRDefault="00851E3F" w:rsidP="003406EE">
      <w:pPr>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Pr="004738E4">
        <w:rPr>
          <w:rFonts w:ascii="Times New Roman" w:hAnsi="Times New Roman" w:cs="Times New Roman"/>
          <w:sz w:val="24"/>
          <w:szCs w:val="24"/>
          <w:u w:val="single"/>
        </w:rPr>
        <w:t>Citalopram.</w:t>
      </w:r>
      <w:r w:rsidRPr="004738E4">
        <w:rPr>
          <w:rFonts w:ascii="Times New Roman" w:hAnsi="Times New Roman" w:cs="Times New Roman"/>
          <w:sz w:val="24"/>
          <w:szCs w:val="24"/>
        </w:rPr>
        <w:t xml:space="preserve"> D</w:t>
      </w:r>
      <w:r w:rsidRPr="004738E4">
        <w:rPr>
          <w:rFonts w:ascii="Times New Roman" w:hAnsi="Times New Roman" w:cs="Times New Roman"/>
          <w:bCs/>
          <w:sz w:val="24"/>
          <w:szCs w:val="24"/>
        </w:rPr>
        <w:t>ose-corrected plasma concentrations in patients under 21 years of age were substantially higher in females than males (</w:t>
      </w:r>
      <w:r w:rsidRPr="004738E4">
        <w:rPr>
          <w:rFonts w:ascii="Times New Roman" w:hAnsi="Times New Roman" w:cs="Times New Roman"/>
          <w:sz w:val="24"/>
          <w:szCs w:val="24"/>
        </w:rPr>
        <w:t xml:space="preserve">1.9 vs. 1.1 ng/ml) suggesting that sex differences in PKs manifest early in life </w:t>
      </w:r>
      <w:r w:rsidR="005941EE" w:rsidRPr="004738E4">
        <w:rPr>
          <w:rFonts w:ascii="Times New Roman" w:hAnsi="Times New Roman" w:cs="Times New Roman"/>
          <w:noProof/>
          <w:sz w:val="24"/>
          <w:szCs w:val="24"/>
        </w:rPr>
        <w:t>(203)</w:t>
      </w:r>
      <w:r w:rsidRPr="004738E4">
        <w:rPr>
          <w:rFonts w:ascii="Times New Roman" w:hAnsi="Times New Roman" w:cs="Times New Roman"/>
          <w:sz w:val="24"/>
          <w:szCs w:val="24"/>
        </w:rPr>
        <w:t xml:space="preserve">. Dose-corrected serum concentrations were significantly higher in women than men </w:t>
      </w:r>
      <w:r w:rsidR="00E275BF" w:rsidRPr="004738E4">
        <w:rPr>
          <w:rFonts w:ascii="Times New Roman" w:hAnsi="Times New Roman" w:cs="Times New Roman"/>
          <w:sz w:val="24"/>
          <w:szCs w:val="24"/>
        </w:rPr>
        <w:t>(</w:t>
      </w:r>
      <w:r w:rsidR="005941EE" w:rsidRPr="004738E4">
        <w:rPr>
          <w:rFonts w:ascii="Times New Roman" w:hAnsi="Times New Roman" w:cs="Times New Roman"/>
          <w:noProof/>
          <w:sz w:val="24"/>
          <w:szCs w:val="24"/>
        </w:rPr>
        <w:t>(204)</w:t>
      </w:r>
      <w:r w:rsidRPr="004738E4">
        <w:rPr>
          <w:rFonts w:ascii="Times New Roman" w:hAnsi="Times New Roman" w:cs="Times New Roman"/>
          <w:sz w:val="24"/>
          <w:szCs w:val="24"/>
        </w:rPr>
        <w:t xml:space="preserve">; 3.1 vs. 2.4 ng/ml). PET imaging indicated that following acute citalopram treatment women exhibited numerous areas of increased cortical glucose metabolism and relatively few areas of decreased cortical glucose metabolism, unlike men who exhibited </w:t>
      </w:r>
      <w:r w:rsidRPr="004738E4">
        <w:rPr>
          <w:rFonts w:ascii="Times New Roman" w:hAnsi="Times New Roman" w:cs="Times New Roman"/>
          <w:sz w:val="24"/>
          <w:szCs w:val="24"/>
        </w:rPr>
        <w:lastRenderedPageBreak/>
        <w:t xml:space="preserve">many regions of decreased cortical glucose metabolism, with no regions of increased metabolism </w:t>
      </w:r>
      <w:r w:rsidR="005941EE" w:rsidRPr="004738E4">
        <w:rPr>
          <w:rFonts w:ascii="Times New Roman" w:hAnsi="Times New Roman" w:cs="Times New Roman"/>
          <w:noProof/>
          <w:sz w:val="24"/>
          <w:szCs w:val="24"/>
        </w:rPr>
        <w:t>(205)</w:t>
      </w:r>
      <w:r w:rsidRPr="004738E4">
        <w:rPr>
          <w:rFonts w:ascii="Times New Roman" w:hAnsi="Times New Roman" w:cs="Times New Roman"/>
          <w:sz w:val="24"/>
          <w:szCs w:val="24"/>
        </w:rPr>
        <w:t xml:space="preserve">. Female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was a risk factor for inappropriate secretion of antidiuretic hormone in patients on citalopram </w:t>
      </w:r>
      <w:r w:rsidR="005941EE" w:rsidRPr="004738E4">
        <w:rPr>
          <w:rFonts w:ascii="Times New Roman" w:hAnsi="Times New Roman" w:cs="Times New Roman"/>
          <w:noProof/>
          <w:sz w:val="24"/>
          <w:szCs w:val="24"/>
        </w:rPr>
        <w:t>(206)</w:t>
      </w:r>
      <w:r w:rsidRPr="004738E4">
        <w:rPr>
          <w:rFonts w:ascii="Times New Roman" w:hAnsi="Times New Roman" w:cs="Times New Roman"/>
          <w:sz w:val="24"/>
          <w:szCs w:val="24"/>
        </w:rPr>
        <w:t xml:space="preserve">. </w:t>
      </w:r>
    </w:p>
    <w:p w14:paraId="5B5D47BD" w14:textId="340CFFED" w:rsidR="00851E3F" w:rsidRPr="004738E4" w:rsidRDefault="0056190D" w:rsidP="003406EE">
      <w:pPr>
        <w:spacing w:before="2" w:line="480" w:lineRule="auto"/>
        <w:ind w:right="112"/>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00851E3F" w:rsidRPr="004738E4">
        <w:rPr>
          <w:rFonts w:ascii="Times New Roman" w:hAnsi="Times New Roman" w:cs="Times New Roman"/>
          <w:sz w:val="24"/>
          <w:szCs w:val="24"/>
          <w:u w:val="single"/>
        </w:rPr>
        <w:t>Sertraline</w:t>
      </w:r>
      <w:r w:rsidR="00851E3F" w:rsidRPr="004738E4">
        <w:rPr>
          <w:rFonts w:ascii="Times New Roman" w:hAnsi="Times New Roman" w:cs="Times New Roman"/>
          <w:sz w:val="24"/>
          <w:szCs w:val="24"/>
        </w:rPr>
        <w:t>. Plasma</w:t>
      </w:r>
      <w:r w:rsidR="00706E66" w:rsidRPr="004738E4">
        <w:rPr>
          <w:rFonts w:ascii="Times New Roman" w:hAnsi="Times New Roman" w:cs="Times New Roman"/>
          <w:sz w:val="24"/>
          <w:szCs w:val="24"/>
        </w:rPr>
        <w:t xml:space="preserve"> </w:t>
      </w:r>
      <w:r w:rsidR="00851E3F" w:rsidRPr="004738E4">
        <w:rPr>
          <w:rFonts w:ascii="Times New Roman" w:hAnsi="Times New Roman" w:cs="Times New Roman"/>
          <w:sz w:val="24"/>
          <w:szCs w:val="24"/>
        </w:rPr>
        <w:t xml:space="preserve">AUC was ~25% higher in young females than young males, and the terminal </w:t>
      </w:r>
      <w:r w:rsidR="00851E3F" w:rsidRPr="004738E4">
        <w:rPr>
          <w:rFonts w:ascii="Times New Roman" w:hAnsi="Times New Roman" w:cs="Times New Roman"/>
          <w:i/>
          <w:sz w:val="24"/>
          <w:szCs w:val="24"/>
        </w:rPr>
        <w:t>t</w:t>
      </w:r>
      <w:r w:rsidR="00851E3F" w:rsidRPr="004738E4">
        <w:rPr>
          <w:rFonts w:ascii="Times New Roman" w:hAnsi="Times New Roman" w:cs="Times New Roman"/>
          <w:sz w:val="24"/>
          <w:szCs w:val="24"/>
          <w:vertAlign w:val="subscript"/>
        </w:rPr>
        <w:t>1/2</w:t>
      </w:r>
      <w:r w:rsidR="00851E3F" w:rsidRPr="004738E4">
        <w:rPr>
          <w:rFonts w:ascii="Times New Roman" w:hAnsi="Times New Roman" w:cs="Times New Roman"/>
          <w:sz w:val="24"/>
          <w:szCs w:val="24"/>
        </w:rPr>
        <w:t xml:space="preserve"> elimination time was ~40% longer in young women; plasma concentrations were 35 to 40% lower in young men than in elderly or young women or elderly males </w:t>
      </w:r>
      <w:r w:rsidR="005941EE" w:rsidRPr="004738E4">
        <w:rPr>
          <w:rFonts w:ascii="Times New Roman" w:hAnsi="Times New Roman" w:cs="Times New Roman"/>
          <w:noProof/>
          <w:sz w:val="24"/>
          <w:szCs w:val="24"/>
        </w:rPr>
        <w:t>(207–209)</w:t>
      </w:r>
      <w:r w:rsidR="00851E3F" w:rsidRPr="004738E4">
        <w:rPr>
          <w:rFonts w:ascii="Times New Roman" w:hAnsi="Times New Roman" w:cs="Times New Roman"/>
          <w:sz w:val="24"/>
          <w:szCs w:val="24"/>
        </w:rPr>
        <w:t xml:space="preserve">. In a trial of olanzapine + sertraline vs. olanzapine + placebo for psychotic depression, women had significantly more delusions with disorganization than men, as well as higher cholesterol measures </w:t>
      </w:r>
      <w:r w:rsidR="005941EE" w:rsidRPr="004738E4">
        <w:rPr>
          <w:rFonts w:ascii="Times New Roman" w:hAnsi="Times New Roman" w:cs="Times New Roman"/>
          <w:noProof/>
          <w:sz w:val="24"/>
          <w:szCs w:val="24"/>
        </w:rPr>
        <w:t>(210)</w:t>
      </w:r>
      <w:r w:rsidR="00851E3F" w:rsidRPr="004738E4">
        <w:rPr>
          <w:rFonts w:ascii="Times New Roman" w:hAnsi="Times New Roman" w:cs="Times New Roman"/>
          <w:sz w:val="24"/>
          <w:szCs w:val="24"/>
        </w:rPr>
        <w:t xml:space="preserve">. The dropout rate for depressed patients treated with sertraline was 14% for women and 24% for men but this difference was not statistically significant; women were significantly more likely to report nausea and dizziness, and men were significantly more likely to report dyspepsia, sexual dysfunction, and increased urinary frequency </w:t>
      </w:r>
      <w:r w:rsidR="005941EE" w:rsidRPr="004738E4">
        <w:rPr>
          <w:rFonts w:ascii="Times New Roman" w:hAnsi="Times New Roman" w:cs="Times New Roman"/>
          <w:noProof/>
          <w:sz w:val="24"/>
          <w:szCs w:val="24"/>
        </w:rPr>
        <w:t>(193)</w:t>
      </w:r>
      <w:r w:rsidR="00851E3F" w:rsidRPr="004738E4">
        <w:rPr>
          <w:rFonts w:ascii="Times New Roman" w:hAnsi="Times New Roman" w:cs="Times New Roman"/>
          <w:sz w:val="24"/>
          <w:szCs w:val="24"/>
        </w:rPr>
        <w:t xml:space="preserve">. </w:t>
      </w:r>
    </w:p>
    <w:p w14:paraId="1D526F50" w14:textId="7E51F12A" w:rsidR="00851E3F" w:rsidRPr="004738E4" w:rsidRDefault="00851E3F" w:rsidP="003406EE">
      <w:pPr>
        <w:kinsoku w:val="0"/>
        <w:overflowPunct w:val="0"/>
        <w:spacing w:before="2" w:after="120" w:line="480" w:lineRule="auto"/>
        <w:ind w:right="112" w:firstLine="720"/>
        <w:contextualSpacing/>
        <w:jc w:val="both"/>
        <w:rPr>
          <w:rFonts w:ascii="Times New Roman" w:hAnsi="Times New Roman" w:cs="Times New Roman"/>
          <w:sz w:val="24"/>
          <w:szCs w:val="24"/>
        </w:rPr>
      </w:pPr>
      <w:r w:rsidRPr="004738E4">
        <w:rPr>
          <w:rFonts w:ascii="Times New Roman" w:hAnsi="Times New Roman" w:cs="Times New Roman"/>
          <w:iCs/>
          <w:sz w:val="24"/>
          <w:szCs w:val="24"/>
          <w:u w:val="single"/>
        </w:rPr>
        <w:t>Bupropion.</w:t>
      </w:r>
      <w:r w:rsidRPr="004738E4">
        <w:rPr>
          <w:rFonts w:ascii="Times New Roman" w:hAnsi="Times New Roman" w:cs="Times New Roman"/>
          <w:iCs/>
          <w:sz w:val="24"/>
          <w:szCs w:val="24"/>
        </w:rPr>
        <w:t xml:space="preserve"> Mean values for AUC, V</w:t>
      </w:r>
      <w:r w:rsidRPr="004738E4">
        <w:rPr>
          <w:rFonts w:ascii="Times New Roman" w:hAnsi="Times New Roman" w:cs="Times New Roman"/>
          <w:iCs/>
          <w:sz w:val="24"/>
          <w:szCs w:val="24"/>
          <w:vertAlign w:val="subscript"/>
        </w:rPr>
        <w:t>d</w:t>
      </w:r>
      <w:r w:rsidRPr="004738E4">
        <w:rPr>
          <w:rFonts w:ascii="Times New Roman" w:hAnsi="Times New Roman" w:cs="Times New Roman"/>
          <w:iCs/>
          <w:sz w:val="24"/>
          <w:szCs w:val="24"/>
        </w:rPr>
        <w:t xml:space="preserve"> normalized to body weight, C</w:t>
      </w:r>
      <w:r w:rsidRPr="004738E4">
        <w:rPr>
          <w:rFonts w:ascii="Times New Roman" w:hAnsi="Times New Roman" w:cs="Times New Roman"/>
          <w:position w:val="-5"/>
          <w:sz w:val="24"/>
          <w:szCs w:val="24"/>
          <w:vertAlign w:val="subscript"/>
        </w:rPr>
        <w:t>max</w:t>
      </w:r>
      <w:r w:rsidRPr="004738E4">
        <w:rPr>
          <w:rFonts w:ascii="Times New Roman" w:hAnsi="Times New Roman" w:cs="Times New Roman"/>
          <w:iCs/>
          <w:sz w:val="24"/>
          <w:szCs w:val="24"/>
        </w:rPr>
        <w:t xml:space="preserve"> and elimination </w:t>
      </w:r>
      <w:r w:rsidR="00257219" w:rsidRPr="004738E4">
        <w:rPr>
          <w:rFonts w:ascii="Times New Roman" w:hAnsi="Times New Roman" w:cs="Times New Roman"/>
          <w:iCs/>
          <w:sz w:val="24"/>
          <w:szCs w:val="24"/>
        </w:rPr>
        <w:t>t</w:t>
      </w:r>
      <w:r w:rsidR="00257219" w:rsidRPr="004738E4">
        <w:rPr>
          <w:rFonts w:ascii="Times New Roman" w:hAnsi="Times New Roman" w:cs="Times New Roman"/>
          <w:iCs/>
          <w:sz w:val="24"/>
          <w:szCs w:val="24"/>
          <w:vertAlign w:val="subscript"/>
        </w:rPr>
        <w:t>1/2</w:t>
      </w:r>
      <w:r w:rsidRPr="004738E4">
        <w:rPr>
          <w:rFonts w:ascii="Times New Roman" w:hAnsi="Times New Roman" w:cs="Times New Roman"/>
          <w:iCs/>
          <w:sz w:val="24"/>
          <w:szCs w:val="24"/>
        </w:rPr>
        <w:t xml:space="preserve"> were significantly greater in women than men; female:male ratios were ~1.3 for each measure </w:t>
      </w:r>
      <w:r w:rsidR="005941EE" w:rsidRPr="004738E4">
        <w:rPr>
          <w:rFonts w:ascii="Times New Roman" w:hAnsi="Times New Roman" w:cs="Times New Roman"/>
          <w:iCs/>
          <w:noProof/>
          <w:sz w:val="24"/>
          <w:szCs w:val="24"/>
        </w:rPr>
        <w:t>(211)</w:t>
      </w:r>
      <w:r w:rsidRPr="004738E4">
        <w:rPr>
          <w:rFonts w:ascii="Times New Roman" w:hAnsi="Times New Roman" w:cs="Times New Roman"/>
          <w:iCs/>
          <w:sz w:val="24"/>
          <w:szCs w:val="24"/>
        </w:rPr>
        <w:t>.</w:t>
      </w:r>
      <w:r w:rsidRPr="004738E4">
        <w:rPr>
          <w:rFonts w:ascii="Times New Roman" w:hAnsi="Times New Roman" w:cs="Times New Roman"/>
          <w:sz w:val="24"/>
          <w:szCs w:val="24"/>
        </w:rPr>
        <w:t xml:space="preserve"> The odds of women having sharp EEG waves was significantly increased by a factor of 2.53 compared to men controlled for both age and dose. Similarly, women were 2.45 times more likely than men to have focal </w:t>
      </w:r>
      <w:r w:rsidR="00B54363" w:rsidRPr="004738E4">
        <w:rPr>
          <w:rFonts w:ascii="Times New Roman" w:hAnsi="Times New Roman" w:cs="Times New Roman"/>
          <w:sz w:val="24"/>
          <w:szCs w:val="24"/>
        </w:rPr>
        <w:t xml:space="preserve">EEG </w:t>
      </w:r>
      <w:r w:rsidRPr="004738E4">
        <w:rPr>
          <w:rFonts w:ascii="Times New Roman" w:hAnsi="Times New Roman" w:cs="Times New Roman"/>
          <w:sz w:val="24"/>
          <w:szCs w:val="24"/>
        </w:rPr>
        <w:t xml:space="preserve">slowing </w:t>
      </w:r>
      <w:r w:rsidR="005941EE" w:rsidRPr="004738E4">
        <w:rPr>
          <w:rFonts w:ascii="Times New Roman" w:hAnsi="Times New Roman" w:cs="Times New Roman"/>
          <w:noProof/>
          <w:sz w:val="24"/>
          <w:szCs w:val="24"/>
        </w:rPr>
        <w:t>(212)</w:t>
      </w:r>
      <w:r w:rsidRPr="004738E4">
        <w:rPr>
          <w:rFonts w:ascii="Times New Roman" w:hAnsi="Times New Roman" w:cs="Times New Roman"/>
          <w:sz w:val="24"/>
          <w:szCs w:val="24"/>
        </w:rPr>
        <w:t xml:space="preserve">. Women have a 1.5-fold greater likelihood of having seizures than men </w:t>
      </w:r>
      <w:r w:rsidR="005941EE" w:rsidRPr="004738E4">
        <w:rPr>
          <w:rFonts w:ascii="Times New Roman" w:hAnsi="Times New Roman" w:cs="Times New Roman"/>
          <w:noProof/>
          <w:sz w:val="24"/>
          <w:szCs w:val="24"/>
        </w:rPr>
        <w:t>(213)</w:t>
      </w:r>
      <w:r w:rsidRPr="004738E4">
        <w:rPr>
          <w:rFonts w:ascii="Times New Roman" w:hAnsi="Times New Roman" w:cs="Times New Roman"/>
          <w:sz w:val="24"/>
          <w:szCs w:val="24"/>
        </w:rPr>
        <w:t>.</w:t>
      </w:r>
    </w:p>
    <w:p w14:paraId="443092FD" w14:textId="302A7062" w:rsidR="000649DD" w:rsidRPr="004738E4" w:rsidRDefault="000649DD"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Methylphenidate</w:t>
      </w:r>
      <w:r w:rsidRPr="004738E4">
        <w:rPr>
          <w:rFonts w:ascii="Times New Roman" w:hAnsi="Times New Roman" w:cs="Times New Roman"/>
          <w:sz w:val="24"/>
          <w:szCs w:val="24"/>
        </w:rPr>
        <w:t>. The AUC was significantly greater in men than in women (93.4 vs. 73.5 ng</w:t>
      </w:r>
      <w:r w:rsidR="007F1394" w:rsidRPr="004738E4">
        <w:rPr>
          <w:rFonts w:ascii="Times New Roman" w:hAnsi="Times New Roman" w:cs="Times New Roman"/>
          <w:sz w:val="24"/>
          <w:szCs w:val="24"/>
        </w:rPr>
        <w:t>·</w:t>
      </w:r>
      <w:r w:rsidRPr="004738E4">
        <w:rPr>
          <w:rFonts w:ascii="Times New Roman" w:hAnsi="Times New Roman" w:cs="Times New Roman"/>
          <w:sz w:val="24"/>
          <w:szCs w:val="24"/>
        </w:rPr>
        <w:t xml:space="preserve">h/ml); women exhibited stronger subjective responses than men </w:t>
      </w:r>
      <w:r w:rsidR="005941EE" w:rsidRPr="004738E4">
        <w:rPr>
          <w:rFonts w:ascii="Times New Roman" w:hAnsi="Times New Roman" w:cs="Times New Roman"/>
          <w:noProof/>
          <w:sz w:val="24"/>
          <w:szCs w:val="24"/>
        </w:rPr>
        <w:t>(214)</w:t>
      </w:r>
      <w:r w:rsidRPr="004738E4">
        <w:rPr>
          <w:rFonts w:ascii="Times New Roman" w:hAnsi="Times New Roman" w:cs="Times New Roman"/>
          <w:sz w:val="24"/>
          <w:szCs w:val="24"/>
        </w:rPr>
        <w:t xml:space="preserve">. Among teenagers with ADHD, once daily treatment resulted in more girls than boys exhibiting a comorbid anxiety disorder. Girls had a statistically superior response to methylphenidate at 1.5 h post-dosing and an inferior response at 12 h post-dosing </w:t>
      </w:r>
      <w:r w:rsidR="005941EE" w:rsidRPr="004738E4">
        <w:rPr>
          <w:rFonts w:ascii="Times New Roman" w:hAnsi="Times New Roman" w:cs="Times New Roman"/>
          <w:noProof/>
          <w:sz w:val="24"/>
          <w:szCs w:val="24"/>
        </w:rPr>
        <w:t>(215)</w:t>
      </w:r>
      <w:r w:rsidRPr="004738E4">
        <w:rPr>
          <w:rFonts w:ascii="Times New Roman" w:hAnsi="Times New Roman" w:cs="Times New Roman"/>
          <w:sz w:val="24"/>
          <w:szCs w:val="24"/>
        </w:rPr>
        <w:t xml:space="preserve">. The authors argued that methylphenidate would </w:t>
      </w:r>
      <w:r w:rsidRPr="004738E4">
        <w:rPr>
          <w:rFonts w:ascii="Times New Roman" w:hAnsi="Times New Roman" w:cs="Times New Roman"/>
          <w:sz w:val="24"/>
          <w:szCs w:val="24"/>
        </w:rPr>
        <w:lastRenderedPageBreak/>
        <w:t xml:space="preserve">be less likely to induce psychiatric ADRs (e.g., anxiety disorder) if dose titration were performed in patients based on systematic evidence of drug responses at different times across the day; no such dosing recommendations exist on the label </w:t>
      </w:r>
      <w:r w:rsidR="005941EE" w:rsidRPr="004738E4">
        <w:rPr>
          <w:rFonts w:ascii="Times New Roman" w:hAnsi="Times New Roman" w:cs="Times New Roman"/>
          <w:noProof/>
          <w:sz w:val="24"/>
          <w:szCs w:val="24"/>
        </w:rPr>
        <w:t>(215)</w:t>
      </w:r>
      <w:r w:rsidRPr="004738E4">
        <w:rPr>
          <w:rFonts w:ascii="Times New Roman" w:hAnsi="Times New Roman" w:cs="Times New Roman"/>
          <w:sz w:val="24"/>
          <w:szCs w:val="24"/>
        </w:rPr>
        <w:t xml:space="preserve">. </w:t>
      </w:r>
    </w:p>
    <w:p w14:paraId="79B9C2D5" w14:textId="5CD7C2ED" w:rsidR="00B32712" w:rsidRPr="004738E4" w:rsidRDefault="00851E3F" w:rsidP="003406EE">
      <w:pPr>
        <w:shd w:val="clear" w:color="auto" w:fill="FFFFFF"/>
        <w:spacing w:line="480" w:lineRule="auto"/>
        <w:ind w:firstLine="720"/>
        <w:contextualSpacing/>
        <w:jc w:val="both"/>
        <w:rPr>
          <w:rFonts w:ascii="Times New Roman" w:hAnsi="Times New Roman" w:cs="Times New Roman"/>
          <w:bCs/>
          <w:iCs/>
          <w:sz w:val="24"/>
          <w:szCs w:val="24"/>
        </w:rPr>
      </w:pPr>
      <w:r w:rsidRPr="004738E4">
        <w:rPr>
          <w:rFonts w:ascii="Times New Roman" w:hAnsi="Times New Roman" w:cs="Times New Roman"/>
          <w:sz w:val="24"/>
          <w:szCs w:val="24"/>
          <w:u w:val="single"/>
        </w:rPr>
        <w:t>Memantine</w:t>
      </w:r>
      <w:r w:rsidRPr="004738E4">
        <w:rPr>
          <w:rFonts w:ascii="Times New Roman" w:hAnsi="Times New Roman" w:cs="Times New Roman"/>
          <w:sz w:val="24"/>
          <w:szCs w:val="24"/>
        </w:rPr>
        <w:t xml:space="preserve">. </w:t>
      </w:r>
      <w:r w:rsidRPr="004738E4">
        <w:rPr>
          <w:rFonts w:ascii="Times New Roman" w:hAnsi="Times New Roman" w:cs="Times New Roman"/>
          <w:bCs/>
          <w:iCs/>
          <w:sz w:val="24"/>
          <w:szCs w:val="24"/>
        </w:rPr>
        <w:t xml:space="preserve">Women </w:t>
      </w:r>
      <w:r w:rsidRPr="004738E4">
        <w:rPr>
          <w:rFonts w:ascii="Times New Roman" w:hAnsi="Times New Roman" w:cs="Times New Roman"/>
          <w:sz w:val="24"/>
          <w:szCs w:val="24"/>
        </w:rPr>
        <w:t>had about 45% higher exposure than men to memantine hydrochloride, but the difference in exposure was not present when body weight was taken into account (</w:t>
      </w:r>
      <w:r w:rsidR="00613CFB" w:rsidRPr="004738E4">
        <w:rPr>
          <w:rFonts w:ascii="Times New Roman" w:hAnsi="Times New Roman" w:cs="Times New Roman"/>
          <w:sz w:val="24"/>
          <w:szCs w:val="24"/>
        </w:rPr>
        <w:t>m</w:t>
      </w:r>
      <w:r w:rsidR="000E17F3" w:rsidRPr="004738E4">
        <w:rPr>
          <w:rFonts w:ascii="Times New Roman" w:hAnsi="Times New Roman" w:cs="Times New Roman"/>
          <w:sz w:val="24"/>
          <w:szCs w:val="24"/>
        </w:rPr>
        <w:t>emantine label information</w:t>
      </w:r>
      <w:r w:rsidRPr="004738E4">
        <w:rPr>
          <w:rFonts w:ascii="Times New Roman" w:hAnsi="Times New Roman" w:cs="Times New Roman"/>
          <w:sz w:val="24"/>
          <w:szCs w:val="24"/>
        </w:rPr>
        <w:t xml:space="preserve">). </w:t>
      </w:r>
      <w:r w:rsidR="000E17F3" w:rsidRPr="004738E4">
        <w:rPr>
          <w:rFonts w:ascii="Times New Roman" w:hAnsi="Times New Roman" w:cs="Times New Roman"/>
          <w:bCs/>
          <w:iCs/>
          <w:sz w:val="24"/>
          <w:szCs w:val="24"/>
        </w:rPr>
        <w:t>ADR ratio of 1.50, based on 8396 reports</w:t>
      </w:r>
      <w:r w:rsidR="00550DEC" w:rsidRPr="004738E4">
        <w:rPr>
          <w:rFonts w:ascii="Times New Roman" w:hAnsi="Times New Roman" w:cs="Times New Roman"/>
          <w:bCs/>
          <w:iCs/>
          <w:sz w:val="24"/>
          <w:szCs w:val="24"/>
        </w:rPr>
        <w:t xml:space="preserve">. </w:t>
      </w:r>
    </w:p>
    <w:p w14:paraId="42BB7EA3" w14:textId="3F0479AF" w:rsidR="00851E3F" w:rsidRPr="004738E4" w:rsidRDefault="00851E3F" w:rsidP="003406EE">
      <w:pPr>
        <w:shd w:val="clear" w:color="auto" w:fill="FFFFFF"/>
        <w:spacing w:line="480" w:lineRule="auto"/>
        <w:ind w:firstLine="720"/>
        <w:contextualSpacing/>
        <w:jc w:val="both"/>
        <w:rPr>
          <w:rFonts w:ascii="Times New Roman" w:hAnsi="Times New Roman" w:cs="Times New Roman"/>
          <w:spacing w:val="51"/>
          <w:sz w:val="24"/>
          <w:szCs w:val="24"/>
        </w:rPr>
      </w:pPr>
      <w:r w:rsidRPr="004738E4">
        <w:rPr>
          <w:rFonts w:ascii="Times New Roman" w:hAnsi="Times New Roman" w:cs="Times New Roman"/>
          <w:sz w:val="24"/>
          <w:szCs w:val="24"/>
          <w:u w:val="single"/>
        </w:rPr>
        <w:t>Desipramine</w:t>
      </w:r>
      <w:r w:rsidRPr="004738E4">
        <w:rPr>
          <w:rFonts w:ascii="Times New Roman" w:hAnsi="Times New Roman" w:cs="Times New Roman"/>
          <w:sz w:val="24"/>
          <w:szCs w:val="24"/>
        </w:rPr>
        <w:t>.</w:t>
      </w:r>
      <w:r w:rsidRPr="004738E4" w:rsidDel="00036A66">
        <w:rPr>
          <w:rFonts w:ascii="Times New Roman" w:hAnsi="Times New Roman" w:cs="Times New Roman"/>
          <w:sz w:val="24"/>
          <w:szCs w:val="24"/>
        </w:rPr>
        <w:t xml:space="preserve"> </w:t>
      </w:r>
      <w:r w:rsidRPr="004738E4">
        <w:rPr>
          <w:rFonts w:ascii="Times New Roman" w:hAnsi="Times New Roman" w:cs="Times New Roman"/>
          <w:sz w:val="24"/>
          <w:szCs w:val="24"/>
        </w:rPr>
        <w:t xml:space="preserve">AUC and clearance rates were higher and lower, respectively, in women, but sample sizes were insufficiently powered to permit meaningful statistical evaluation </w:t>
      </w:r>
      <w:r w:rsidR="005941EE" w:rsidRPr="004738E4">
        <w:rPr>
          <w:rFonts w:ascii="Times New Roman" w:hAnsi="Times New Roman" w:cs="Times New Roman"/>
          <w:noProof/>
          <w:sz w:val="24"/>
          <w:szCs w:val="24"/>
        </w:rPr>
        <w:t>(216)</w:t>
      </w:r>
      <w:r w:rsidRPr="004738E4">
        <w:rPr>
          <w:rFonts w:ascii="Times New Roman" w:hAnsi="Times New Roman" w:cs="Times New Roman"/>
          <w:sz w:val="24"/>
          <w:szCs w:val="24"/>
        </w:rPr>
        <w:t xml:space="preserve">. No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differences were reported for desipramine clearance in children and adolescents </w:t>
      </w:r>
      <w:r w:rsidR="005941EE" w:rsidRPr="004738E4">
        <w:rPr>
          <w:rFonts w:ascii="Times New Roman" w:hAnsi="Times New Roman" w:cs="Times New Roman"/>
          <w:noProof/>
          <w:sz w:val="24"/>
          <w:szCs w:val="24"/>
        </w:rPr>
        <w:t>(217)</w:t>
      </w:r>
      <w:r w:rsidRPr="004738E4">
        <w:rPr>
          <w:rFonts w:ascii="Times New Roman" w:hAnsi="Times New Roman" w:cs="Times New Roman"/>
          <w:sz w:val="24"/>
          <w:szCs w:val="24"/>
        </w:rPr>
        <w:t>. ADR ratio of 1.59</w:t>
      </w:r>
      <w:r w:rsidR="000649DD"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2147 reports.</w:t>
      </w:r>
    </w:p>
    <w:p w14:paraId="36E42C74" w14:textId="4E2AAEEC" w:rsidR="00851E3F" w:rsidRPr="004738E4" w:rsidRDefault="00851E3F" w:rsidP="003406EE">
      <w:pPr>
        <w:kinsoku w:val="0"/>
        <w:overflowPunct w:val="0"/>
        <w:spacing w:before="2" w:after="120" w:line="480" w:lineRule="auto"/>
        <w:ind w:right="112"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Clomipramine</w:t>
      </w:r>
      <w:r w:rsidRPr="004738E4">
        <w:rPr>
          <w:rFonts w:ascii="Times New Roman" w:hAnsi="Times New Roman" w:cs="Times New Roman"/>
          <w:sz w:val="24"/>
          <w:szCs w:val="24"/>
        </w:rPr>
        <w:t xml:space="preserve">. Plasma concentrations were ~50% higher in women than men </w:t>
      </w:r>
      <w:r w:rsidR="005941EE" w:rsidRPr="004738E4">
        <w:rPr>
          <w:rFonts w:ascii="Times New Roman" w:hAnsi="Times New Roman" w:cs="Times New Roman"/>
          <w:noProof/>
          <w:sz w:val="24"/>
          <w:szCs w:val="24"/>
        </w:rPr>
        <w:t>(191)</w:t>
      </w:r>
      <w:r w:rsidRPr="004738E4">
        <w:rPr>
          <w:rFonts w:ascii="Times New Roman" w:hAnsi="Times New Roman" w:cs="Times New Roman"/>
          <w:sz w:val="24"/>
          <w:szCs w:val="24"/>
        </w:rPr>
        <w:t>. ADR ratio of 1.57</w:t>
      </w:r>
      <w:r w:rsidR="000649DD"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9072 reports.</w:t>
      </w:r>
    </w:p>
    <w:p w14:paraId="48367519" w14:textId="5CDE6767" w:rsidR="00851E3F" w:rsidRPr="004738E4" w:rsidRDefault="00851E3F"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Paroxetine</w:t>
      </w:r>
      <w:r w:rsidRPr="004738E4">
        <w:rPr>
          <w:rFonts w:ascii="Times New Roman" w:hAnsi="Times New Roman" w:cs="Times New Roman"/>
          <w:sz w:val="24"/>
          <w:szCs w:val="24"/>
        </w:rPr>
        <w:t xml:space="preserve">. Women had 60% higher concentrations than men (28 vs. 16 ng/ml) although discrepant findings have been reported </w:t>
      </w:r>
      <w:r w:rsidR="005941EE" w:rsidRPr="004738E4">
        <w:rPr>
          <w:rFonts w:ascii="Times New Roman" w:hAnsi="Times New Roman" w:cs="Times New Roman"/>
          <w:noProof/>
          <w:sz w:val="24"/>
          <w:szCs w:val="24"/>
        </w:rPr>
        <w:t>(218)</w:t>
      </w:r>
      <w:r w:rsidRPr="004738E4">
        <w:rPr>
          <w:rFonts w:ascii="Times New Roman" w:hAnsi="Times New Roman" w:cs="Times New Roman"/>
          <w:sz w:val="24"/>
          <w:szCs w:val="24"/>
        </w:rPr>
        <w:t xml:space="preserve">. Analysis of a clinical database of 218 paroxetine-treated panic disorder patients indicates that more men than women met the treatment response criteria (72 % vs. 55%; </w:t>
      </w:r>
      <w:r w:rsidR="000C7746" w:rsidRPr="004738E4">
        <w:rPr>
          <w:rFonts w:ascii="Times New Roman" w:hAnsi="Times New Roman" w:cs="Times New Roman"/>
          <w:noProof/>
          <w:sz w:val="24"/>
          <w:szCs w:val="24"/>
        </w:rPr>
        <w:t>Steiner et al., 1996;</w:t>
      </w:r>
      <w:r w:rsidRPr="004738E4">
        <w:rPr>
          <w:rFonts w:ascii="Times New Roman" w:hAnsi="Times New Roman" w:cs="Times New Roman"/>
          <w:sz w:val="24"/>
          <w:szCs w:val="24"/>
        </w:rPr>
        <w:t xml:space="preserve"> cited by </w:t>
      </w:r>
      <w:r w:rsidR="005941EE" w:rsidRPr="004738E4">
        <w:rPr>
          <w:rFonts w:ascii="Times New Roman" w:hAnsi="Times New Roman" w:cs="Times New Roman"/>
          <w:noProof/>
          <w:sz w:val="24"/>
          <w:szCs w:val="24"/>
        </w:rPr>
        <w:t>(219)</w:t>
      </w:r>
      <w:r w:rsidRPr="004738E4">
        <w:rPr>
          <w:rFonts w:ascii="Times New Roman" w:hAnsi="Times New Roman" w:cs="Times New Roman"/>
          <w:sz w:val="24"/>
          <w:szCs w:val="24"/>
        </w:rPr>
        <w:t>). ADR ratio of 2.0</w:t>
      </w:r>
      <w:r w:rsidR="000649DD"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63901 reports.</w:t>
      </w:r>
    </w:p>
    <w:p w14:paraId="2F80F5BF" w14:textId="26A85CE8" w:rsidR="00E11BE9" w:rsidRPr="004738E4" w:rsidRDefault="00E11BE9" w:rsidP="003406EE">
      <w:pPr>
        <w:kinsoku w:val="0"/>
        <w:overflowPunct w:val="0"/>
        <w:spacing w:before="2" w:after="120" w:line="480" w:lineRule="auto"/>
        <w:ind w:right="112"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Fluvoxamine</w:t>
      </w:r>
      <w:r w:rsidRPr="004738E4">
        <w:rPr>
          <w:rFonts w:ascii="Times New Roman" w:hAnsi="Times New Roman" w:cs="Times New Roman"/>
          <w:sz w:val="24"/>
          <w:szCs w:val="24"/>
        </w:rPr>
        <w:t xml:space="preserve">. In patients on monotherapy, plasma levels were approximately two-fold higher in women than men; curiously, the magnitude of the sex difference in plasma levels was greater at a lower dose </w:t>
      </w:r>
      <w:r w:rsidR="005941EE" w:rsidRPr="004738E4">
        <w:rPr>
          <w:rFonts w:ascii="Times New Roman" w:hAnsi="Times New Roman" w:cs="Times New Roman"/>
          <w:noProof/>
          <w:sz w:val="24"/>
          <w:szCs w:val="24"/>
        </w:rPr>
        <w:t>(220)</w:t>
      </w:r>
      <w:r w:rsidRPr="004738E4">
        <w:rPr>
          <w:rFonts w:ascii="Times New Roman" w:hAnsi="Times New Roman" w:cs="Times New Roman"/>
          <w:sz w:val="24"/>
          <w:szCs w:val="24"/>
        </w:rPr>
        <w:t xml:space="preserve">. The biological basis of this </w:t>
      </w:r>
      <w:r w:rsidR="00821491" w:rsidRPr="004738E4">
        <w:rPr>
          <w:rFonts w:ascii="Times New Roman" w:hAnsi="Times New Roman" w:cs="Times New Roman"/>
          <w:sz w:val="24"/>
          <w:szCs w:val="24"/>
        </w:rPr>
        <w:t>sex</w:t>
      </w:r>
      <w:r w:rsidRPr="004738E4">
        <w:rPr>
          <w:rFonts w:ascii="Times New Roman" w:hAnsi="Times New Roman" w:cs="Times New Roman"/>
          <w:sz w:val="24"/>
          <w:szCs w:val="24"/>
        </w:rPr>
        <w:t xml:space="preserve"> effect has not been identified </w:t>
      </w:r>
      <w:r w:rsidR="005941EE" w:rsidRPr="004738E4">
        <w:rPr>
          <w:rFonts w:ascii="Times New Roman" w:hAnsi="Times New Roman" w:cs="Times New Roman"/>
          <w:noProof/>
          <w:sz w:val="24"/>
          <w:szCs w:val="24"/>
        </w:rPr>
        <w:t>(208)</w:t>
      </w:r>
      <w:r w:rsidRPr="004738E4">
        <w:rPr>
          <w:rFonts w:ascii="Times New Roman" w:hAnsi="Times New Roman" w:cs="Times New Roman"/>
          <w:sz w:val="24"/>
          <w:szCs w:val="24"/>
        </w:rPr>
        <w:t>. The ADR ratio was 1.73</w:t>
      </w:r>
      <w:r w:rsidR="000649DD" w:rsidRPr="004738E4">
        <w:rPr>
          <w:rFonts w:ascii="Times New Roman" w:hAnsi="Times New Roman" w:cs="Times New Roman"/>
          <w:sz w:val="24"/>
          <w:szCs w:val="24"/>
        </w:rPr>
        <w:t>,</w:t>
      </w:r>
      <w:r w:rsidRPr="004738E4">
        <w:rPr>
          <w:rFonts w:ascii="Times New Roman" w:hAnsi="Times New Roman" w:cs="Times New Roman"/>
          <w:sz w:val="24"/>
          <w:szCs w:val="24"/>
        </w:rPr>
        <w:t xml:space="preserve"> based on 8833 reports.</w:t>
      </w:r>
    </w:p>
    <w:p w14:paraId="62C5BF3F" w14:textId="6B91EBF1" w:rsidR="00E11BE9" w:rsidRPr="004738E4" w:rsidRDefault="00E11BE9" w:rsidP="003406EE">
      <w:pPr>
        <w:kinsoku w:val="0"/>
        <w:overflowPunct w:val="0"/>
        <w:spacing w:before="2" w:after="120" w:line="480" w:lineRule="auto"/>
        <w:ind w:right="112" w:firstLine="720"/>
        <w:contextualSpacing/>
        <w:jc w:val="both"/>
        <w:rPr>
          <w:rFonts w:ascii="Times New Roman" w:hAnsi="Times New Roman" w:cs="Times New Roman"/>
          <w:iCs/>
          <w:sz w:val="24"/>
          <w:szCs w:val="24"/>
        </w:rPr>
      </w:pPr>
      <w:r w:rsidRPr="004738E4">
        <w:rPr>
          <w:rFonts w:ascii="Times New Roman" w:hAnsi="Times New Roman" w:cs="Times New Roman"/>
          <w:sz w:val="24"/>
          <w:szCs w:val="24"/>
          <w:u w:val="single"/>
        </w:rPr>
        <w:t>Mirtazapine</w:t>
      </w:r>
      <w:r w:rsidRPr="004738E4">
        <w:rPr>
          <w:rFonts w:ascii="Times New Roman" w:hAnsi="Times New Roman" w:cs="Times New Roman"/>
          <w:iCs/>
          <w:sz w:val="24"/>
          <w:szCs w:val="24"/>
        </w:rPr>
        <w:t xml:space="preserve">. </w:t>
      </w:r>
      <w:r w:rsidRPr="004738E4">
        <w:rPr>
          <w:rFonts w:ascii="Times New Roman" w:hAnsi="Times New Roman" w:cs="Times New Roman"/>
          <w:sz w:val="24"/>
          <w:szCs w:val="24"/>
        </w:rPr>
        <w:t xml:space="preserve">Women had significantly higher dose-corrected concentrations of mirtazapine and demethylmirtazapine and demethylmirtazapine:mirtazapine ratios than men </w:t>
      </w:r>
      <w:r w:rsidR="005941EE" w:rsidRPr="004738E4">
        <w:rPr>
          <w:rFonts w:ascii="Times New Roman" w:hAnsi="Times New Roman" w:cs="Times New Roman"/>
          <w:noProof/>
          <w:sz w:val="24"/>
          <w:szCs w:val="24"/>
        </w:rPr>
        <w:lastRenderedPageBreak/>
        <w:t>(203)</w:t>
      </w:r>
      <w:r w:rsidRPr="004738E4">
        <w:rPr>
          <w:rFonts w:ascii="Times New Roman" w:hAnsi="Times New Roman" w:cs="Times New Roman"/>
          <w:sz w:val="24"/>
          <w:szCs w:val="24"/>
        </w:rPr>
        <w:t xml:space="preserve"> and Timmer et al. </w:t>
      </w:r>
      <w:r w:rsidR="005941EE" w:rsidRPr="004738E4">
        <w:rPr>
          <w:rFonts w:ascii="Times New Roman" w:hAnsi="Times New Roman" w:cs="Times New Roman"/>
          <w:noProof/>
          <w:sz w:val="24"/>
          <w:szCs w:val="24"/>
        </w:rPr>
        <w:t>(221)</w:t>
      </w:r>
      <w:r w:rsidRPr="004738E4">
        <w:rPr>
          <w:rFonts w:ascii="Times New Roman" w:hAnsi="Times New Roman" w:cs="Times New Roman"/>
          <w:sz w:val="24"/>
          <w:szCs w:val="24"/>
        </w:rPr>
        <w:t xml:space="preserve"> documented 50% lower concentrations in men.</w:t>
      </w:r>
      <w:r w:rsidRPr="004738E4">
        <w:rPr>
          <w:rFonts w:ascii="Times New Roman" w:hAnsi="Times New Roman" w:cs="Times New Roman"/>
          <w:iCs/>
          <w:sz w:val="24"/>
          <w:szCs w:val="24"/>
        </w:rPr>
        <w:t xml:space="preserve"> ADR ratio of 1.53</w:t>
      </w:r>
      <w:r w:rsidR="000649DD" w:rsidRPr="004738E4">
        <w:rPr>
          <w:rFonts w:ascii="Times New Roman" w:hAnsi="Times New Roman" w:cs="Times New Roman"/>
          <w:iCs/>
          <w:sz w:val="24"/>
          <w:szCs w:val="24"/>
        </w:rPr>
        <w:t>,</w:t>
      </w:r>
      <w:r w:rsidRPr="004738E4">
        <w:rPr>
          <w:rFonts w:ascii="Times New Roman" w:hAnsi="Times New Roman" w:cs="Times New Roman"/>
          <w:iCs/>
          <w:sz w:val="24"/>
          <w:szCs w:val="24"/>
        </w:rPr>
        <w:t xml:space="preserve"> based on 23241 reports.</w:t>
      </w:r>
    </w:p>
    <w:p w14:paraId="69061850" w14:textId="77777777" w:rsidR="000E17F3" w:rsidRPr="004738E4" w:rsidRDefault="000E17F3"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p>
    <w:p w14:paraId="762197DF" w14:textId="18A3A033" w:rsidR="00E11BE9" w:rsidRPr="004738E4" w:rsidRDefault="00E11BE9"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N7: Nervous system – Other nervous system drugs</w:t>
      </w:r>
    </w:p>
    <w:p w14:paraId="349C0CC4" w14:textId="26CEFD96" w:rsidR="00E11BE9" w:rsidRPr="004738E4" w:rsidRDefault="00E11BE9" w:rsidP="003406EE">
      <w:pPr>
        <w:kinsoku w:val="0"/>
        <w:overflowPunct w:val="0"/>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Tirilazad</w:t>
      </w:r>
      <w:r w:rsidRPr="004738E4">
        <w:rPr>
          <w:rFonts w:ascii="Times New Roman" w:hAnsi="Times New Roman" w:cs="Times New Roman"/>
          <w:sz w:val="24"/>
          <w:szCs w:val="24"/>
        </w:rPr>
        <w:t xml:space="preserve">. For tirilazad mesylate, clearance values corrected for body weight were approximately </w:t>
      </w:r>
      <w:r w:rsidR="009146C2" w:rsidRPr="004738E4">
        <w:rPr>
          <w:rFonts w:ascii="Times New Roman" w:hAnsi="Times New Roman" w:cs="Times New Roman"/>
          <w:sz w:val="24"/>
          <w:szCs w:val="24"/>
        </w:rPr>
        <w:t>4</w:t>
      </w:r>
      <w:r w:rsidRPr="004738E4">
        <w:rPr>
          <w:rFonts w:ascii="Times New Roman" w:hAnsi="Times New Roman" w:cs="Times New Roman"/>
          <w:sz w:val="24"/>
          <w:szCs w:val="24"/>
        </w:rPr>
        <w:t xml:space="preserve">0% higher in young women than young men </w:t>
      </w:r>
      <w:r w:rsidR="005941EE" w:rsidRPr="004738E4">
        <w:rPr>
          <w:rFonts w:ascii="Times New Roman" w:hAnsi="Times New Roman" w:cs="Times New Roman"/>
          <w:noProof/>
          <w:sz w:val="24"/>
          <w:szCs w:val="24"/>
        </w:rPr>
        <w:t>(222)</w:t>
      </w:r>
      <w:r w:rsidR="009146C2" w:rsidRPr="004738E4">
        <w:rPr>
          <w:rFonts w:ascii="Times New Roman" w:hAnsi="Times New Roman" w:cs="Times New Roman"/>
          <w:sz w:val="24"/>
          <w:szCs w:val="24"/>
        </w:rPr>
        <w:t xml:space="preserve">. In another report, mean tirilazad clearance after i.v. treatment was 60% higher in young women compared to middle-aged men, </w:t>
      </w:r>
      <w:r w:rsidRPr="004738E4">
        <w:rPr>
          <w:rFonts w:ascii="Times New Roman" w:hAnsi="Times New Roman" w:cs="Times New Roman"/>
          <w:sz w:val="24"/>
          <w:szCs w:val="24"/>
        </w:rPr>
        <w:t xml:space="preserve">and </w:t>
      </w:r>
      <w:r w:rsidRPr="004738E4">
        <w:rPr>
          <w:rFonts w:ascii="Times New Roman" w:hAnsi="Times New Roman" w:cs="Times New Roman"/>
          <w:bCs/>
          <w:sz w:val="24"/>
          <w:szCs w:val="24"/>
        </w:rPr>
        <w:t>clearance in middle-aged women was 31% higher than in age-matched men</w:t>
      </w:r>
      <w:r w:rsidR="009146C2" w:rsidRPr="004738E4">
        <w:rPr>
          <w:rFonts w:ascii="Times New Roman" w:hAnsi="Times New Roman" w:cs="Times New Roman"/>
          <w:bCs/>
          <w:sz w:val="24"/>
          <w:szCs w:val="24"/>
        </w:rPr>
        <w:t xml:space="preserve"> </w:t>
      </w:r>
      <w:r w:rsidR="005941EE" w:rsidRPr="004738E4">
        <w:rPr>
          <w:rFonts w:ascii="Times New Roman" w:hAnsi="Times New Roman" w:cs="Times New Roman"/>
          <w:bCs/>
          <w:noProof/>
          <w:sz w:val="24"/>
          <w:szCs w:val="24"/>
        </w:rPr>
        <w:t>(223)</w:t>
      </w:r>
      <w:r w:rsidRPr="004738E4">
        <w:rPr>
          <w:rFonts w:ascii="Times New Roman" w:hAnsi="Times New Roman" w:cs="Times New Roman"/>
          <w:bCs/>
          <w:sz w:val="24"/>
          <w:szCs w:val="24"/>
        </w:rPr>
        <w:t xml:space="preserve">; the AUC was almost twice as high for men than women </w:t>
      </w:r>
      <w:r w:rsidR="005941EE" w:rsidRPr="004738E4">
        <w:rPr>
          <w:rFonts w:ascii="Times New Roman" w:hAnsi="Times New Roman" w:cs="Times New Roman"/>
          <w:bCs/>
          <w:noProof/>
          <w:sz w:val="24"/>
          <w:szCs w:val="24"/>
        </w:rPr>
        <w:t>(223)</w:t>
      </w:r>
      <w:r w:rsidRPr="004738E4">
        <w:rPr>
          <w:rFonts w:ascii="Times New Roman" w:hAnsi="Times New Roman" w:cs="Times New Roman"/>
          <w:bCs/>
          <w:sz w:val="24"/>
          <w:szCs w:val="24"/>
        </w:rPr>
        <w:t>. Consistent with these PK values, a</w:t>
      </w:r>
      <w:r w:rsidRPr="004738E4">
        <w:rPr>
          <w:rFonts w:ascii="Times New Roman" w:hAnsi="Times New Roman" w:cs="Times New Roman"/>
          <w:sz w:val="24"/>
          <w:szCs w:val="24"/>
        </w:rPr>
        <w:t xml:space="preserve"> fixed dose design generated inappropriately low drug exposure in women </w:t>
      </w:r>
      <w:r w:rsidR="005941EE" w:rsidRPr="004738E4">
        <w:rPr>
          <w:rFonts w:ascii="Times New Roman" w:hAnsi="Times New Roman" w:cs="Times New Roman"/>
          <w:noProof/>
          <w:sz w:val="24"/>
          <w:szCs w:val="24"/>
        </w:rPr>
        <w:t>(224)</w:t>
      </w:r>
      <w:r w:rsidRPr="004738E4">
        <w:rPr>
          <w:rFonts w:ascii="Times New Roman" w:hAnsi="Times New Roman" w:cs="Times New Roman"/>
          <w:sz w:val="24"/>
          <w:szCs w:val="24"/>
        </w:rPr>
        <w:t xml:space="preserve">. Consequently, in some countries tirilazad was approved for the treatment of subarachnoid hemorrhage in men but not women </w:t>
      </w:r>
      <w:r w:rsidR="005941EE" w:rsidRPr="004738E4">
        <w:rPr>
          <w:rFonts w:ascii="Times New Roman" w:hAnsi="Times New Roman" w:cs="Times New Roman"/>
          <w:noProof/>
          <w:sz w:val="24"/>
          <w:szCs w:val="24"/>
        </w:rPr>
        <w:t>(225)</w:t>
      </w:r>
      <w:r w:rsidR="00FE4CA6" w:rsidRPr="004738E4">
        <w:rPr>
          <w:rFonts w:ascii="Times New Roman" w:eastAsia="TimesNewRomanPSMT" w:hAnsi="Times New Roman" w:cs="Times New Roman"/>
          <w:sz w:val="24"/>
          <w:szCs w:val="24"/>
        </w:rPr>
        <w:t>.</w:t>
      </w:r>
      <w:r w:rsidR="00FE4CA6" w:rsidRPr="004738E4">
        <w:rPr>
          <w:rFonts w:ascii="Times New Roman" w:hAnsi="Times New Roman" w:cs="Times New Roman"/>
          <w:sz w:val="24"/>
          <w:szCs w:val="24"/>
        </w:rPr>
        <w:t xml:space="preserve"> No empirical reports of ADRs were identified in the literature</w:t>
      </w:r>
      <w:r w:rsidR="008A1E43" w:rsidRPr="004738E4">
        <w:rPr>
          <w:rFonts w:ascii="Times New Roman" w:hAnsi="Times New Roman" w:cs="Times New Roman"/>
          <w:sz w:val="24"/>
          <w:szCs w:val="24"/>
        </w:rPr>
        <w:t>,</w:t>
      </w:r>
      <w:r w:rsidR="00FE4CA6" w:rsidRPr="004738E4">
        <w:rPr>
          <w:rFonts w:ascii="Times New Roman" w:hAnsi="Times New Roman" w:cs="Times New Roman"/>
          <w:sz w:val="24"/>
          <w:szCs w:val="24"/>
        </w:rPr>
        <w:t xml:space="preserve"> and t</w:t>
      </w:r>
      <w:r w:rsidRPr="004738E4">
        <w:rPr>
          <w:rFonts w:ascii="Times New Roman" w:hAnsi="Times New Roman" w:cs="Times New Roman"/>
          <w:sz w:val="24"/>
          <w:szCs w:val="24"/>
        </w:rPr>
        <w:t xml:space="preserve">oo few case reports </w:t>
      </w:r>
      <w:r w:rsidR="00FE4CA6" w:rsidRPr="004738E4">
        <w:rPr>
          <w:rFonts w:ascii="Times New Roman" w:hAnsi="Times New Roman" w:cs="Times New Roman"/>
          <w:sz w:val="24"/>
          <w:szCs w:val="24"/>
        </w:rPr>
        <w:t>(n=7</w:t>
      </w:r>
      <w:r w:rsidR="00920A5E" w:rsidRPr="004738E4">
        <w:rPr>
          <w:rFonts w:ascii="Times New Roman" w:hAnsi="Times New Roman" w:cs="Times New Roman"/>
          <w:sz w:val="24"/>
          <w:szCs w:val="24"/>
        </w:rPr>
        <w:t>; 6 female</w:t>
      </w:r>
      <w:r w:rsidR="008A1E43" w:rsidRPr="004738E4">
        <w:rPr>
          <w:rFonts w:ascii="Times New Roman" w:hAnsi="Times New Roman" w:cs="Times New Roman"/>
          <w:sz w:val="24"/>
          <w:szCs w:val="24"/>
        </w:rPr>
        <w:t>) exist</w:t>
      </w:r>
      <w:r w:rsidR="00FE4CA6" w:rsidRPr="004738E4">
        <w:rPr>
          <w:rFonts w:ascii="Times New Roman" w:hAnsi="Times New Roman" w:cs="Times New Roman"/>
          <w:sz w:val="24"/>
          <w:szCs w:val="24"/>
        </w:rPr>
        <w:t xml:space="preserve"> in </w:t>
      </w:r>
      <w:r w:rsidRPr="004738E4">
        <w:rPr>
          <w:rFonts w:ascii="Times New Roman" w:hAnsi="Times New Roman" w:cs="Times New Roman"/>
          <w:i/>
          <w:sz w:val="24"/>
          <w:szCs w:val="24"/>
        </w:rPr>
        <w:t>VigiBase</w:t>
      </w:r>
      <w:r w:rsidRPr="004738E4">
        <w:rPr>
          <w:rFonts w:ascii="Times New Roman" w:hAnsi="Times New Roman" w:cs="Times New Roman"/>
          <w:sz w:val="24"/>
          <w:szCs w:val="24"/>
        </w:rPr>
        <w:t xml:space="preserve">. </w:t>
      </w:r>
    </w:p>
    <w:p w14:paraId="36F97ADA" w14:textId="77777777" w:rsidR="001D40E5" w:rsidRPr="004738E4" w:rsidRDefault="001D40E5" w:rsidP="003406EE">
      <w:pPr>
        <w:shd w:val="clear" w:color="auto" w:fill="FFFFFF"/>
        <w:spacing w:after="0" w:line="480" w:lineRule="auto"/>
        <w:contextualSpacing/>
        <w:jc w:val="both"/>
        <w:rPr>
          <w:rFonts w:ascii="Times New Roman" w:hAnsi="Times New Roman" w:cs="Times New Roman"/>
          <w:sz w:val="24"/>
          <w:szCs w:val="24"/>
        </w:rPr>
      </w:pPr>
    </w:p>
    <w:p w14:paraId="2165EAA0" w14:textId="7DE57B57" w:rsidR="004E0243" w:rsidRPr="004738E4" w:rsidRDefault="00802910"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P: Antiparasitics</w:t>
      </w:r>
    </w:p>
    <w:p w14:paraId="4BE66C53" w14:textId="3B530BA7" w:rsidR="004E0243" w:rsidRPr="004738E4" w:rsidRDefault="00377811"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sz w:val="24"/>
          <w:szCs w:val="24"/>
        </w:rPr>
        <w:tab/>
      </w:r>
      <w:r w:rsidR="004E0243" w:rsidRPr="004738E4">
        <w:rPr>
          <w:rFonts w:ascii="Times New Roman" w:hAnsi="Times New Roman" w:cs="Times New Roman"/>
          <w:sz w:val="24"/>
          <w:szCs w:val="24"/>
          <w:u w:val="single"/>
        </w:rPr>
        <w:t>Primaquine</w:t>
      </w:r>
      <w:r w:rsidR="004E0243" w:rsidRPr="004738E4">
        <w:rPr>
          <w:rFonts w:ascii="Times New Roman" w:hAnsi="Times New Roman" w:cs="Times New Roman"/>
          <w:sz w:val="24"/>
          <w:szCs w:val="24"/>
        </w:rPr>
        <w:t>.</w:t>
      </w:r>
      <w:r w:rsidR="004E0243" w:rsidRPr="004738E4">
        <w:rPr>
          <w:rFonts w:ascii="Times New Roman" w:hAnsi="Times New Roman" w:cs="Times New Roman"/>
          <w:spacing w:val="-7"/>
          <w:sz w:val="24"/>
          <w:szCs w:val="24"/>
        </w:rPr>
        <w:t xml:space="preserve"> </w:t>
      </w:r>
      <w:r w:rsidR="004E0243" w:rsidRPr="004738E4">
        <w:rPr>
          <w:rFonts w:ascii="Times New Roman" w:hAnsi="Times New Roman" w:cs="Times New Roman"/>
          <w:sz w:val="24"/>
          <w:szCs w:val="24"/>
        </w:rPr>
        <w:t xml:space="preserve">Women had </w:t>
      </w:r>
      <w:r w:rsidR="00FF4823" w:rsidRPr="004738E4">
        <w:rPr>
          <w:rFonts w:ascii="Times New Roman" w:hAnsi="Times New Roman" w:cs="Times New Roman"/>
          <w:sz w:val="24"/>
          <w:szCs w:val="24"/>
        </w:rPr>
        <w:t xml:space="preserve">approximately </w:t>
      </w:r>
      <w:r w:rsidR="004E0243" w:rsidRPr="004738E4">
        <w:rPr>
          <w:rFonts w:ascii="Times New Roman" w:hAnsi="Times New Roman" w:cs="Times New Roman"/>
          <w:sz w:val="24"/>
          <w:szCs w:val="24"/>
        </w:rPr>
        <w:t xml:space="preserve">2-fold higher median values for </w:t>
      </w:r>
      <w:r w:rsidR="004E0243" w:rsidRPr="004738E4">
        <w:rPr>
          <w:rFonts w:ascii="Times New Roman" w:hAnsi="Times New Roman" w:cs="Times New Roman"/>
          <w:i/>
          <w:iCs/>
          <w:sz w:val="24"/>
          <w:szCs w:val="24"/>
        </w:rPr>
        <w:t>C</w:t>
      </w:r>
      <w:r w:rsidR="004E0243" w:rsidRPr="004738E4">
        <w:rPr>
          <w:rFonts w:ascii="Times New Roman" w:hAnsi="Times New Roman" w:cs="Times New Roman"/>
          <w:position w:val="-6"/>
          <w:sz w:val="24"/>
          <w:szCs w:val="24"/>
          <w:vertAlign w:val="subscript"/>
        </w:rPr>
        <w:t xml:space="preserve">max </w:t>
      </w:r>
      <w:r w:rsidR="004E0243" w:rsidRPr="004738E4">
        <w:rPr>
          <w:rFonts w:ascii="Times New Roman" w:hAnsi="Times New Roman" w:cs="Times New Roman"/>
          <w:sz w:val="24"/>
          <w:szCs w:val="24"/>
        </w:rPr>
        <w:t>(212 vs. 122 ng/m</w:t>
      </w:r>
      <w:r w:rsidR="003609F9" w:rsidRPr="004738E4">
        <w:rPr>
          <w:rFonts w:ascii="Times New Roman" w:hAnsi="Times New Roman" w:cs="Times New Roman"/>
          <w:sz w:val="24"/>
          <w:szCs w:val="24"/>
        </w:rPr>
        <w:t>l</w:t>
      </w:r>
      <w:r w:rsidR="004E0243" w:rsidRPr="004738E4">
        <w:rPr>
          <w:rFonts w:ascii="Times New Roman" w:hAnsi="Times New Roman" w:cs="Times New Roman"/>
          <w:sz w:val="24"/>
          <w:szCs w:val="24"/>
        </w:rPr>
        <w:t>)</w:t>
      </w:r>
      <w:r w:rsidR="004E0243" w:rsidRPr="004738E4">
        <w:rPr>
          <w:rFonts w:ascii="Times New Roman" w:hAnsi="Times New Roman" w:cs="Times New Roman"/>
          <w:spacing w:val="-7"/>
          <w:sz w:val="24"/>
          <w:szCs w:val="24"/>
        </w:rPr>
        <w:t xml:space="preserve"> </w:t>
      </w:r>
      <w:r w:rsidR="004E0243" w:rsidRPr="004738E4">
        <w:rPr>
          <w:rFonts w:ascii="Times New Roman" w:hAnsi="Times New Roman" w:cs="Times New Roman"/>
          <w:sz w:val="24"/>
          <w:szCs w:val="24"/>
        </w:rPr>
        <w:t>and</w:t>
      </w:r>
      <w:r w:rsidR="004E0243" w:rsidRPr="004738E4">
        <w:rPr>
          <w:rFonts w:ascii="Times New Roman" w:hAnsi="Times New Roman" w:cs="Times New Roman"/>
          <w:spacing w:val="-18"/>
          <w:sz w:val="24"/>
          <w:szCs w:val="24"/>
        </w:rPr>
        <w:t xml:space="preserve"> </w:t>
      </w:r>
      <w:r w:rsidR="004E0243" w:rsidRPr="004738E4">
        <w:rPr>
          <w:rFonts w:ascii="Times New Roman" w:hAnsi="Times New Roman" w:cs="Times New Roman"/>
          <w:sz w:val="24"/>
          <w:szCs w:val="24"/>
        </w:rPr>
        <w:t>AUC</w:t>
      </w:r>
      <w:r w:rsidR="004E0243" w:rsidRPr="004738E4">
        <w:rPr>
          <w:rFonts w:ascii="Times New Roman" w:hAnsi="Times New Roman" w:cs="Times New Roman"/>
          <w:spacing w:val="14"/>
          <w:position w:val="-6"/>
          <w:sz w:val="24"/>
          <w:szCs w:val="24"/>
        </w:rPr>
        <w:t xml:space="preserve"> </w:t>
      </w:r>
      <w:r w:rsidR="004E0243" w:rsidRPr="004738E4">
        <w:rPr>
          <w:rFonts w:ascii="Times New Roman" w:hAnsi="Times New Roman" w:cs="Times New Roman"/>
          <w:sz w:val="24"/>
          <w:szCs w:val="24"/>
        </w:rPr>
        <w:t>(1909</w:t>
      </w:r>
      <w:r w:rsidR="004E0243" w:rsidRPr="004738E4">
        <w:rPr>
          <w:rFonts w:ascii="Times New Roman" w:hAnsi="Times New Roman" w:cs="Times New Roman"/>
          <w:spacing w:val="-7"/>
          <w:sz w:val="24"/>
          <w:szCs w:val="24"/>
        </w:rPr>
        <w:t xml:space="preserve"> </w:t>
      </w:r>
      <w:r w:rsidR="004E0243" w:rsidRPr="004738E4">
        <w:rPr>
          <w:rFonts w:ascii="Times New Roman" w:hAnsi="Times New Roman" w:cs="Times New Roman"/>
          <w:sz w:val="24"/>
          <w:szCs w:val="24"/>
        </w:rPr>
        <w:t>vs.</w:t>
      </w:r>
      <w:r w:rsidR="004E0243" w:rsidRPr="004738E4">
        <w:rPr>
          <w:rFonts w:ascii="Times New Roman" w:hAnsi="Times New Roman" w:cs="Times New Roman"/>
          <w:spacing w:val="-7"/>
          <w:sz w:val="24"/>
          <w:szCs w:val="24"/>
        </w:rPr>
        <w:t xml:space="preserve"> </w:t>
      </w:r>
      <w:r w:rsidR="004E0243" w:rsidRPr="004738E4">
        <w:rPr>
          <w:rFonts w:ascii="Times New Roman" w:hAnsi="Times New Roman" w:cs="Times New Roman"/>
          <w:sz w:val="24"/>
          <w:szCs w:val="24"/>
        </w:rPr>
        <w:t>917</w:t>
      </w:r>
      <w:r w:rsidR="004E0243" w:rsidRPr="004738E4">
        <w:rPr>
          <w:rFonts w:ascii="Times New Roman" w:hAnsi="Times New Roman" w:cs="Times New Roman"/>
          <w:spacing w:val="-8"/>
          <w:sz w:val="24"/>
          <w:szCs w:val="24"/>
        </w:rPr>
        <w:t xml:space="preserve"> </w:t>
      </w:r>
      <w:r w:rsidR="004E0243" w:rsidRPr="004738E4">
        <w:rPr>
          <w:rFonts w:ascii="Times New Roman" w:hAnsi="Times New Roman" w:cs="Times New Roman"/>
          <w:sz w:val="24"/>
          <w:szCs w:val="24"/>
        </w:rPr>
        <w:t>ng·</w:t>
      </w:r>
      <w:r w:rsidR="003609F9" w:rsidRPr="004738E4">
        <w:rPr>
          <w:rFonts w:ascii="Times New Roman" w:hAnsi="Times New Roman" w:cs="Times New Roman"/>
          <w:sz w:val="24"/>
          <w:szCs w:val="24"/>
        </w:rPr>
        <w:t>h/ml</w:t>
      </w:r>
      <w:r w:rsidR="004E0243" w:rsidRPr="004738E4">
        <w:rPr>
          <w:rFonts w:ascii="Times New Roman" w:hAnsi="Times New Roman" w:cs="Times New Roman"/>
          <w:sz w:val="24"/>
          <w:szCs w:val="24"/>
        </w:rPr>
        <w:t>)</w:t>
      </w:r>
      <w:r w:rsidR="004E0243" w:rsidRPr="004738E4">
        <w:rPr>
          <w:rFonts w:ascii="Times New Roman" w:hAnsi="Times New Roman" w:cs="Times New Roman"/>
          <w:spacing w:val="-7"/>
          <w:sz w:val="24"/>
          <w:szCs w:val="24"/>
        </w:rPr>
        <w:t xml:space="preserve"> </w:t>
      </w:r>
      <w:r w:rsidR="001A7FA8" w:rsidRPr="004738E4">
        <w:rPr>
          <w:rFonts w:ascii="Times New Roman" w:hAnsi="Times New Roman" w:cs="Times New Roman"/>
          <w:sz w:val="24"/>
          <w:szCs w:val="24"/>
        </w:rPr>
        <w:t>after</w:t>
      </w:r>
      <w:r w:rsidR="004E0243" w:rsidRPr="004738E4">
        <w:rPr>
          <w:rFonts w:ascii="Times New Roman" w:hAnsi="Times New Roman" w:cs="Times New Roman"/>
          <w:spacing w:val="-8"/>
          <w:sz w:val="24"/>
          <w:szCs w:val="24"/>
        </w:rPr>
        <w:t xml:space="preserve"> </w:t>
      </w:r>
      <w:r w:rsidR="004E0243" w:rsidRPr="004738E4">
        <w:rPr>
          <w:rFonts w:ascii="Times New Roman" w:hAnsi="Times New Roman" w:cs="Times New Roman"/>
          <w:spacing w:val="-7"/>
          <w:sz w:val="24"/>
          <w:szCs w:val="24"/>
        </w:rPr>
        <w:t>treatment</w:t>
      </w:r>
      <w:r w:rsidR="004E0243" w:rsidRPr="004738E4">
        <w:rPr>
          <w:rFonts w:ascii="Times New Roman" w:hAnsi="Times New Roman" w:cs="Times New Roman"/>
          <w:sz w:val="24"/>
          <w:szCs w:val="24"/>
        </w:rPr>
        <w:t xml:space="preserve">, which may put them at increased risk for toxicity when administered the same maintenance dose as men </w:t>
      </w:r>
      <w:r w:rsidR="005941EE" w:rsidRPr="004738E4">
        <w:rPr>
          <w:rFonts w:ascii="Times New Roman" w:hAnsi="Times New Roman" w:cs="Times New Roman"/>
          <w:noProof/>
          <w:sz w:val="24"/>
          <w:szCs w:val="24"/>
        </w:rPr>
        <w:t>(121)</w:t>
      </w:r>
      <w:r w:rsidR="004E0243" w:rsidRPr="004738E4">
        <w:rPr>
          <w:rFonts w:ascii="Times New Roman" w:hAnsi="Times New Roman" w:cs="Times New Roman"/>
          <w:sz w:val="24"/>
          <w:szCs w:val="24"/>
        </w:rPr>
        <w:t xml:space="preserve">. In a study that enrolled fewer women than men, GI disturbances were reported more frequently in women (e.g., nausea 35% for females and 12% for males, </w:t>
      </w:r>
      <w:r w:rsidR="005941EE" w:rsidRPr="004738E4">
        <w:rPr>
          <w:rFonts w:ascii="Times New Roman" w:hAnsi="Times New Roman" w:cs="Times New Roman"/>
          <w:noProof/>
          <w:sz w:val="24"/>
          <w:szCs w:val="24"/>
        </w:rPr>
        <w:t>(226)</w:t>
      </w:r>
      <w:r w:rsidR="004E0243" w:rsidRPr="004738E4">
        <w:rPr>
          <w:rFonts w:ascii="Times New Roman" w:hAnsi="Times New Roman" w:cs="Times New Roman"/>
          <w:sz w:val="24"/>
          <w:szCs w:val="24"/>
        </w:rPr>
        <w:t>).</w:t>
      </w:r>
    </w:p>
    <w:p w14:paraId="7E0A69D7" w14:textId="77777777" w:rsidR="001D40E5" w:rsidRPr="004738E4" w:rsidRDefault="001D40E5" w:rsidP="003406EE">
      <w:pPr>
        <w:shd w:val="clear" w:color="auto" w:fill="FFFFFF"/>
        <w:spacing w:after="0" w:line="480" w:lineRule="auto"/>
        <w:contextualSpacing/>
        <w:jc w:val="both"/>
        <w:rPr>
          <w:rFonts w:ascii="Times New Roman" w:hAnsi="Times New Roman" w:cs="Times New Roman"/>
          <w:sz w:val="24"/>
          <w:szCs w:val="24"/>
        </w:rPr>
      </w:pPr>
    </w:p>
    <w:p w14:paraId="0C4EFDCF" w14:textId="59CE7C23" w:rsidR="00802910" w:rsidRPr="004738E4" w:rsidRDefault="00802910"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ATC </w:t>
      </w:r>
      <w:r w:rsidR="00B838C7"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R: Respiratory system</w:t>
      </w:r>
    </w:p>
    <w:p w14:paraId="5E772547" w14:textId="501CEF92" w:rsidR="004E0243" w:rsidRPr="004738E4" w:rsidRDefault="00377811" w:rsidP="003406EE">
      <w:pPr>
        <w:kinsoku w:val="0"/>
        <w:overflowPunct w:val="0"/>
        <w:spacing w:after="120" w:line="480" w:lineRule="auto"/>
        <w:ind w:right="99"/>
        <w:contextualSpacing/>
        <w:jc w:val="both"/>
        <w:rPr>
          <w:rFonts w:ascii="Times New Roman" w:eastAsia="Times New Roman" w:hAnsi="Times New Roman" w:cs="Times New Roman"/>
          <w:sz w:val="24"/>
          <w:szCs w:val="24"/>
        </w:rPr>
      </w:pPr>
      <w:r w:rsidRPr="004738E4">
        <w:rPr>
          <w:rFonts w:ascii="Times New Roman" w:eastAsia="Times New Roman" w:hAnsi="Times New Roman" w:cs="Times New Roman"/>
          <w:sz w:val="24"/>
          <w:szCs w:val="24"/>
        </w:rPr>
        <w:lastRenderedPageBreak/>
        <w:tab/>
      </w:r>
      <w:r w:rsidR="004E0243" w:rsidRPr="004738E4">
        <w:rPr>
          <w:rFonts w:ascii="Times New Roman" w:eastAsia="Times New Roman" w:hAnsi="Times New Roman" w:cs="Times New Roman"/>
          <w:sz w:val="24"/>
          <w:szCs w:val="24"/>
          <w:u w:val="single"/>
        </w:rPr>
        <w:t>Terfenadine</w:t>
      </w:r>
      <w:r w:rsidR="004E0243" w:rsidRPr="004738E4">
        <w:rPr>
          <w:rFonts w:ascii="Times New Roman" w:eastAsia="Times New Roman" w:hAnsi="Times New Roman" w:cs="Times New Roman"/>
          <w:sz w:val="24"/>
          <w:szCs w:val="24"/>
        </w:rPr>
        <w:t>. The C</w:t>
      </w:r>
      <w:r w:rsidR="004E0243" w:rsidRPr="004738E4">
        <w:rPr>
          <w:rFonts w:ascii="Times New Roman" w:eastAsia="Times New Roman" w:hAnsi="Times New Roman" w:cs="Times New Roman"/>
          <w:sz w:val="24"/>
          <w:szCs w:val="24"/>
          <w:vertAlign w:val="subscript"/>
        </w:rPr>
        <w:t>max</w:t>
      </w:r>
      <w:r w:rsidR="004E0243" w:rsidRPr="004738E4">
        <w:rPr>
          <w:rFonts w:ascii="Times New Roman" w:eastAsia="Times New Roman" w:hAnsi="Times New Roman" w:cs="Times New Roman"/>
          <w:sz w:val="24"/>
          <w:szCs w:val="24"/>
        </w:rPr>
        <w:t xml:space="preserve"> was significantly higher in women than men </w:t>
      </w:r>
      <w:r w:rsidR="005941EE" w:rsidRPr="004738E4">
        <w:rPr>
          <w:rFonts w:ascii="Times New Roman" w:eastAsia="Times New Roman" w:hAnsi="Times New Roman" w:cs="Times New Roman"/>
          <w:noProof/>
          <w:sz w:val="24"/>
          <w:szCs w:val="24"/>
        </w:rPr>
        <w:t>(227)</w:t>
      </w:r>
      <w:r w:rsidR="004E0243" w:rsidRPr="004738E4">
        <w:rPr>
          <w:rFonts w:ascii="Times New Roman" w:eastAsia="Times New Roman" w:hAnsi="Times New Roman" w:cs="Times New Roman"/>
          <w:sz w:val="24"/>
          <w:szCs w:val="24"/>
        </w:rPr>
        <w:t xml:space="preserve">. Cardiac ADRs are also more common in women than men taking terfenadine; women treated with this antihistamine are more likely to exhibit </w:t>
      </w:r>
      <w:r w:rsidR="009D6D2A" w:rsidRPr="004738E4">
        <w:rPr>
          <w:rFonts w:ascii="Times New Roman" w:eastAsia="Times New Roman" w:hAnsi="Times New Roman" w:cs="Times New Roman"/>
          <w:sz w:val="24"/>
          <w:szCs w:val="24"/>
        </w:rPr>
        <w:t xml:space="preserve">TdP </w:t>
      </w:r>
      <w:r w:rsidR="005941EE" w:rsidRPr="004738E4">
        <w:rPr>
          <w:rFonts w:ascii="Times New Roman" w:eastAsia="Times New Roman" w:hAnsi="Times New Roman" w:cs="Times New Roman"/>
          <w:noProof/>
          <w:sz w:val="24"/>
          <w:szCs w:val="24"/>
        </w:rPr>
        <w:t>(228,229)</w:t>
      </w:r>
      <w:r w:rsidR="004E0243" w:rsidRPr="004738E4">
        <w:rPr>
          <w:rFonts w:ascii="Times New Roman" w:eastAsia="Times New Roman" w:hAnsi="Times New Roman" w:cs="Times New Roman"/>
          <w:sz w:val="24"/>
          <w:szCs w:val="24"/>
        </w:rPr>
        <w:t xml:space="preserve">. </w:t>
      </w:r>
    </w:p>
    <w:p w14:paraId="51373889" w14:textId="388F457B" w:rsidR="004E0243" w:rsidRPr="004738E4" w:rsidRDefault="00377811" w:rsidP="003406EE">
      <w:pPr>
        <w:autoSpaceDE w:val="0"/>
        <w:autoSpaceDN w:val="0"/>
        <w:adjustRightInd w:val="0"/>
        <w:spacing w:after="0" w:line="480" w:lineRule="auto"/>
        <w:contextualSpacing/>
        <w:jc w:val="both"/>
        <w:rPr>
          <w:rFonts w:ascii="Times New Roman" w:hAnsi="Times New Roman" w:cs="Times New Roman"/>
          <w:strike/>
          <w:sz w:val="24"/>
          <w:szCs w:val="24"/>
        </w:rPr>
      </w:pPr>
      <w:r w:rsidRPr="004738E4">
        <w:rPr>
          <w:rFonts w:ascii="Times New Roman" w:hAnsi="Times New Roman" w:cs="Times New Roman"/>
          <w:sz w:val="24"/>
          <w:szCs w:val="24"/>
        </w:rPr>
        <w:tab/>
      </w:r>
      <w:r w:rsidR="004E0243" w:rsidRPr="004738E4">
        <w:rPr>
          <w:rFonts w:ascii="Times New Roman" w:hAnsi="Times New Roman" w:cs="Times New Roman"/>
          <w:sz w:val="24"/>
          <w:szCs w:val="24"/>
          <w:u w:val="single"/>
        </w:rPr>
        <w:t>Fexofenadine</w:t>
      </w:r>
      <w:r w:rsidR="004E0243" w:rsidRPr="004738E4">
        <w:rPr>
          <w:rFonts w:ascii="Times New Roman" w:hAnsi="Times New Roman" w:cs="Times New Roman"/>
          <w:sz w:val="24"/>
          <w:szCs w:val="24"/>
        </w:rPr>
        <w:t xml:space="preserve">. </w:t>
      </w:r>
      <w:r w:rsidR="00AB5090" w:rsidRPr="004738E4">
        <w:rPr>
          <w:rFonts w:ascii="Times New Roman" w:hAnsi="Times New Roman" w:cs="Times New Roman"/>
          <w:sz w:val="24"/>
          <w:szCs w:val="24"/>
        </w:rPr>
        <w:t xml:space="preserve">AUC </w:t>
      </w:r>
      <w:r w:rsidR="004E0243" w:rsidRPr="004738E4">
        <w:rPr>
          <w:rFonts w:ascii="Times New Roman" w:hAnsi="Times New Roman" w:cs="Times New Roman"/>
          <w:sz w:val="24"/>
          <w:szCs w:val="24"/>
        </w:rPr>
        <w:t>was 33% higher in women than men, and C</w:t>
      </w:r>
      <w:r w:rsidR="004E0243" w:rsidRPr="004738E4">
        <w:rPr>
          <w:rFonts w:ascii="Times New Roman" w:hAnsi="Times New Roman" w:cs="Times New Roman"/>
          <w:sz w:val="24"/>
          <w:szCs w:val="24"/>
          <w:vertAlign w:val="subscript"/>
        </w:rPr>
        <w:t>max</w:t>
      </w:r>
      <w:r w:rsidR="004E0243" w:rsidRPr="004738E4">
        <w:rPr>
          <w:rFonts w:ascii="Times New Roman" w:hAnsi="Times New Roman" w:cs="Times New Roman"/>
          <w:sz w:val="24"/>
          <w:szCs w:val="24"/>
        </w:rPr>
        <w:t xml:space="preserve"> was 46% greater in females </w:t>
      </w:r>
      <w:r w:rsidR="005941EE" w:rsidRPr="004738E4">
        <w:rPr>
          <w:rFonts w:ascii="Times New Roman" w:hAnsi="Times New Roman" w:cs="Times New Roman"/>
          <w:noProof/>
          <w:sz w:val="24"/>
          <w:szCs w:val="24"/>
        </w:rPr>
        <w:t>(230)</w:t>
      </w:r>
      <w:r w:rsidR="004E0243" w:rsidRPr="004738E4">
        <w:rPr>
          <w:rFonts w:ascii="Times New Roman" w:hAnsi="Times New Roman" w:cs="Times New Roman"/>
          <w:sz w:val="24"/>
          <w:szCs w:val="24"/>
        </w:rPr>
        <w:t xml:space="preserve">. Tracking performance and choice reaction time of women on driving tests was significantly worse than that of men </w:t>
      </w:r>
      <w:r w:rsidR="005941EE" w:rsidRPr="004738E4">
        <w:rPr>
          <w:rFonts w:ascii="Times New Roman" w:hAnsi="Times New Roman" w:cs="Times New Roman"/>
          <w:noProof/>
          <w:sz w:val="24"/>
          <w:szCs w:val="24"/>
        </w:rPr>
        <w:t>(231)</w:t>
      </w:r>
      <w:r w:rsidR="004E0243" w:rsidRPr="004738E4">
        <w:rPr>
          <w:rFonts w:ascii="Times New Roman" w:hAnsi="Times New Roman" w:cs="Times New Roman"/>
          <w:sz w:val="24"/>
          <w:szCs w:val="24"/>
        </w:rPr>
        <w:t xml:space="preserve">. </w:t>
      </w:r>
    </w:p>
    <w:p w14:paraId="0D5E76B4" w14:textId="5542BE26" w:rsidR="004E0243" w:rsidRPr="004738E4" w:rsidRDefault="00377811" w:rsidP="003406EE">
      <w:pPr>
        <w:autoSpaceDE w:val="0"/>
        <w:autoSpaceDN w:val="0"/>
        <w:adjustRightInd w:val="0"/>
        <w:spacing w:after="0" w:line="480" w:lineRule="auto"/>
        <w:contextualSpacing/>
        <w:jc w:val="both"/>
        <w:rPr>
          <w:rFonts w:ascii="Times New Roman" w:hAnsi="Times New Roman" w:cs="Times New Roman"/>
          <w:strike/>
          <w:sz w:val="24"/>
          <w:szCs w:val="24"/>
        </w:rPr>
      </w:pPr>
      <w:r w:rsidRPr="004738E4">
        <w:rPr>
          <w:rFonts w:ascii="Times New Roman" w:eastAsia="Times New Roman" w:hAnsi="Times New Roman" w:cs="Times New Roman"/>
          <w:sz w:val="24"/>
          <w:szCs w:val="24"/>
        </w:rPr>
        <w:tab/>
      </w:r>
      <w:r w:rsidR="004E0243" w:rsidRPr="004738E4">
        <w:rPr>
          <w:rFonts w:ascii="Times New Roman" w:eastAsia="Times New Roman" w:hAnsi="Times New Roman" w:cs="Times New Roman"/>
          <w:sz w:val="24"/>
          <w:szCs w:val="24"/>
          <w:u w:val="single"/>
        </w:rPr>
        <w:t>Cetirizine</w:t>
      </w:r>
      <w:r w:rsidR="004E0243" w:rsidRPr="004738E4">
        <w:rPr>
          <w:rFonts w:ascii="Times New Roman" w:eastAsia="Times New Roman" w:hAnsi="Times New Roman" w:cs="Times New Roman"/>
          <w:sz w:val="24"/>
          <w:szCs w:val="24"/>
        </w:rPr>
        <w:t xml:space="preserve">. </w:t>
      </w:r>
      <w:r w:rsidR="004E0243" w:rsidRPr="004738E4">
        <w:rPr>
          <w:rFonts w:ascii="Times New Roman" w:hAnsi="Times New Roman" w:cs="Times New Roman"/>
          <w:sz w:val="24"/>
          <w:szCs w:val="24"/>
        </w:rPr>
        <w:t xml:space="preserve">Clearance was slower in female than male children (0.59 </w:t>
      </w:r>
      <w:r w:rsidR="004E0243" w:rsidRPr="004738E4">
        <w:rPr>
          <w:rFonts w:ascii="Times New Roman" w:hAnsi="Times New Roman" w:cs="Times New Roman"/>
          <w:iCs/>
          <w:sz w:val="24"/>
          <w:szCs w:val="24"/>
        </w:rPr>
        <w:t>vs.</w:t>
      </w:r>
      <w:r w:rsidR="004E0243" w:rsidRPr="004738E4">
        <w:rPr>
          <w:rFonts w:ascii="Times New Roman" w:hAnsi="Times New Roman" w:cs="Times New Roman"/>
          <w:i/>
          <w:iCs/>
          <w:sz w:val="24"/>
          <w:szCs w:val="24"/>
        </w:rPr>
        <w:t xml:space="preserve"> </w:t>
      </w:r>
      <w:r w:rsidR="005E259E" w:rsidRPr="004738E4">
        <w:rPr>
          <w:rFonts w:ascii="Times New Roman" w:hAnsi="Times New Roman" w:cs="Times New Roman"/>
          <w:sz w:val="24"/>
          <w:szCs w:val="24"/>
        </w:rPr>
        <w:t>0.77 l/</w:t>
      </w:r>
      <w:r w:rsidR="004E0243" w:rsidRPr="004738E4">
        <w:rPr>
          <w:rFonts w:ascii="Times New Roman" w:hAnsi="Times New Roman" w:cs="Times New Roman"/>
          <w:sz w:val="24"/>
          <w:szCs w:val="24"/>
        </w:rPr>
        <w:t xml:space="preserve">h, </w:t>
      </w:r>
      <w:r w:rsidR="005941EE" w:rsidRPr="004738E4">
        <w:rPr>
          <w:rFonts w:ascii="Times New Roman" w:hAnsi="Times New Roman" w:cs="Times New Roman"/>
          <w:noProof/>
          <w:sz w:val="24"/>
          <w:szCs w:val="24"/>
        </w:rPr>
        <w:t>(232)</w:t>
      </w:r>
      <w:r w:rsidR="004E0243" w:rsidRPr="004738E4">
        <w:rPr>
          <w:rFonts w:ascii="Times New Roman" w:hAnsi="Times New Roman" w:cs="Times New Roman"/>
          <w:bCs/>
          <w:sz w:val="24"/>
          <w:szCs w:val="24"/>
        </w:rPr>
        <w:t>)</w:t>
      </w:r>
      <w:r w:rsidR="004E0243" w:rsidRPr="004738E4">
        <w:rPr>
          <w:rFonts w:ascii="Times New Roman" w:hAnsi="Times New Roman" w:cs="Times New Roman"/>
          <w:sz w:val="24"/>
          <w:szCs w:val="24"/>
        </w:rPr>
        <w:t>. The ADR ratio was 1.76 based on 25576 reports.</w:t>
      </w:r>
    </w:p>
    <w:p w14:paraId="58B0E2A4" w14:textId="6EC9E60E" w:rsidR="00FB6CA9" w:rsidRPr="004738E4" w:rsidRDefault="00377811" w:rsidP="003406EE">
      <w:pPr>
        <w:shd w:val="clear" w:color="auto" w:fill="FFFFFF"/>
        <w:spacing w:after="0" w:line="480" w:lineRule="auto"/>
        <w:contextualSpacing/>
        <w:jc w:val="both"/>
        <w:rPr>
          <w:rFonts w:ascii="Times New Roman" w:hAnsi="Times New Roman" w:cs="Times New Roman"/>
          <w:sz w:val="24"/>
          <w:szCs w:val="24"/>
        </w:rPr>
      </w:pPr>
      <w:r w:rsidRPr="004738E4">
        <w:rPr>
          <w:rFonts w:ascii="Times New Roman" w:hAnsi="Times New Roman" w:cs="Times New Roman"/>
          <w:sz w:val="24"/>
          <w:szCs w:val="24"/>
        </w:rPr>
        <w:tab/>
      </w:r>
      <w:r w:rsidR="00E11BE9" w:rsidRPr="004738E4">
        <w:rPr>
          <w:rFonts w:ascii="Times New Roman" w:hAnsi="Times New Roman" w:cs="Times New Roman"/>
          <w:sz w:val="24"/>
          <w:szCs w:val="24"/>
          <w:u w:val="single"/>
        </w:rPr>
        <w:t>Mizolastine</w:t>
      </w:r>
      <w:r w:rsidR="00E11BE9" w:rsidRPr="004738E4">
        <w:rPr>
          <w:rFonts w:ascii="Times New Roman" w:hAnsi="Times New Roman" w:cs="Times New Roman"/>
          <w:sz w:val="24"/>
          <w:szCs w:val="24"/>
        </w:rPr>
        <w:t xml:space="preserve">. The median duration of absorption of orally administered mizolastine was &gt;3 h for men and only 40 min for women, contributing to striking variability in drug concentrations by </w:t>
      </w:r>
      <w:r w:rsidR="00821491" w:rsidRPr="004738E4">
        <w:rPr>
          <w:rFonts w:ascii="Times New Roman" w:hAnsi="Times New Roman" w:cs="Times New Roman"/>
          <w:sz w:val="24"/>
          <w:szCs w:val="24"/>
        </w:rPr>
        <w:t>sex</w:t>
      </w:r>
      <w:r w:rsidR="00E11BE9" w:rsidRPr="004738E4">
        <w:rPr>
          <w:rFonts w:ascii="Times New Roman" w:hAnsi="Times New Roman" w:cs="Times New Roman"/>
          <w:sz w:val="24"/>
          <w:szCs w:val="24"/>
        </w:rPr>
        <w:t xml:space="preserve"> </w:t>
      </w:r>
      <w:r w:rsidR="005941EE" w:rsidRPr="004738E4">
        <w:rPr>
          <w:rFonts w:ascii="Times New Roman" w:hAnsi="Times New Roman" w:cs="Times New Roman"/>
          <w:noProof/>
          <w:sz w:val="24"/>
          <w:szCs w:val="24"/>
        </w:rPr>
        <w:t>(233)</w:t>
      </w:r>
      <w:r w:rsidR="00E11BE9" w:rsidRPr="004738E4">
        <w:rPr>
          <w:rFonts w:ascii="Times New Roman" w:hAnsi="Times New Roman" w:cs="Times New Roman"/>
          <w:sz w:val="24"/>
          <w:szCs w:val="24"/>
        </w:rPr>
        <w:t xml:space="preserve">. </w:t>
      </w:r>
      <w:r w:rsidR="00BE3A1B" w:rsidRPr="004738E4">
        <w:rPr>
          <w:rFonts w:ascii="Times New Roman" w:hAnsi="Times New Roman" w:cs="Times New Roman"/>
          <w:sz w:val="24"/>
          <w:szCs w:val="24"/>
        </w:rPr>
        <w:t>M</w:t>
      </w:r>
      <w:r w:rsidR="00E11BE9" w:rsidRPr="004738E4">
        <w:rPr>
          <w:rFonts w:ascii="Times New Roman" w:hAnsi="Times New Roman" w:cs="Times New Roman"/>
          <w:sz w:val="24"/>
          <w:szCs w:val="24"/>
        </w:rPr>
        <w:t xml:space="preserve">ore than twice as </w:t>
      </w:r>
      <w:r w:rsidR="00BE3A1B" w:rsidRPr="004738E4">
        <w:rPr>
          <w:rFonts w:ascii="Times New Roman" w:hAnsi="Times New Roman" w:cs="Times New Roman"/>
          <w:sz w:val="24"/>
          <w:szCs w:val="24"/>
        </w:rPr>
        <w:t>many ADRs were reported</w:t>
      </w:r>
      <w:r w:rsidR="00E11BE9" w:rsidRPr="004738E4">
        <w:rPr>
          <w:rFonts w:ascii="Times New Roman" w:hAnsi="Times New Roman" w:cs="Times New Roman"/>
          <w:sz w:val="24"/>
          <w:szCs w:val="24"/>
        </w:rPr>
        <w:t xml:space="preserve"> for women than men </w:t>
      </w:r>
      <w:r w:rsidR="00BE3A1B" w:rsidRPr="004738E4">
        <w:rPr>
          <w:rFonts w:ascii="Times New Roman" w:hAnsi="Times New Roman" w:cs="Times New Roman"/>
          <w:sz w:val="24"/>
          <w:szCs w:val="24"/>
        </w:rPr>
        <w:t xml:space="preserve">in </w:t>
      </w:r>
      <w:r w:rsidR="00BE3A1B" w:rsidRPr="004738E4">
        <w:rPr>
          <w:rFonts w:ascii="Times New Roman" w:hAnsi="Times New Roman" w:cs="Times New Roman"/>
          <w:i/>
          <w:sz w:val="24"/>
          <w:szCs w:val="24"/>
        </w:rPr>
        <w:t>VigiBase</w:t>
      </w:r>
      <w:r w:rsidR="00BE3A1B" w:rsidRPr="004738E4">
        <w:rPr>
          <w:rFonts w:ascii="Times New Roman" w:hAnsi="Times New Roman" w:cs="Times New Roman"/>
          <w:sz w:val="24"/>
          <w:szCs w:val="24"/>
        </w:rPr>
        <w:t xml:space="preserve"> </w:t>
      </w:r>
      <w:r w:rsidR="00E11BE9" w:rsidRPr="004738E4">
        <w:rPr>
          <w:rFonts w:ascii="Times New Roman" w:hAnsi="Times New Roman" w:cs="Times New Roman"/>
          <w:sz w:val="24"/>
          <w:szCs w:val="24"/>
        </w:rPr>
        <w:t>(ratio of 2.23</w:t>
      </w:r>
      <w:r w:rsidR="00592AFA" w:rsidRPr="004738E4">
        <w:rPr>
          <w:rFonts w:ascii="Times New Roman" w:hAnsi="Times New Roman" w:cs="Times New Roman"/>
          <w:sz w:val="24"/>
          <w:szCs w:val="24"/>
        </w:rPr>
        <w:t>,</w:t>
      </w:r>
      <w:r w:rsidR="00E11BE9" w:rsidRPr="004738E4">
        <w:rPr>
          <w:rFonts w:ascii="Times New Roman" w:hAnsi="Times New Roman" w:cs="Times New Roman"/>
          <w:sz w:val="24"/>
          <w:szCs w:val="24"/>
        </w:rPr>
        <w:t xml:space="preserve"> based on 414 reports).</w:t>
      </w:r>
    </w:p>
    <w:p w14:paraId="6164BA16" w14:textId="77777777" w:rsidR="00FB6CA9" w:rsidRPr="004738E4" w:rsidRDefault="00FB6CA9" w:rsidP="003406EE">
      <w:pPr>
        <w:shd w:val="clear" w:color="auto" w:fill="FFFFFF"/>
        <w:spacing w:after="0" w:line="480" w:lineRule="auto"/>
        <w:contextualSpacing/>
        <w:jc w:val="both"/>
        <w:rPr>
          <w:rFonts w:ascii="Times New Roman" w:hAnsi="Times New Roman" w:cs="Times New Roman"/>
          <w:sz w:val="24"/>
          <w:szCs w:val="24"/>
        </w:rPr>
      </w:pPr>
    </w:p>
    <w:p w14:paraId="53DB0D9E" w14:textId="14F3A099" w:rsidR="004E0243" w:rsidRPr="004738E4" w:rsidRDefault="004E0243" w:rsidP="003406EE">
      <w:pPr>
        <w:shd w:val="clear" w:color="auto" w:fill="FFFFFF"/>
        <w:spacing w:after="0" w:line="480" w:lineRule="auto"/>
        <w:contextualSpacing/>
        <w:jc w:val="both"/>
        <w:rPr>
          <w:rFonts w:ascii="Times New Roman" w:hAnsi="Times New Roman" w:cs="Times New Roman"/>
          <w:i/>
          <w:sz w:val="24"/>
          <w:szCs w:val="24"/>
        </w:rPr>
      </w:pPr>
      <w:r w:rsidRPr="004738E4">
        <w:rPr>
          <w:rFonts w:ascii="Times New Roman" w:hAnsi="Times New Roman" w:cs="Times New Roman"/>
          <w:i/>
          <w:sz w:val="24"/>
          <w:szCs w:val="24"/>
        </w:rPr>
        <w:t xml:space="preserve">Recreational drugs without WHO-ATC </w:t>
      </w:r>
      <w:r w:rsidR="007C19AA" w:rsidRPr="004738E4">
        <w:rPr>
          <w:rFonts w:ascii="Times New Roman" w:hAnsi="Times New Roman" w:cs="Times New Roman"/>
          <w:i/>
          <w:sz w:val="24"/>
          <w:szCs w:val="24"/>
        </w:rPr>
        <w:t xml:space="preserve">Classification </w:t>
      </w:r>
      <w:r w:rsidRPr="004738E4">
        <w:rPr>
          <w:rFonts w:ascii="Times New Roman" w:hAnsi="Times New Roman" w:cs="Times New Roman"/>
          <w:i/>
          <w:sz w:val="24"/>
          <w:szCs w:val="24"/>
        </w:rPr>
        <w:t>Codes</w:t>
      </w:r>
    </w:p>
    <w:p w14:paraId="15A63766" w14:textId="40489B2B" w:rsidR="004E0243" w:rsidRPr="004738E4" w:rsidRDefault="004E0243" w:rsidP="003406EE">
      <w:pPr>
        <w:spacing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MDMA</w:t>
      </w:r>
      <w:r w:rsidRPr="004738E4">
        <w:rPr>
          <w:rFonts w:ascii="Times New Roman" w:hAnsi="Times New Roman" w:cs="Times New Roman"/>
          <w:sz w:val="24"/>
          <w:szCs w:val="24"/>
        </w:rPr>
        <w:t xml:space="preserve">. Women cleared MDMA (methyl​enedioxy​methamphetamine) almost 40% slower than men </w:t>
      </w:r>
      <w:r w:rsidR="005941EE" w:rsidRPr="004738E4">
        <w:rPr>
          <w:rFonts w:ascii="Times New Roman" w:hAnsi="Times New Roman" w:cs="Times New Roman"/>
          <w:noProof/>
          <w:sz w:val="24"/>
          <w:szCs w:val="24"/>
        </w:rPr>
        <w:t>(234)</w:t>
      </w:r>
      <w:r w:rsidRPr="004738E4">
        <w:rPr>
          <w:rFonts w:ascii="Times New Roman" w:hAnsi="Times New Roman" w:cs="Times New Roman"/>
          <w:sz w:val="24"/>
          <w:szCs w:val="24"/>
        </w:rPr>
        <w:t>. Women appear to be more sensitive to adverse side-effects of MDMA (</w:t>
      </w:r>
      <w:r w:rsidR="00AB5090" w:rsidRPr="004738E4">
        <w:rPr>
          <w:rFonts w:ascii="Times New Roman" w:hAnsi="Times New Roman" w:cs="Times New Roman"/>
          <w:sz w:val="24"/>
          <w:szCs w:val="24"/>
        </w:rPr>
        <w:t>Ecstacy</w:t>
      </w:r>
      <w:r w:rsidRPr="004738E4">
        <w:rPr>
          <w:rFonts w:ascii="Times New Roman" w:hAnsi="Times New Roman" w:cs="Times New Roman"/>
          <w:sz w:val="24"/>
          <w:szCs w:val="24"/>
        </w:rPr>
        <w:t xml:space="preserve">) than men. MDMA significantly elevated plasma copeptin concentrations in women but not in men; an MDMA-induced increased production of the pre-pro-vasopressin precursor in women may account for hyponatremia typically reported in female </w:t>
      </w:r>
      <w:r w:rsidR="00AB5090" w:rsidRPr="004738E4">
        <w:rPr>
          <w:rFonts w:ascii="Times New Roman" w:hAnsi="Times New Roman" w:cs="Times New Roman"/>
          <w:sz w:val="24"/>
          <w:szCs w:val="24"/>
        </w:rPr>
        <w:t>E</w:t>
      </w:r>
      <w:r w:rsidRPr="004738E4">
        <w:rPr>
          <w:rFonts w:ascii="Times New Roman" w:hAnsi="Times New Roman" w:cs="Times New Roman"/>
          <w:sz w:val="24"/>
          <w:szCs w:val="24"/>
        </w:rPr>
        <w:t xml:space="preserve">cstasy users </w:t>
      </w:r>
      <w:r w:rsidR="005941EE" w:rsidRPr="004738E4">
        <w:rPr>
          <w:rFonts w:ascii="Times New Roman" w:hAnsi="Times New Roman" w:cs="Times New Roman"/>
          <w:noProof/>
          <w:sz w:val="24"/>
          <w:szCs w:val="24"/>
        </w:rPr>
        <w:t>(235)</w:t>
      </w:r>
      <w:r w:rsidRPr="004738E4">
        <w:rPr>
          <w:rFonts w:ascii="Times New Roman" w:hAnsi="Times New Roman" w:cs="Times New Roman"/>
          <w:sz w:val="24"/>
          <w:szCs w:val="24"/>
        </w:rPr>
        <w:t xml:space="preserve">. Among heavy MDMA users, </w:t>
      </w:r>
      <w:r w:rsidRPr="004738E4">
        <w:rPr>
          <w:rFonts w:ascii="Times New Roman" w:hAnsi="Times New Roman" w:cs="Times New Roman"/>
          <w:spacing w:val="-2"/>
          <w:sz w:val="24"/>
          <w:szCs w:val="24"/>
        </w:rPr>
        <w:t>decreases</w:t>
      </w:r>
      <w:r w:rsidRPr="004738E4">
        <w:rPr>
          <w:rFonts w:ascii="Times New Roman" w:hAnsi="Times New Roman" w:cs="Times New Roman"/>
          <w:sz w:val="24"/>
          <w:szCs w:val="24"/>
        </w:rPr>
        <w:t xml:space="preserve"> in</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overall</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binding</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ratios in serotonergic neurons</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were</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detected in women</w:t>
      </w:r>
      <w:r w:rsidRPr="004738E4">
        <w:rPr>
          <w:rFonts w:ascii="Times New Roman" w:hAnsi="Times New Roman" w:cs="Times New Roman"/>
          <w:spacing w:val="3"/>
          <w:sz w:val="24"/>
          <w:szCs w:val="24"/>
        </w:rPr>
        <w:t xml:space="preserve"> </w:t>
      </w:r>
      <w:r w:rsidRPr="004738E4">
        <w:rPr>
          <w:rFonts w:ascii="Times New Roman" w:hAnsi="Times New Roman" w:cs="Times New Roman"/>
          <w:sz w:val="24"/>
          <w:szCs w:val="24"/>
        </w:rPr>
        <w:t>but</w:t>
      </w:r>
      <w:r w:rsidRPr="004738E4">
        <w:rPr>
          <w:rFonts w:ascii="Times New Roman" w:hAnsi="Times New Roman" w:cs="Times New Roman"/>
          <w:spacing w:val="3"/>
          <w:sz w:val="24"/>
          <w:szCs w:val="24"/>
        </w:rPr>
        <w:t xml:space="preserve"> </w:t>
      </w:r>
      <w:r w:rsidRPr="004738E4">
        <w:rPr>
          <w:rFonts w:ascii="Times New Roman" w:hAnsi="Times New Roman" w:cs="Times New Roman"/>
          <w:spacing w:val="-4"/>
          <w:sz w:val="24"/>
          <w:szCs w:val="24"/>
        </w:rPr>
        <w:t>not</w:t>
      </w:r>
      <w:r w:rsidRPr="004738E4">
        <w:rPr>
          <w:rFonts w:ascii="Times New Roman" w:hAnsi="Times New Roman" w:cs="Times New Roman"/>
          <w:sz w:val="24"/>
          <w:szCs w:val="24"/>
        </w:rPr>
        <w:t xml:space="preserve"> men</w:t>
      </w:r>
      <w:r w:rsidRPr="004738E4">
        <w:rPr>
          <w:rFonts w:ascii="Times New Roman" w:hAnsi="Times New Roman" w:cs="Times New Roman"/>
          <w:spacing w:val="20"/>
          <w:sz w:val="24"/>
          <w:szCs w:val="24"/>
        </w:rPr>
        <w:t xml:space="preserve"> </w:t>
      </w:r>
      <w:r w:rsidR="005941EE" w:rsidRPr="004738E4">
        <w:rPr>
          <w:rFonts w:ascii="Times New Roman" w:hAnsi="Times New Roman" w:cs="Times New Roman"/>
          <w:noProof/>
          <w:spacing w:val="20"/>
          <w:sz w:val="24"/>
          <w:szCs w:val="24"/>
        </w:rPr>
        <w:t>(236)</w:t>
      </w:r>
      <w:r w:rsidRPr="004738E4">
        <w:rPr>
          <w:rFonts w:ascii="Times New Roman" w:eastAsia="Times New Roman" w:hAnsi="Times New Roman" w:cs="Times New Roman"/>
          <w:sz w:val="24"/>
          <w:szCs w:val="24"/>
        </w:rPr>
        <w:t>.</w:t>
      </w:r>
      <w:r w:rsidRPr="004738E4">
        <w:rPr>
          <w:rFonts w:ascii="Times New Roman" w:hAnsi="Times New Roman" w:cs="Times New Roman"/>
          <w:sz w:val="24"/>
          <w:szCs w:val="24"/>
        </w:rPr>
        <w:t xml:space="preserve"> </w:t>
      </w:r>
    </w:p>
    <w:p w14:paraId="6674625B" w14:textId="7F8D012E" w:rsidR="00B32712" w:rsidRPr="004738E4" w:rsidRDefault="00514840" w:rsidP="003406EE">
      <w:pPr>
        <w:autoSpaceDE w:val="0"/>
        <w:autoSpaceDN w:val="0"/>
        <w:adjustRightInd w:val="0"/>
        <w:spacing w:after="0" w:line="480" w:lineRule="auto"/>
        <w:ind w:firstLine="720"/>
        <w:contextualSpacing/>
        <w:jc w:val="both"/>
        <w:rPr>
          <w:rFonts w:ascii="Times New Roman" w:hAnsi="Times New Roman" w:cs="Times New Roman"/>
          <w:sz w:val="24"/>
          <w:szCs w:val="24"/>
        </w:rPr>
      </w:pPr>
      <w:r w:rsidRPr="004738E4">
        <w:rPr>
          <w:rFonts w:ascii="Times New Roman" w:hAnsi="Times New Roman" w:cs="Times New Roman"/>
          <w:sz w:val="24"/>
          <w:szCs w:val="24"/>
          <w:u w:val="single"/>
        </w:rPr>
        <w:t>Cannabis</w:t>
      </w:r>
      <w:r w:rsidR="004E0243" w:rsidRPr="004738E4">
        <w:rPr>
          <w:rFonts w:ascii="Times New Roman" w:hAnsi="Times New Roman" w:cs="Times New Roman"/>
          <w:sz w:val="24"/>
          <w:szCs w:val="24"/>
          <w:u w:val="single"/>
        </w:rPr>
        <w:t xml:space="preserve"> (THC)</w:t>
      </w:r>
      <w:r w:rsidR="004E0243" w:rsidRPr="004738E4">
        <w:rPr>
          <w:rFonts w:ascii="Times New Roman" w:hAnsi="Times New Roman" w:cs="Times New Roman"/>
          <w:sz w:val="24"/>
          <w:szCs w:val="24"/>
        </w:rPr>
        <w:t xml:space="preserve">. Average plasma clearance rates are lower in women than men, 197 </w:t>
      </w:r>
      <w:r w:rsidR="005E259E" w:rsidRPr="004738E4">
        <w:rPr>
          <w:rFonts w:ascii="Times New Roman" w:hAnsi="Times New Roman" w:cs="Times New Roman"/>
          <w:sz w:val="24"/>
          <w:szCs w:val="24"/>
        </w:rPr>
        <w:t>±</w:t>
      </w:r>
      <w:r w:rsidR="004E0243" w:rsidRPr="004738E4">
        <w:rPr>
          <w:rFonts w:ascii="Times New Roman" w:hAnsi="Times New Roman" w:cs="Times New Roman"/>
          <w:sz w:val="24"/>
          <w:szCs w:val="24"/>
        </w:rPr>
        <w:t xml:space="preserve">50 ml/min for women and 248 </w:t>
      </w:r>
      <w:r w:rsidR="005E259E" w:rsidRPr="004738E4">
        <w:rPr>
          <w:rFonts w:ascii="Times New Roman" w:hAnsi="Times New Roman" w:cs="Times New Roman"/>
          <w:sz w:val="24"/>
          <w:szCs w:val="24"/>
        </w:rPr>
        <w:t>±</w:t>
      </w:r>
      <w:r w:rsidR="004E0243" w:rsidRPr="004738E4">
        <w:rPr>
          <w:rFonts w:ascii="Times New Roman" w:hAnsi="Times New Roman" w:cs="Times New Roman"/>
          <w:sz w:val="24"/>
          <w:szCs w:val="24"/>
        </w:rPr>
        <w:t>62 ml/min for men (</w:t>
      </w:r>
      <w:r w:rsidR="005941EE" w:rsidRPr="004738E4">
        <w:rPr>
          <w:rFonts w:ascii="Times New Roman" w:hAnsi="Times New Roman" w:cs="Times New Roman"/>
          <w:noProof/>
          <w:sz w:val="24"/>
          <w:szCs w:val="24"/>
        </w:rPr>
        <w:t>(237)</w:t>
      </w:r>
      <w:r w:rsidR="004E0243" w:rsidRPr="004738E4">
        <w:rPr>
          <w:rFonts w:ascii="Times New Roman" w:hAnsi="Times New Roman" w:cs="Times New Roman"/>
          <w:sz w:val="24"/>
          <w:szCs w:val="24"/>
        </w:rPr>
        <w:t xml:space="preserve"> cited by </w:t>
      </w:r>
      <w:r w:rsidR="005941EE" w:rsidRPr="004738E4">
        <w:rPr>
          <w:rFonts w:ascii="Times New Roman" w:hAnsi="Times New Roman" w:cs="Times New Roman"/>
          <w:noProof/>
          <w:sz w:val="24"/>
          <w:szCs w:val="24"/>
        </w:rPr>
        <w:t>(238)</w:t>
      </w:r>
      <w:r w:rsidR="004E0243" w:rsidRPr="004738E4">
        <w:rPr>
          <w:rFonts w:ascii="Times New Roman" w:hAnsi="Times New Roman" w:cs="Times New Roman"/>
          <w:iCs/>
          <w:sz w:val="24"/>
          <w:szCs w:val="24"/>
        </w:rPr>
        <w:t xml:space="preserve">. </w:t>
      </w:r>
      <w:r w:rsidR="004E0243" w:rsidRPr="004738E4">
        <w:rPr>
          <w:rFonts w:ascii="Times New Roman" w:hAnsi="Times New Roman" w:cs="Times New Roman"/>
          <w:sz w:val="24"/>
          <w:szCs w:val="24"/>
        </w:rPr>
        <w:t xml:space="preserve">Cooper and Craft </w:t>
      </w:r>
      <w:r w:rsidR="00E212E7" w:rsidRPr="004738E4">
        <w:rPr>
          <w:rFonts w:ascii="Times New Roman" w:hAnsi="Times New Roman" w:cs="Times New Roman"/>
          <w:sz w:val="24"/>
          <w:szCs w:val="24"/>
        </w:rPr>
        <w:t xml:space="preserve">(2018) </w:t>
      </w:r>
      <w:r w:rsidR="004E0243" w:rsidRPr="004738E4">
        <w:rPr>
          <w:rFonts w:ascii="Times New Roman" w:hAnsi="Times New Roman" w:cs="Times New Roman"/>
          <w:sz w:val="24"/>
          <w:szCs w:val="24"/>
        </w:rPr>
        <w:lastRenderedPageBreak/>
        <w:t xml:space="preserve">concluded that relative to men, women are more sensitive to both the therapeutic and adverse effects of CB1 receptor agonists such as THC in cannabis. </w:t>
      </w:r>
      <w:r w:rsidR="004E0243" w:rsidRPr="004738E4">
        <w:rPr>
          <w:rFonts w:ascii="Times New Roman" w:hAnsi="Times New Roman" w:cs="Times New Roman"/>
          <w:bCs/>
          <w:sz w:val="24"/>
          <w:szCs w:val="24"/>
        </w:rPr>
        <w:t>A</w:t>
      </w:r>
      <w:r w:rsidR="004E0243" w:rsidRPr="004738E4">
        <w:rPr>
          <w:rFonts w:ascii="Times New Roman" w:hAnsi="Times New Roman" w:cs="Times New Roman"/>
          <w:sz w:val="24"/>
          <w:szCs w:val="24"/>
        </w:rPr>
        <w:t xml:space="preserve">ctive cannabis significantly decreased pain sensitivity, indicative of analgesia, relative to inactive cannabis in men but not in women </w:t>
      </w:r>
      <w:r w:rsidR="005941EE" w:rsidRPr="004738E4">
        <w:rPr>
          <w:rFonts w:ascii="Times New Roman" w:hAnsi="Times New Roman" w:cs="Times New Roman"/>
          <w:noProof/>
          <w:sz w:val="24"/>
          <w:szCs w:val="24"/>
        </w:rPr>
        <w:t>(239)</w:t>
      </w:r>
      <w:r w:rsidR="004E0243" w:rsidRPr="004738E4">
        <w:rPr>
          <w:rFonts w:ascii="Times New Roman" w:hAnsi="Times New Roman" w:cs="Times New Roman"/>
          <w:sz w:val="24"/>
          <w:szCs w:val="24"/>
        </w:rPr>
        <w:t>. Women exhibited signiﬁcantly greater subjective emotional responses to a 5 mg Δ</w:t>
      </w:r>
      <w:r w:rsidR="004E0243" w:rsidRPr="004738E4">
        <w:rPr>
          <w:rFonts w:ascii="Times New Roman" w:hAnsi="Times New Roman" w:cs="Times New Roman"/>
          <w:sz w:val="24"/>
          <w:szCs w:val="24"/>
          <w:vertAlign w:val="superscript"/>
        </w:rPr>
        <w:t>9</w:t>
      </w:r>
      <w:r w:rsidR="004E0243" w:rsidRPr="004738E4">
        <w:rPr>
          <w:rFonts w:ascii="Times New Roman" w:hAnsi="Times New Roman" w:cs="Times New Roman"/>
          <w:sz w:val="24"/>
          <w:szCs w:val="24"/>
        </w:rPr>
        <w:t>-THC dose than men</w:t>
      </w:r>
      <w:r w:rsidR="00AB5090" w:rsidRPr="004738E4">
        <w:rPr>
          <w:rFonts w:ascii="Times New Roman" w:hAnsi="Times New Roman" w:cs="Times New Roman"/>
          <w:sz w:val="24"/>
          <w:szCs w:val="24"/>
        </w:rPr>
        <w:t xml:space="preserve">, </w:t>
      </w:r>
      <w:r w:rsidR="004E0243" w:rsidRPr="004738E4">
        <w:rPr>
          <w:rFonts w:ascii="Times New Roman" w:hAnsi="Times New Roman" w:cs="Times New Roman"/>
          <w:sz w:val="24"/>
          <w:szCs w:val="24"/>
        </w:rPr>
        <w:t xml:space="preserve">whereas men were more responsive to the 15 mg dose; however, this sex difference of pleasurable responses to THC may contribute to </w:t>
      </w:r>
      <w:r w:rsidR="00821491" w:rsidRPr="004738E4">
        <w:rPr>
          <w:rFonts w:ascii="Times New Roman" w:hAnsi="Times New Roman" w:cs="Times New Roman"/>
          <w:sz w:val="24"/>
          <w:szCs w:val="24"/>
        </w:rPr>
        <w:t>sex</w:t>
      </w:r>
      <w:r w:rsidR="004E0243" w:rsidRPr="004738E4">
        <w:rPr>
          <w:rFonts w:ascii="Times New Roman" w:hAnsi="Times New Roman" w:cs="Times New Roman"/>
          <w:sz w:val="24"/>
          <w:szCs w:val="24"/>
        </w:rPr>
        <w:t xml:space="preserve"> differences in the development of problematic cannabis use </w:t>
      </w:r>
      <w:r w:rsidR="005941EE" w:rsidRPr="004738E4">
        <w:rPr>
          <w:rFonts w:ascii="Times New Roman" w:hAnsi="Times New Roman" w:cs="Times New Roman"/>
          <w:noProof/>
          <w:sz w:val="24"/>
          <w:szCs w:val="24"/>
        </w:rPr>
        <w:t>(240)</w:t>
      </w:r>
      <w:r w:rsidR="004E0243" w:rsidRPr="004738E4">
        <w:rPr>
          <w:rFonts w:ascii="Times New Roman" w:hAnsi="Times New Roman" w:cs="Times New Roman"/>
          <w:sz w:val="24"/>
          <w:szCs w:val="24"/>
        </w:rPr>
        <w:t xml:space="preserve">. When matched for cannabis use, women are more sensitive to the subjective effects of cannabis (~20% higher ratings of “good”, “liking” and “would take again”), which is related to greater cannabis abuse liability in women </w:t>
      </w:r>
      <w:r w:rsidR="005941EE" w:rsidRPr="004738E4">
        <w:rPr>
          <w:rFonts w:ascii="Times New Roman" w:hAnsi="Times New Roman" w:cs="Times New Roman"/>
          <w:noProof/>
          <w:sz w:val="24"/>
          <w:szCs w:val="24"/>
        </w:rPr>
        <w:t>(241)</w:t>
      </w:r>
      <w:r w:rsidR="004E0243" w:rsidRPr="004738E4">
        <w:rPr>
          <w:rFonts w:ascii="Times New Roman" w:hAnsi="Times New Roman" w:cs="Times New Roman"/>
          <w:sz w:val="24"/>
          <w:szCs w:val="24"/>
        </w:rPr>
        <w:t xml:space="preserve">. Indeed, early onset cannabis use was associated with higher levels of introvertive anhedonia but only in female adolescents </w:t>
      </w:r>
      <w:r w:rsidR="005941EE" w:rsidRPr="004738E4">
        <w:rPr>
          <w:rFonts w:ascii="Times New Roman" w:hAnsi="Times New Roman" w:cs="Times New Roman"/>
          <w:noProof/>
          <w:sz w:val="24"/>
          <w:szCs w:val="24"/>
        </w:rPr>
        <w:t>(242)</w:t>
      </w:r>
      <w:r w:rsidR="004E0243" w:rsidRPr="004738E4">
        <w:rPr>
          <w:rFonts w:ascii="Times New Roman" w:hAnsi="Times New Roman" w:cs="Times New Roman"/>
          <w:sz w:val="24"/>
          <w:szCs w:val="24"/>
        </w:rPr>
        <w:t>.</w:t>
      </w:r>
      <w:bookmarkStart w:id="0" w:name="Influence_of_Sex_on_Long-Term_Outcomes_A"/>
      <w:bookmarkStart w:id="1" w:name="Effect_of_concomitant_medications"/>
      <w:bookmarkStart w:id="2" w:name="Influence_analyses,_sensitivity_analyses"/>
      <w:bookmarkStart w:id="3" w:name="Effect_of_antibodies_to_infliximab"/>
      <w:bookmarkStart w:id="4" w:name="Effect_of_sex"/>
      <w:bookmarkEnd w:id="0"/>
      <w:bookmarkEnd w:id="1"/>
      <w:bookmarkEnd w:id="2"/>
      <w:bookmarkEnd w:id="3"/>
      <w:bookmarkEnd w:id="4"/>
    </w:p>
    <w:p w14:paraId="19EE3C5D" w14:textId="77777777" w:rsidR="00B32712" w:rsidRPr="004738E4" w:rsidRDefault="00B32712" w:rsidP="003406EE">
      <w:pPr>
        <w:jc w:val="both"/>
        <w:rPr>
          <w:rFonts w:ascii="Times New Roman" w:hAnsi="Times New Roman" w:cs="Times New Roman"/>
          <w:b/>
          <w:sz w:val="24"/>
          <w:szCs w:val="24"/>
        </w:rPr>
      </w:pPr>
    </w:p>
    <w:p w14:paraId="274BDA44" w14:textId="77777777" w:rsidR="0053487C" w:rsidRPr="004738E4" w:rsidRDefault="0053487C">
      <w:pPr>
        <w:rPr>
          <w:rFonts w:ascii="Times New Roman" w:hAnsi="Times New Roman"/>
          <w:b/>
          <w:sz w:val="24"/>
          <w:szCs w:val="24"/>
        </w:rPr>
      </w:pPr>
      <w:r w:rsidRPr="004738E4">
        <w:rPr>
          <w:rFonts w:ascii="Times New Roman" w:hAnsi="Times New Roman"/>
          <w:b/>
          <w:sz w:val="24"/>
          <w:szCs w:val="24"/>
        </w:rPr>
        <w:br w:type="page"/>
      </w:r>
    </w:p>
    <w:p w14:paraId="6B7A2513" w14:textId="6B0D965F" w:rsidR="00542617" w:rsidRPr="004738E4" w:rsidRDefault="00542617" w:rsidP="00DC353E">
      <w:pPr>
        <w:jc w:val="both"/>
        <w:rPr>
          <w:rFonts w:ascii="Times New Roman" w:hAnsi="Times New Roman"/>
          <w:b/>
          <w:sz w:val="24"/>
          <w:szCs w:val="24"/>
        </w:rPr>
      </w:pPr>
      <w:r w:rsidRPr="004738E4">
        <w:rPr>
          <w:rFonts w:ascii="Times New Roman" w:hAnsi="Times New Roman"/>
          <w:b/>
          <w:sz w:val="24"/>
          <w:szCs w:val="24"/>
        </w:rPr>
        <w:lastRenderedPageBreak/>
        <w:t xml:space="preserve">References for </w:t>
      </w:r>
      <w:r w:rsidR="0053487C" w:rsidRPr="004738E4">
        <w:rPr>
          <w:rFonts w:ascii="Times New Roman" w:hAnsi="Times New Roman"/>
          <w:b/>
          <w:sz w:val="24"/>
          <w:szCs w:val="24"/>
        </w:rPr>
        <w:t>S</w:t>
      </w:r>
      <w:r w:rsidRPr="004738E4">
        <w:rPr>
          <w:rFonts w:ascii="Times New Roman" w:hAnsi="Times New Roman"/>
          <w:b/>
          <w:sz w:val="24"/>
          <w:szCs w:val="24"/>
        </w:rPr>
        <w:t>upplementary Data File</w:t>
      </w:r>
      <w:r w:rsidR="0053487C" w:rsidRPr="004738E4">
        <w:rPr>
          <w:rFonts w:ascii="Times New Roman" w:hAnsi="Times New Roman"/>
          <w:b/>
          <w:sz w:val="24"/>
          <w:szCs w:val="24"/>
        </w:rPr>
        <w:t xml:space="preserve"> </w:t>
      </w:r>
    </w:p>
    <w:p w14:paraId="14BB7FE8" w14:textId="1B93BF6D"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 </w:t>
      </w:r>
      <w:r w:rsidRPr="004738E4">
        <w:rPr>
          <w:rFonts w:ascii="Times New Roman" w:hAnsi="Times New Roman" w:cs="Times New Roman"/>
          <w:noProof/>
          <w:sz w:val="24"/>
          <w:szCs w:val="24"/>
        </w:rPr>
        <w:tab/>
        <w:t xml:space="preserve">Damholt B, Golor G, Wierich W, Pedersen P, Ekblom M, Zdravkovic M. An Open-Label, Parallel Group Study Investigating the Effects of Age and Gender on the Pharmacokinetics of the Once-Daily Glucagon-Like Peptide-1 Analogue Liraglutide. J Clin Pharmacol. 2006 Oct;46(6):635–41. </w:t>
      </w:r>
    </w:p>
    <w:p w14:paraId="3290EE74" w14:textId="77777777"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 </w:t>
      </w:r>
      <w:r w:rsidRPr="004738E4">
        <w:rPr>
          <w:rFonts w:ascii="Times New Roman" w:hAnsi="Times New Roman" w:cs="Times New Roman"/>
          <w:noProof/>
          <w:sz w:val="24"/>
          <w:szCs w:val="24"/>
        </w:rPr>
        <w:tab/>
        <w:t xml:space="preserve">Flores Perez J, Juarez Olguin H, Flores Perez C, Perez Guille G, Guille Perez A, Camacho Vieyra A, et al. Effects of gender and phase of the menstrual cycle on the kinetics of ranitidine  in healthy volunteers. Chronobiol Int. 2003 May;20(3):485–94. </w:t>
      </w:r>
    </w:p>
    <w:p w14:paraId="4573C3B3" w14:textId="493FBBCE"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 </w:t>
      </w:r>
      <w:r w:rsidRPr="004738E4">
        <w:rPr>
          <w:rFonts w:ascii="Times New Roman" w:hAnsi="Times New Roman" w:cs="Times New Roman"/>
          <w:noProof/>
          <w:sz w:val="24"/>
          <w:szCs w:val="24"/>
        </w:rPr>
        <w:tab/>
        <w:t xml:space="preserve">Ehsanullah RS, Page MC, Tildesley G, Wood JR. Prevention of gastroduodenal damage induced by non-steroidal anti-inflammatory drugs: controlled trial of ranitidine. BMJ. 1988 Oct;297(6655):1017–21. </w:t>
      </w:r>
    </w:p>
    <w:p w14:paraId="474F8BAE" w14:textId="56766518"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 </w:t>
      </w:r>
      <w:r w:rsidRPr="004738E4">
        <w:rPr>
          <w:rFonts w:ascii="Times New Roman" w:hAnsi="Times New Roman" w:cs="Times New Roman"/>
          <w:noProof/>
          <w:sz w:val="24"/>
          <w:szCs w:val="24"/>
        </w:rPr>
        <w:tab/>
        <w:t xml:space="preserve">Loke YK, Singh S, Furberg CD. Long-term use of thiazolidinediones and fractures in type 2 diabetes: a meta-analysis. Can Med Assoc J. 2009 Oct;180(1):32–9. </w:t>
      </w:r>
    </w:p>
    <w:p w14:paraId="53E99950" w14:textId="4491BE85"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 </w:t>
      </w:r>
      <w:r w:rsidRPr="004738E4">
        <w:rPr>
          <w:rFonts w:ascii="Times New Roman" w:hAnsi="Times New Roman" w:cs="Times New Roman"/>
          <w:noProof/>
          <w:sz w:val="24"/>
          <w:szCs w:val="24"/>
        </w:rPr>
        <w:tab/>
        <w:t xml:space="preserve">Pritchard JF, Bryson JC, Kernodle AE, Benedetti TL, Powell JR. Age and gender effects on ondansetron pharmacokinetics: evaluation of healthy aged volunteers. Clin Pharmacol Ther. 1992 Jan;51(1):51–5. </w:t>
      </w:r>
    </w:p>
    <w:p w14:paraId="44C2208A" w14:textId="68929EAD"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 </w:t>
      </w:r>
      <w:r w:rsidRPr="004738E4">
        <w:rPr>
          <w:rFonts w:ascii="Times New Roman" w:hAnsi="Times New Roman" w:cs="Times New Roman"/>
          <w:noProof/>
          <w:sz w:val="24"/>
          <w:szCs w:val="24"/>
        </w:rPr>
        <w:tab/>
        <w:t xml:space="preserve">Fadiran EO, Zhang L. Effects of Sex Differences in the Pharmacokinetics of Drugs and Their Impact on the Safety of Medicines in Women. In: Harrison-Woolrych M, editor. Medicines For Women. Cham: Springer International Publishing; 2015. p. 41–68. </w:t>
      </w:r>
    </w:p>
    <w:p w14:paraId="4527FFB6" w14:textId="03445DA0"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 </w:t>
      </w:r>
      <w:r w:rsidRPr="004738E4">
        <w:rPr>
          <w:rFonts w:ascii="Times New Roman" w:hAnsi="Times New Roman" w:cs="Times New Roman"/>
          <w:noProof/>
          <w:sz w:val="24"/>
          <w:szCs w:val="24"/>
        </w:rPr>
        <w:tab/>
        <w:t xml:space="preserve">Campbell NR, Hull RD, Brant R, Hogan DB, Pineo GF, Raskob GE. Different effects of heparin in males and females. Clin Invest Med. 1998 Apr;21(2):71–8. </w:t>
      </w:r>
    </w:p>
    <w:p w14:paraId="153AA577" w14:textId="311D064A"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 </w:t>
      </w:r>
      <w:r w:rsidRPr="004738E4">
        <w:rPr>
          <w:rFonts w:ascii="Times New Roman" w:hAnsi="Times New Roman" w:cs="Times New Roman"/>
          <w:noProof/>
          <w:sz w:val="24"/>
          <w:szCs w:val="24"/>
        </w:rPr>
        <w:tab/>
        <w:t xml:space="preserve">Ndrepepa G, Schulz S, Neumann F-J, Byrne RA, Hoppmann P, Cassese S, et al. Bleeding after percutaneous coronary intervention in women and men matched for age, body mass index, and type of antithrombotic therapy. Am Heart J. 2013 Oct;166(3):534–40. </w:t>
      </w:r>
    </w:p>
    <w:p w14:paraId="098684BA" w14:textId="1A832DD2"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 </w:t>
      </w:r>
      <w:r w:rsidRPr="004738E4">
        <w:rPr>
          <w:rFonts w:ascii="Times New Roman" w:hAnsi="Times New Roman" w:cs="Times New Roman"/>
          <w:noProof/>
          <w:sz w:val="24"/>
          <w:szCs w:val="24"/>
        </w:rPr>
        <w:tab/>
        <w:t xml:space="preserve">Gutiérrez-Chico JL, Mehilli J. Gender Differences in Cardiovascular Therapy: Focus on Antithrombotic Therapy and Percutaneous Coronary Intervention. Drugs. 2013 Oct;73(17):1921–33. </w:t>
      </w:r>
    </w:p>
    <w:p w14:paraId="192C39DE" w14:textId="178D50AF"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 </w:t>
      </w:r>
      <w:r w:rsidRPr="004738E4">
        <w:rPr>
          <w:rFonts w:ascii="Times New Roman" w:hAnsi="Times New Roman" w:cs="Times New Roman"/>
          <w:noProof/>
          <w:sz w:val="24"/>
          <w:szCs w:val="24"/>
        </w:rPr>
        <w:tab/>
        <w:t xml:space="preserve">Ho P, Triggs E, Bourne D, Heazlewood V. The effects of age and sex on the disposition of acetylsalicylic acid and its metabolites. Br J Clin Pharmacol. 1985 Oct;19(5):675–84. </w:t>
      </w:r>
    </w:p>
    <w:p w14:paraId="711623D2" w14:textId="35293964"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 </w:t>
      </w:r>
      <w:r w:rsidRPr="004738E4">
        <w:rPr>
          <w:rFonts w:ascii="Times New Roman" w:hAnsi="Times New Roman" w:cs="Times New Roman"/>
          <w:noProof/>
          <w:sz w:val="24"/>
          <w:szCs w:val="24"/>
        </w:rPr>
        <w:tab/>
        <w:t xml:space="preserve">Coppe D, Wessinger SJ, Ransil BJ, Harris W, Salzman E. Sex differences in the platelet response to aspirin. Thromb Res. 1981 Oct;23(1–2):1–21. </w:t>
      </w:r>
    </w:p>
    <w:p w14:paraId="272F47A0" w14:textId="28DA427C"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 </w:t>
      </w:r>
      <w:r w:rsidRPr="004738E4">
        <w:rPr>
          <w:rFonts w:ascii="Times New Roman" w:hAnsi="Times New Roman" w:cs="Times New Roman"/>
          <w:noProof/>
          <w:sz w:val="24"/>
          <w:szCs w:val="24"/>
        </w:rPr>
        <w:tab/>
        <w:t xml:space="preserve">Kelton JG, Carter CJ, Rosenfeld J, Massicotte-Nolan MP, Hirsh J. Sex-related differences in the efficacy of acetylsalicylic acid (ASA) : the absorption of ASA and its effect on collagen-induced thromboxane B2 generation. Thromb Res. 1981 Oct;24(1–2):163–8. </w:t>
      </w:r>
    </w:p>
    <w:p w14:paraId="1D53052C" w14:textId="2EE766E7"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 </w:t>
      </w:r>
      <w:r w:rsidRPr="004738E4">
        <w:rPr>
          <w:rFonts w:ascii="Times New Roman" w:hAnsi="Times New Roman" w:cs="Times New Roman"/>
          <w:noProof/>
          <w:sz w:val="24"/>
          <w:szCs w:val="24"/>
        </w:rPr>
        <w:tab/>
        <w:t xml:space="preserve">Buchanan MR, Rischke JA, Butt R, Turpie AG, Hirsh J, Rosenfeld J. The sex-related differences in aspirin pharmacokinetics in rabbits and man and its relationship to antiplatelet effects. Thromb Res. 1983 Jan;29(2):125–39. </w:t>
      </w:r>
    </w:p>
    <w:p w14:paraId="71EAC169" w14:textId="06EF1194"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 </w:t>
      </w:r>
      <w:r w:rsidRPr="004738E4">
        <w:rPr>
          <w:rFonts w:ascii="Times New Roman" w:hAnsi="Times New Roman" w:cs="Times New Roman"/>
          <w:noProof/>
          <w:sz w:val="24"/>
          <w:szCs w:val="24"/>
        </w:rPr>
        <w:tab/>
        <w:t xml:space="preserve">Miners J, Grgurinovich N, Whitehead A, Robson R, Birkett D. Influence of gender and </w:t>
      </w:r>
      <w:r w:rsidRPr="004738E4">
        <w:rPr>
          <w:rFonts w:ascii="Times New Roman" w:hAnsi="Times New Roman" w:cs="Times New Roman"/>
          <w:noProof/>
          <w:sz w:val="24"/>
          <w:szCs w:val="24"/>
        </w:rPr>
        <w:lastRenderedPageBreak/>
        <w:t xml:space="preserve">oral contraceptive steroids on the metabolism of salicylic acid and acetylsalicylic acid. Br J Clin Pharmacol. 1986 Oct;22(2):135–42. </w:t>
      </w:r>
    </w:p>
    <w:p w14:paraId="46A23B09" w14:textId="00FC31CD" w:rsidR="00542617"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 </w:t>
      </w:r>
      <w:r w:rsidRPr="004738E4">
        <w:rPr>
          <w:rFonts w:ascii="Times New Roman" w:hAnsi="Times New Roman" w:cs="Times New Roman"/>
          <w:noProof/>
          <w:sz w:val="24"/>
          <w:szCs w:val="24"/>
        </w:rPr>
        <w:tab/>
        <w:t>Kjeldsen SE, Kolloch RE, Leonetti G, Malliond J-M, Zanchetti A, Elmfeldt D, et al. Influence of gender and age on preventing cardiovascular disease by antihypertensive treatment and acetylsalicylic acid. The HOT study</w:t>
      </w:r>
      <w:r w:rsidR="00642BBF" w:rsidRPr="004738E4">
        <w:rPr>
          <w:rFonts w:ascii="Times New Roman" w:hAnsi="Times New Roman" w:cs="Times New Roman"/>
          <w:noProof/>
          <w:sz w:val="24"/>
          <w:szCs w:val="24"/>
        </w:rPr>
        <w:t>.</w:t>
      </w:r>
      <w:r w:rsidRPr="004738E4">
        <w:rPr>
          <w:rFonts w:ascii="Times New Roman" w:hAnsi="Times New Roman" w:cs="Times New Roman"/>
          <w:noProof/>
          <w:sz w:val="24"/>
          <w:szCs w:val="24"/>
        </w:rPr>
        <w:t xml:space="preserve"> J Hypertens. 2000 Oct;18(5):629–42. </w:t>
      </w:r>
    </w:p>
    <w:p w14:paraId="641AECBB" w14:textId="594B795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 </w:t>
      </w:r>
      <w:r w:rsidRPr="004738E4">
        <w:rPr>
          <w:rFonts w:ascii="Times New Roman" w:hAnsi="Times New Roman" w:cs="Times New Roman"/>
          <w:noProof/>
          <w:sz w:val="24"/>
          <w:szCs w:val="24"/>
        </w:rPr>
        <w:tab/>
        <w:t xml:space="preserve">Yerman T, Gan WQ, Sin DD. The influence of gender on the effects of aspirin in preventing myocardial infarction. BMC Med. 2007 Oct;5(1):29. </w:t>
      </w:r>
    </w:p>
    <w:p w14:paraId="77F8B1F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 </w:t>
      </w:r>
      <w:r w:rsidRPr="004738E4">
        <w:rPr>
          <w:rFonts w:ascii="Times New Roman" w:hAnsi="Times New Roman" w:cs="Times New Roman"/>
          <w:noProof/>
          <w:sz w:val="24"/>
          <w:szCs w:val="24"/>
        </w:rPr>
        <w:tab/>
        <w:t xml:space="preserve">Marcucci R, Cioni G, Giusti B, Fatini C, Rossi L, Pazzi M, et al. Gender and anti-thrombotic therapy: from biology to clinical implications. J Cardiovasc Transl Res. 2014 Feb;7(1):72–81. </w:t>
      </w:r>
    </w:p>
    <w:p w14:paraId="1ACFA65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 </w:t>
      </w:r>
      <w:r w:rsidRPr="004738E4">
        <w:rPr>
          <w:rFonts w:ascii="Times New Roman" w:hAnsi="Times New Roman" w:cs="Times New Roman"/>
          <w:noProof/>
          <w:sz w:val="24"/>
          <w:szCs w:val="24"/>
        </w:rPr>
        <w:tab/>
        <w:t xml:space="preserve">Ridker PM, Cook NR, Lee I-M, Gordon D, Gaziano JM, Manson JE, et al. A randomized trial of low-dose aspirin in the primary prevention of cardiovascular disease in women. N Engl J Med. 2005 Mar;352(13):1293–304. </w:t>
      </w:r>
    </w:p>
    <w:p w14:paraId="2B2C791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 </w:t>
      </w:r>
      <w:r w:rsidRPr="004738E4">
        <w:rPr>
          <w:rFonts w:ascii="Times New Roman" w:hAnsi="Times New Roman" w:cs="Times New Roman"/>
          <w:noProof/>
          <w:sz w:val="24"/>
          <w:szCs w:val="24"/>
        </w:rPr>
        <w:tab/>
        <w:t xml:space="preserve">Koltai K, Papp J, Kenyeres P, Feher G, Tibold A, Alexy T, et al. Gender differences in hemorheological parameters and in in vitro platelet aggregation in acetylsalicylic acid and clopidogrel treated vascular patients. Biorheology. 2014;51(2–3):197–206. </w:t>
      </w:r>
    </w:p>
    <w:p w14:paraId="642F723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 </w:t>
      </w:r>
      <w:r w:rsidRPr="004738E4">
        <w:rPr>
          <w:rFonts w:ascii="Times New Roman" w:hAnsi="Times New Roman" w:cs="Times New Roman"/>
          <w:noProof/>
          <w:sz w:val="24"/>
          <w:szCs w:val="24"/>
        </w:rPr>
        <w:tab/>
        <w:t xml:space="preserve">Shen H, Herzog W, Drolet M, Pakyz R, Newcomer S, Sack P, et al. Aspirin Resistance in Healthy Drug-Naive Men Versus Women (from the Heredity and Phenotype Intervention Heart Study). Am J Cardiol. 2009 Oct;104(4):606–12. </w:t>
      </w:r>
    </w:p>
    <w:p w14:paraId="0B3DFE5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 </w:t>
      </w:r>
      <w:r w:rsidRPr="004738E4">
        <w:rPr>
          <w:rFonts w:ascii="Times New Roman" w:hAnsi="Times New Roman" w:cs="Times New Roman"/>
          <w:noProof/>
          <w:sz w:val="24"/>
          <w:szCs w:val="24"/>
        </w:rPr>
        <w:tab/>
        <w:t xml:space="preserve">Zuern CS, Lindemann S, Gawaz M. Platelet function and response to aspirin: gender-specific features and implications for female thrombotic risk and management. Semin Thromb Hemost. 2009 Apr;35(3):295–306. </w:t>
      </w:r>
    </w:p>
    <w:p w14:paraId="6453900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 </w:t>
      </w:r>
      <w:r w:rsidRPr="004738E4">
        <w:rPr>
          <w:rFonts w:ascii="Times New Roman" w:hAnsi="Times New Roman" w:cs="Times New Roman"/>
          <w:noProof/>
          <w:sz w:val="24"/>
          <w:szCs w:val="24"/>
        </w:rPr>
        <w:tab/>
        <w:t xml:space="preserve">Hobson AR, Qureshi Z, Banks P, Curzen N. Gender and Responses to Aspirin and Clopidogrel: Insights Using Short Thrombelastography. Cardiovasc Ther. 2009 Oct;27(4):246–52. </w:t>
      </w:r>
    </w:p>
    <w:p w14:paraId="74C8FB0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 </w:t>
      </w:r>
      <w:r w:rsidRPr="004738E4">
        <w:rPr>
          <w:rFonts w:ascii="Times New Roman" w:hAnsi="Times New Roman" w:cs="Times New Roman"/>
          <w:noProof/>
          <w:sz w:val="24"/>
          <w:szCs w:val="24"/>
        </w:rPr>
        <w:tab/>
        <w:t xml:space="preserve">Ekström N, Cederholm J, Zethelius B, Eliasson B, Fhärm E, Rolandsson O, et al. Aspirin treatment and risk of first incident cardiovascular diseases in patients with type 2 diabetes: an observational study from the Swedish National Diabetes Register. BMJ Open. 2013 Oct;3(4):e002688. </w:t>
      </w:r>
    </w:p>
    <w:p w14:paraId="5D5385B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24. </w:t>
      </w:r>
      <w:r w:rsidRPr="004738E4">
        <w:rPr>
          <w:rFonts w:ascii="Times New Roman" w:hAnsi="Times New Roman" w:cs="Times New Roman"/>
          <w:noProof/>
          <w:sz w:val="24"/>
          <w:szCs w:val="24"/>
        </w:rPr>
        <w:tab/>
        <w:t xml:space="preserve">Rydberg DM, Holm L, Mejyr S, Loikas D, Schenck-Gustafsson K, von Euler M, et al. Sex differences in spontaneous reports on adverse bleeding events of antithrombotic treatment. Eur J Clin Pharmacol. 2014 Oct;70(1):117–26. </w:t>
      </w:r>
    </w:p>
    <w:p w14:paraId="683D0090" w14:textId="660F4742"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25. </w:t>
      </w:r>
      <w:r w:rsidRPr="004738E4">
        <w:rPr>
          <w:rFonts w:ascii="Times New Roman" w:hAnsi="Times New Roman" w:cs="Times New Roman"/>
          <w:noProof/>
          <w:sz w:val="24"/>
          <w:szCs w:val="24"/>
        </w:rPr>
        <w:tab/>
        <w:t xml:space="preserve">Gong IY, Schwarz UI, Crown N, Dresser GK, Lazo-Langner A, Zou G, et al. Clinical and Genetic Determinants of Warfarin Pharmacokinetics and Pharmacodynamics during Treatment Initiation. PLoS One. 2011 Oct;6(11):e27808. </w:t>
      </w:r>
    </w:p>
    <w:p w14:paraId="074B7AA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26. </w:t>
      </w:r>
      <w:r w:rsidRPr="004738E4">
        <w:rPr>
          <w:rFonts w:ascii="Times New Roman" w:hAnsi="Times New Roman" w:cs="Times New Roman"/>
          <w:noProof/>
          <w:sz w:val="24"/>
          <w:szCs w:val="24"/>
        </w:rPr>
        <w:tab/>
        <w:t xml:space="preserve">Takahashi H. Developmental changes in pharmacokinetics and pharmacodynamics of warfarin enantiomers in Japanese children. Clin Pharmacol Ther. 2000 Oct;68(5):541–55. </w:t>
      </w:r>
    </w:p>
    <w:p w14:paraId="75ADAA3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27. </w:t>
      </w:r>
      <w:r w:rsidRPr="004738E4">
        <w:rPr>
          <w:rFonts w:ascii="Times New Roman" w:hAnsi="Times New Roman" w:cs="Times New Roman"/>
          <w:noProof/>
          <w:sz w:val="24"/>
          <w:szCs w:val="24"/>
        </w:rPr>
        <w:tab/>
        <w:t xml:space="preserve">Whitley HP, Fermo JD, Chumney EC, Brzezinski WA. Effect of patient-specific factors on weekly warfarin dose. Ther Clin Risk Manag. 2007 Jun;3(3):499–504. </w:t>
      </w:r>
    </w:p>
    <w:p w14:paraId="2268E83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28. </w:t>
      </w:r>
      <w:r w:rsidRPr="004738E4">
        <w:rPr>
          <w:rFonts w:ascii="Times New Roman" w:hAnsi="Times New Roman" w:cs="Times New Roman"/>
          <w:noProof/>
          <w:sz w:val="24"/>
          <w:szCs w:val="24"/>
        </w:rPr>
        <w:tab/>
        <w:t xml:space="preserve">Sconce EA. The impact of CYP2C9 and VKORC1 genetic polymorphism and patient characteristics upon warfarin dose requirements: proposal for a new dosing regimen. Blood. 2005 Oct;106(7):2329–33. </w:t>
      </w:r>
    </w:p>
    <w:p w14:paraId="2DA22C3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29. </w:t>
      </w:r>
      <w:r w:rsidRPr="004738E4">
        <w:rPr>
          <w:rFonts w:ascii="Times New Roman" w:hAnsi="Times New Roman" w:cs="Times New Roman"/>
          <w:noProof/>
          <w:sz w:val="24"/>
          <w:szCs w:val="24"/>
        </w:rPr>
        <w:tab/>
        <w:t xml:space="preserve">Garcia D, Regan S, Crowther M, Hughes RA, Hylek EM. Warfarin Maintenance Dosing Patterns in Clinical Practice. Chest. 2005 Oct;127(6):2049–56. </w:t>
      </w:r>
    </w:p>
    <w:p w14:paraId="41876C2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30. </w:t>
      </w:r>
      <w:r w:rsidRPr="004738E4">
        <w:rPr>
          <w:rFonts w:ascii="Times New Roman" w:hAnsi="Times New Roman" w:cs="Times New Roman"/>
          <w:noProof/>
          <w:sz w:val="24"/>
          <w:szCs w:val="24"/>
        </w:rPr>
        <w:tab/>
        <w:t xml:space="preserve">Alotaibi GS, Almodaimegh H, McMurtry MS, Wu C. Do women bleed more than men when prescribed novel oral anticoagulants for venous thromboembolism? A sex-based meta-analysis. Thromb Res. 2013 Oct;132(2):185–9. </w:t>
      </w:r>
    </w:p>
    <w:p w14:paraId="034D387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31. </w:t>
      </w:r>
      <w:r w:rsidRPr="004738E4">
        <w:rPr>
          <w:rFonts w:ascii="Times New Roman" w:hAnsi="Times New Roman" w:cs="Times New Roman"/>
          <w:noProof/>
          <w:sz w:val="24"/>
          <w:szCs w:val="24"/>
        </w:rPr>
        <w:tab/>
        <w:t xml:space="preserve">Humphries KH, Kerr CR, Connolly SJ, Klein G, Boone JA, Green M, et al. New-onset atrial fibrillation: sex differences in presentation, treatment, and outcome. Circulation. 2001 May;103(19):2365–70. </w:t>
      </w:r>
    </w:p>
    <w:p w14:paraId="447CD3D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32. </w:t>
      </w:r>
      <w:r w:rsidRPr="004738E4">
        <w:rPr>
          <w:rFonts w:ascii="Times New Roman" w:hAnsi="Times New Roman" w:cs="Times New Roman"/>
          <w:noProof/>
          <w:sz w:val="24"/>
          <w:szCs w:val="24"/>
        </w:rPr>
        <w:tab/>
        <w:t xml:space="preserve">Jørgensen NR, Grove EL, Schwarz P, Vestergaard P. Clopidogrel and the risk of osteoporotic fractures: a nationwide cohort study: Clopidogrel and fractures. J Intern Med. 2012 Oct;272(4):385–93. </w:t>
      </w:r>
    </w:p>
    <w:p w14:paraId="03D80DC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33. </w:t>
      </w:r>
      <w:r w:rsidRPr="004738E4">
        <w:rPr>
          <w:rFonts w:ascii="Times New Roman" w:hAnsi="Times New Roman" w:cs="Times New Roman"/>
          <w:noProof/>
          <w:sz w:val="24"/>
          <w:szCs w:val="24"/>
        </w:rPr>
        <w:tab/>
        <w:t xml:space="preserve">Soghomonyan S, Abdel-Rasoul M, Zuleta-Alarcon A, Grants I, Davila V, Yu J, et al. Clopidogrel IBS Patients Have Higher Incidence of Gastrointestinal Symptoms Influenced by Age and Gender. Dig Dis Sci. 2017 Oct;62(10):2728–43. </w:t>
      </w:r>
    </w:p>
    <w:p w14:paraId="1294F232" w14:textId="732D9B3F"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34. </w:t>
      </w:r>
      <w:r w:rsidRPr="004738E4">
        <w:rPr>
          <w:rFonts w:ascii="Times New Roman" w:hAnsi="Times New Roman" w:cs="Times New Roman"/>
          <w:noProof/>
          <w:sz w:val="24"/>
          <w:szCs w:val="24"/>
        </w:rPr>
        <w:tab/>
        <w:t>Stangier J. Clinical Pharmacokinetics and Pharmacodynamics of the Oral Direct Thrombin</w:t>
      </w:r>
      <w:r w:rsidR="00642BBF" w:rsidRPr="004738E4">
        <w:rPr>
          <w:rFonts w:ascii="Times New Roman" w:hAnsi="Times New Roman" w:cs="Times New Roman"/>
          <w:noProof/>
          <w:sz w:val="24"/>
          <w:szCs w:val="24"/>
        </w:rPr>
        <w:t xml:space="preserve"> </w:t>
      </w:r>
      <w:r w:rsidRPr="004738E4">
        <w:rPr>
          <w:rFonts w:ascii="Times New Roman" w:hAnsi="Times New Roman" w:cs="Times New Roman"/>
          <w:noProof/>
          <w:sz w:val="24"/>
          <w:szCs w:val="24"/>
        </w:rPr>
        <w:t xml:space="preserve">Inhibitor Dabigatran Etexilate: Clin Pharmacokinet. 2008 Oct;47(5):285–95. </w:t>
      </w:r>
    </w:p>
    <w:p w14:paraId="771C2168" w14:textId="04E7D35E"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35. </w:t>
      </w:r>
      <w:r w:rsidRPr="004738E4">
        <w:rPr>
          <w:rFonts w:ascii="Times New Roman" w:hAnsi="Times New Roman" w:cs="Times New Roman"/>
          <w:noProof/>
          <w:sz w:val="24"/>
          <w:szCs w:val="24"/>
        </w:rPr>
        <w:tab/>
        <w:t xml:space="preserve">Ciarambino T, Corbi G, Filippelli A, Regina M La, Para O, Tangianu F, et al. Anticoagulant drugs and gender: what is in the elderly? A minireview. J Gerontol Geriatr. 2019;123–6. </w:t>
      </w:r>
    </w:p>
    <w:p w14:paraId="0D3A8A4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36. </w:t>
      </w:r>
      <w:r w:rsidRPr="004738E4">
        <w:rPr>
          <w:rFonts w:ascii="Times New Roman" w:hAnsi="Times New Roman" w:cs="Times New Roman"/>
          <w:noProof/>
          <w:sz w:val="24"/>
          <w:szCs w:val="24"/>
        </w:rPr>
        <w:tab/>
        <w:t xml:space="preserve">McConeghy KW, Bress A, Qato DM, Wing C, Nutescu EA. Evaluation of Dabigatran Bleeding Adverse Reaction Reports in the FDA Adverse Event Reporting System during the First Year of Approval. Pharmacother J Hum Pharmacol Drug Ther. 2014 Oct;34(6):561–9. </w:t>
      </w:r>
    </w:p>
    <w:p w14:paraId="19D82E4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37. </w:t>
      </w:r>
      <w:r w:rsidRPr="004738E4">
        <w:rPr>
          <w:rFonts w:ascii="Times New Roman" w:hAnsi="Times New Roman" w:cs="Times New Roman"/>
          <w:noProof/>
          <w:sz w:val="24"/>
          <w:szCs w:val="24"/>
        </w:rPr>
        <w:tab/>
        <w:t xml:space="preserve">Mombelli G, Bosisio R, Calabresi L, Magni P, Pavanello C, Pazzucconi F, et al. Gender-related lipid and/or lipoprotein responses to statins in subjects in primary and secondary prevention. J Clin Lipidol. 2015 Oct;9(2):226–33. </w:t>
      </w:r>
    </w:p>
    <w:p w14:paraId="1574E54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38. </w:t>
      </w:r>
      <w:r w:rsidRPr="004738E4">
        <w:rPr>
          <w:rFonts w:ascii="Times New Roman" w:hAnsi="Times New Roman" w:cs="Times New Roman"/>
          <w:noProof/>
          <w:sz w:val="24"/>
          <w:szCs w:val="24"/>
        </w:rPr>
        <w:tab/>
        <w:t xml:space="preserve">Plakogiannis R, Arif SA. Women Versus Men: Is There Equal Benefit and Safety from Statins? Curr Atheroscler Rep. 2016 Oct;18(2):6. </w:t>
      </w:r>
    </w:p>
    <w:p w14:paraId="408D0CE4" w14:textId="4CA46AB4"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39. </w:t>
      </w:r>
      <w:r w:rsidRPr="004738E4">
        <w:rPr>
          <w:rFonts w:ascii="Times New Roman" w:hAnsi="Times New Roman" w:cs="Times New Roman"/>
          <w:noProof/>
          <w:sz w:val="24"/>
          <w:szCs w:val="24"/>
        </w:rPr>
        <w:tab/>
        <w:t>Raparelli V, Pannitteri G, Todisco T, Toriello F, Napoleone L, Manfredini R, et al. Treatment and Response to Statins: Gender-related Differences. Curr Med Chem. 2017 Oct;24(24)</w:t>
      </w:r>
      <w:r w:rsidR="00642BBF" w:rsidRPr="004738E4">
        <w:rPr>
          <w:rFonts w:ascii="Times New Roman" w:hAnsi="Times New Roman" w:cs="Times New Roman"/>
          <w:noProof/>
          <w:sz w:val="24"/>
          <w:szCs w:val="24"/>
        </w:rPr>
        <w:t>: 2628-38.</w:t>
      </w:r>
    </w:p>
    <w:p w14:paraId="7E346BD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40. </w:t>
      </w:r>
      <w:r w:rsidRPr="004738E4">
        <w:rPr>
          <w:rFonts w:ascii="Times New Roman" w:hAnsi="Times New Roman" w:cs="Times New Roman"/>
          <w:noProof/>
          <w:sz w:val="24"/>
          <w:szCs w:val="24"/>
        </w:rPr>
        <w:tab/>
        <w:t xml:space="preserve">Kostis WJ, Cheng JQ, Dobrzynski JM, Cabrera J, Kostis JB. Meta-Analysis of Statin Effects in Women Versus Men. J Am Coll Cardiol. 2012 Oct;59(6):572–82. </w:t>
      </w:r>
    </w:p>
    <w:p w14:paraId="3C199E8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41. </w:t>
      </w:r>
      <w:r w:rsidRPr="004738E4">
        <w:rPr>
          <w:rFonts w:ascii="Times New Roman" w:hAnsi="Times New Roman" w:cs="Times New Roman"/>
          <w:noProof/>
          <w:sz w:val="24"/>
          <w:szCs w:val="24"/>
        </w:rPr>
        <w:tab/>
        <w:t>Cangemi R, Romiti GF, Campolongo G, Ruscio E, Sciomer S, Gianfrilli D, et al. Gender related differences in treatment and response to statins in primary and secondary cardiovascular prevention: The never-ending debate. Pharmacol Res. 2017 Oct;117:148–</w:t>
      </w:r>
      <w:r w:rsidRPr="004738E4">
        <w:rPr>
          <w:rFonts w:ascii="Times New Roman" w:hAnsi="Times New Roman" w:cs="Times New Roman"/>
          <w:noProof/>
          <w:sz w:val="24"/>
          <w:szCs w:val="24"/>
        </w:rPr>
        <w:lastRenderedPageBreak/>
        <w:t xml:space="preserve">55. </w:t>
      </w:r>
    </w:p>
    <w:p w14:paraId="3DE353E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42. </w:t>
      </w:r>
      <w:r w:rsidRPr="004738E4">
        <w:rPr>
          <w:rFonts w:ascii="Times New Roman" w:hAnsi="Times New Roman" w:cs="Times New Roman"/>
          <w:noProof/>
          <w:sz w:val="24"/>
          <w:szCs w:val="24"/>
        </w:rPr>
        <w:tab/>
        <w:t xml:space="preserve">Makkar RR, Fromm BS, Steinman RT, Meissner MD, Lehmann MH. Female gender as a risk factor for torsades de pointes associated with cardiovascular drugs. JAMA. 1993 Dec;270(21):2590–7. </w:t>
      </w:r>
    </w:p>
    <w:p w14:paraId="55174506" w14:textId="1CB3AEB6"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43. </w:t>
      </w:r>
      <w:r w:rsidRPr="004738E4">
        <w:rPr>
          <w:rFonts w:ascii="Times New Roman" w:hAnsi="Times New Roman" w:cs="Times New Roman"/>
          <w:noProof/>
          <w:sz w:val="24"/>
          <w:szCs w:val="24"/>
        </w:rPr>
        <w:tab/>
        <w:t>Werner D, Werner U, Meybaum A, Schmidt B, Umbreen S, Grosch A, et al. Determinants of Steady-State Torasemide Pharmacokinetics: Impact of Pharmacogenetic Factors, Gender and</w:t>
      </w:r>
      <w:r w:rsidR="00642BBF" w:rsidRPr="004738E4">
        <w:rPr>
          <w:rFonts w:ascii="Times New Roman" w:hAnsi="Times New Roman" w:cs="Times New Roman"/>
          <w:noProof/>
          <w:sz w:val="24"/>
          <w:szCs w:val="24"/>
        </w:rPr>
        <w:t xml:space="preserve"> </w:t>
      </w:r>
      <w:r w:rsidRPr="004738E4">
        <w:rPr>
          <w:rFonts w:ascii="Times New Roman" w:hAnsi="Times New Roman" w:cs="Times New Roman"/>
          <w:noProof/>
          <w:sz w:val="24"/>
          <w:szCs w:val="24"/>
        </w:rPr>
        <w:t>Angiotensin</w:t>
      </w:r>
      <w:r w:rsidR="00642BBF" w:rsidRPr="004738E4">
        <w:rPr>
          <w:rFonts w:ascii="Times New Roman" w:hAnsi="Times New Roman" w:cs="Times New Roman"/>
          <w:noProof/>
          <w:sz w:val="24"/>
          <w:szCs w:val="24"/>
        </w:rPr>
        <w:t xml:space="preserve"> </w:t>
      </w:r>
      <w:r w:rsidRPr="004738E4">
        <w:rPr>
          <w:rFonts w:ascii="Times New Roman" w:hAnsi="Times New Roman" w:cs="Times New Roman"/>
          <w:noProof/>
          <w:sz w:val="24"/>
          <w:szCs w:val="24"/>
        </w:rPr>
        <w:t>II</w:t>
      </w:r>
      <w:r w:rsidR="00642BBF" w:rsidRPr="004738E4">
        <w:rPr>
          <w:rFonts w:ascii="Times New Roman" w:hAnsi="Times New Roman" w:cs="Times New Roman"/>
          <w:noProof/>
          <w:sz w:val="24"/>
          <w:szCs w:val="24"/>
        </w:rPr>
        <w:t xml:space="preserve"> </w:t>
      </w:r>
      <w:r w:rsidRPr="004738E4">
        <w:rPr>
          <w:rFonts w:ascii="Times New Roman" w:hAnsi="Times New Roman" w:cs="Times New Roman"/>
          <w:noProof/>
          <w:sz w:val="24"/>
          <w:szCs w:val="24"/>
        </w:rPr>
        <w:t xml:space="preserve">Receptor Blockers. Clin Pharmacokinet. 2008 Oct;47(5):323–32. </w:t>
      </w:r>
    </w:p>
    <w:p w14:paraId="78BFCB2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44. </w:t>
      </w:r>
      <w:r w:rsidRPr="004738E4">
        <w:rPr>
          <w:rFonts w:ascii="Times New Roman" w:hAnsi="Times New Roman" w:cs="Times New Roman"/>
          <w:noProof/>
          <w:sz w:val="24"/>
          <w:szCs w:val="24"/>
        </w:rPr>
        <w:tab/>
        <w:t xml:space="preserve">Niemi M, Pasanen M, Neuvonen P. SLCO1B1 polymorphism and sex affect the pharmacokinetics of pravastatin but not fluvastatin. Clin Pharmacol Ther. 2006 Oct;80(4):356–66. </w:t>
      </w:r>
    </w:p>
    <w:p w14:paraId="70E2489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45. </w:t>
      </w:r>
      <w:r w:rsidRPr="004738E4">
        <w:rPr>
          <w:rFonts w:ascii="Times New Roman" w:hAnsi="Times New Roman" w:cs="Times New Roman"/>
          <w:noProof/>
          <w:sz w:val="24"/>
          <w:szCs w:val="24"/>
        </w:rPr>
        <w:tab/>
        <w:t xml:space="preserve">Ishikawa T, Mizuno K, Nakaya N, Ohashi Y, Tajima N, Kushiro T, et al. The Relationship Between the Effect of Pravastatin and Risk Factors for Coronary Heart Disease in Japanese Patients With Hypercholesterolemia. Circ J. 2008 Oct;72(10):1576–82. </w:t>
      </w:r>
    </w:p>
    <w:p w14:paraId="3407175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46. </w:t>
      </w:r>
      <w:r w:rsidRPr="004738E4">
        <w:rPr>
          <w:rFonts w:ascii="Times New Roman" w:hAnsi="Times New Roman" w:cs="Times New Roman"/>
          <w:noProof/>
          <w:sz w:val="24"/>
          <w:szCs w:val="24"/>
        </w:rPr>
        <w:tab/>
        <w:t xml:space="preserve">Kang D, Verotta D, Schwartz J. Population analyses of amlodipine in patients living in the community and patients living in nursing homes. Clin Pharmacol Ther. 2006 Oct;79(1):114–24. </w:t>
      </w:r>
    </w:p>
    <w:p w14:paraId="0F16C8F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47. </w:t>
      </w:r>
      <w:r w:rsidRPr="004738E4">
        <w:rPr>
          <w:rFonts w:ascii="Times New Roman" w:hAnsi="Times New Roman" w:cs="Times New Roman"/>
          <w:noProof/>
          <w:sz w:val="24"/>
          <w:szCs w:val="24"/>
        </w:rPr>
        <w:tab/>
        <w:t xml:space="preserve">Beierle I, Meibohm B, Derendorf H. Gender differences in pharmacokinetics and pharmacodynamics. Int J Clin Pharmacol Ther. 1999 Nov;37(11):529–47. </w:t>
      </w:r>
    </w:p>
    <w:p w14:paraId="782837D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48. </w:t>
      </w:r>
      <w:r w:rsidRPr="004738E4">
        <w:rPr>
          <w:rFonts w:ascii="Times New Roman" w:hAnsi="Times New Roman" w:cs="Times New Roman"/>
          <w:noProof/>
          <w:sz w:val="24"/>
          <w:szCs w:val="24"/>
        </w:rPr>
        <w:tab/>
        <w:t xml:space="preserve">Humphries KH, Izadnegahdar M, Sedlak T, Saw J, Johnston N, Schenck-Gustafsson K, et al. Sex differences in cardiovascular disease – Impact on care and outcomes. Front Neuroendocrinol. 2017 Oct;46:46–70. </w:t>
      </w:r>
    </w:p>
    <w:p w14:paraId="39F429D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49. </w:t>
      </w:r>
      <w:r w:rsidRPr="004738E4">
        <w:rPr>
          <w:rFonts w:ascii="Times New Roman" w:hAnsi="Times New Roman" w:cs="Times New Roman"/>
          <w:noProof/>
          <w:sz w:val="24"/>
          <w:szCs w:val="24"/>
        </w:rPr>
        <w:tab/>
        <w:t xml:space="preserve">Adams KF, Patterson JH, Gattis WA, O’Connor CM, Lee CR, Schwartz TA, et al. Relationship of Serum Digoxin Concentration to Mortality and Morbidity in Women in the Digitalis Investigation Group Trial. J Am Coll Cardiol. 2005 Oct;46(3):497–504. </w:t>
      </w:r>
    </w:p>
    <w:p w14:paraId="66F545F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50. </w:t>
      </w:r>
      <w:r w:rsidRPr="004738E4">
        <w:rPr>
          <w:rFonts w:ascii="Times New Roman" w:hAnsi="Times New Roman" w:cs="Times New Roman"/>
          <w:noProof/>
          <w:sz w:val="24"/>
          <w:szCs w:val="24"/>
        </w:rPr>
        <w:tab/>
        <w:t xml:space="preserve">Rathore SS, Wang Y, Krumholz HM. Sex-Based Differences in the Effect of Digoxin for the Treatment of Heart Failure. N Engl J Med. 2002 Oct;347(18):1403–11. </w:t>
      </w:r>
    </w:p>
    <w:p w14:paraId="6A89E50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51. </w:t>
      </w:r>
      <w:r w:rsidRPr="004738E4">
        <w:rPr>
          <w:rFonts w:ascii="Times New Roman" w:hAnsi="Times New Roman" w:cs="Times New Roman"/>
          <w:noProof/>
          <w:sz w:val="24"/>
          <w:szCs w:val="24"/>
        </w:rPr>
        <w:tab/>
        <w:t xml:space="preserve">Harris RZ, Benet LZ, Schwartz JB. Gender Effects in Pharmacokinetics and Pharmacodynamics: Drugs. 1995 Oct;50(2):222–39. </w:t>
      </w:r>
    </w:p>
    <w:p w14:paraId="4725192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52. </w:t>
      </w:r>
      <w:r w:rsidRPr="004738E4">
        <w:rPr>
          <w:rFonts w:ascii="Times New Roman" w:hAnsi="Times New Roman" w:cs="Times New Roman"/>
          <w:noProof/>
          <w:sz w:val="24"/>
          <w:szCs w:val="24"/>
        </w:rPr>
        <w:tab/>
        <w:t xml:space="preserve">Fife DJ, Maibach HI. Gender Differences in the Pharmacokinetics of Oral Dermatologic Medications. J Toxicol Cutan Ocul Toxicol. 2005 Oct;23(2):119–33. </w:t>
      </w:r>
    </w:p>
    <w:p w14:paraId="75421F6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53. </w:t>
      </w:r>
      <w:r w:rsidRPr="004738E4">
        <w:rPr>
          <w:rFonts w:ascii="Times New Roman" w:hAnsi="Times New Roman" w:cs="Times New Roman"/>
          <w:noProof/>
          <w:sz w:val="24"/>
          <w:szCs w:val="24"/>
        </w:rPr>
        <w:tab/>
        <w:t xml:space="preserve">Kang D. Population analyses of sustained-release verapamil in patients: Effects of sex, race, and smoking. Clin Pharmacol Ther. 2003 Oct;73(1):31–40. </w:t>
      </w:r>
    </w:p>
    <w:p w14:paraId="04BB2AB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54. </w:t>
      </w:r>
      <w:r w:rsidRPr="004738E4">
        <w:rPr>
          <w:rFonts w:ascii="Times New Roman" w:hAnsi="Times New Roman" w:cs="Times New Roman"/>
          <w:noProof/>
          <w:sz w:val="24"/>
          <w:szCs w:val="24"/>
        </w:rPr>
        <w:tab/>
        <w:t xml:space="preserve">Dadashzadeh S, Javadian B, Sadeghian S. The effect of gender on the pharmacokinetics of verapamil and norverapamil in human. Biopharm Drug Dispos. 2006 Oct;27(7):329–34. </w:t>
      </w:r>
    </w:p>
    <w:p w14:paraId="1B61FA1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55. </w:t>
      </w:r>
      <w:r w:rsidRPr="004738E4">
        <w:rPr>
          <w:rFonts w:ascii="Times New Roman" w:hAnsi="Times New Roman" w:cs="Times New Roman"/>
          <w:noProof/>
          <w:sz w:val="24"/>
          <w:szCs w:val="24"/>
        </w:rPr>
        <w:tab/>
        <w:t xml:space="preserve">Krecic-Shepard ME, Barnas CR, Slimko J, Jones MP, Schwartz JB. Gender-Specific Effects on Verapamil Pharmacokinetics and Pharmacodynamics in Humans. J Clin Pharmacol. 2000 Oct;40(3):219–30. </w:t>
      </w:r>
    </w:p>
    <w:p w14:paraId="18C4B8E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56. </w:t>
      </w:r>
      <w:r w:rsidRPr="004738E4">
        <w:rPr>
          <w:rFonts w:ascii="Times New Roman" w:hAnsi="Times New Roman" w:cs="Times New Roman"/>
          <w:noProof/>
          <w:sz w:val="24"/>
          <w:szCs w:val="24"/>
        </w:rPr>
        <w:tab/>
        <w:t xml:space="preserve">White W. Gender and age effects on the ambulatory blood pressure and heart rate responses to antihypertensive therapy. Am J Hypertens. 2001 Oct;14(12):1239–47. </w:t>
      </w:r>
    </w:p>
    <w:p w14:paraId="4DF70AC7"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57. </w:t>
      </w:r>
      <w:r w:rsidRPr="004738E4">
        <w:rPr>
          <w:rFonts w:ascii="Times New Roman" w:hAnsi="Times New Roman" w:cs="Times New Roman"/>
          <w:noProof/>
          <w:sz w:val="24"/>
          <w:szCs w:val="24"/>
        </w:rPr>
        <w:tab/>
        <w:t xml:space="preserve">Jarugula V, Yeh C-M, Howard D, Bush C, Keefe DL, Dole WP. Influence of Body Weight and Gender on the Pharmacokinetics, Pharmacodynamics, and Antihypertensive Efficacy of Aliskiren. J Clin Pharmacol. 2010 Oct;50(12):1358–66. </w:t>
      </w:r>
    </w:p>
    <w:p w14:paraId="1965545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58. </w:t>
      </w:r>
      <w:r w:rsidRPr="004738E4">
        <w:rPr>
          <w:rFonts w:ascii="Times New Roman" w:hAnsi="Times New Roman" w:cs="Times New Roman"/>
          <w:noProof/>
          <w:sz w:val="24"/>
          <w:szCs w:val="24"/>
        </w:rPr>
        <w:tab/>
        <w:t xml:space="preserve">Israili Z. Clinical pharmacokinetics of angiotensin II (AT1) receptor blockers in hypertension. J Hum Hypertens. 2000 Oct;14(S1):S73–86. </w:t>
      </w:r>
    </w:p>
    <w:p w14:paraId="5F61D54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59. </w:t>
      </w:r>
      <w:r w:rsidRPr="004738E4">
        <w:rPr>
          <w:rFonts w:ascii="Times New Roman" w:hAnsi="Times New Roman" w:cs="Times New Roman"/>
          <w:noProof/>
          <w:sz w:val="24"/>
          <w:szCs w:val="24"/>
        </w:rPr>
        <w:tab/>
        <w:t xml:space="preserve">Os I, Franco V, Kjeldsen SE, Manhem K, Devereux RB, Gerdts E, et al. Effects of Losartan in Women With Hypertension and Left Ventricular Hypertrophy: Results From the Losartan Intervention For Endpoint Reduction in Hypertension Study. Hypertension. 2008 Oct;51(4):1103–8. </w:t>
      </w:r>
    </w:p>
    <w:p w14:paraId="4740547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60. </w:t>
      </w:r>
      <w:r w:rsidRPr="004738E4">
        <w:rPr>
          <w:rFonts w:ascii="Times New Roman" w:hAnsi="Times New Roman" w:cs="Times New Roman"/>
          <w:noProof/>
          <w:sz w:val="24"/>
          <w:szCs w:val="24"/>
        </w:rPr>
        <w:tab/>
        <w:t xml:space="preserve">Walle U, Fagan T, Topmiller M, Conradi E, Walle T. The influence of gender and sex steroid hormones on the plasma binding of propranolol enantiomers. Br J Clin Pharmacol. 1994 Oct;37(1):21–5. </w:t>
      </w:r>
    </w:p>
    <w:p w14:paraId="09F6531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61. </w:t>
      </w:r>
      <w:r w:rsidRPr="004738E4">
        <w:rPr>
          <w:rFonts w:ascii="Times New Roman" w:hAnsi="Times New Roman" w:cs="Times New Roman"/>
          <w:noProof/>
          <w:sz w:val="24"/>
          <w:szCs w:val="24"/>
        </w:rPr>
        <w:tab/>
        <w:t xml:space="preserve">Xie HG, Chen X. Sex differences in pharmacokinetics of oral propranolol in healthy Chinese volunteers. Zhongguo Yao Li Xue Bao. 1995 Sep;16(5):468–70. </w:t>
      </w:r>
    </w:p>
    <w:p w14:paraId="49DE9A1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62. </w:t>
      </w:r>
      <w:r w:rsidRPr="004738E4">
        <w:rPr>
          <w:rFonts w:ascii="Times New Roman" w:hAnsi="Times New Roman" w:cs="Times New Roman"/>
          <w:noProof/>
          <w:sz w:val="24"/>
          <w:szCs w:val="24"/>
        </w:rPr>
        <w:tab/>
        <w:t xml:space="preserve">MRC-Report. Report of Medical Research Council Working Party on mild to moderate hypertension: adverse reactions to bendrofluozide and propranolol for the treatment of mild hypertension. Lancet. 1981;2:539–43. </w:t>
      </w:r>
    </w:p>
    <w:p w14:paraId="7BC9F3B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63. </w:t>
      </w:r>
      <w:r w:rsidRPr="004738E4">
        <w:rPr>
          <w:rFonts w:ascii="Times New Roman" w:hAnsi="Times New Roman" w:cs="Times New Roman"/>
          <w:noProof/>
          <w:sz w:val="24"/>
          <w:szCs w:val="24"/>
        </w:rPr>
        <w:tab/>
        <w:t xml:space="preserve">Roukoz H, Saliba W. Dofetilide: a new class III antiarrhythmic agent. Expert Rev Cardiovasc Ther. 2007 Oct;5(1):9–19. </w:t>
      </w:r>
    </w:p>
    <w:p w14:paraId="0D97966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64. </w:t>
      </w:r>
      <w:r w:rsidRPr="004738E4">
        <w:rPr>
          <w:rFonts w:ascii="Times New Roman" w:hAnsi="Times New Roman" w:cs="Times New Roman"/>
          <w:noProof/>
          <w:sz w:val="24"/>
          <w:szCs w:val="24"/>
        </w:rPr>
        <w:tab/>
        <w:t xml:space="preserve">Johnson JA, Akers WS, Herring VL, Wolfe MS, Sullivan JM. Gender Differences in Labetalol Kinetics: Importance of Determining Stereoisomer Kinetics for Racemic Drugs. Pharmacotherapy. 2000 Oct;20(6):622–8. </w:t>
      </w:r>
    </w:p>
    <w:p w14:paraId="0B7124D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65. </w:t>
      </w:r>
      <w:r w:rsidRPr="004738E4">
        <w:rPr>
          <w:rFonts w:ascii="Times New Roman" w:hAnsi="Times New Roman" w:cs="Times New Roman"/>
          <w:noProof/>
          <w:sz w:val="24"/>
          <w:szCs w:val="24"/>
        </w:rPr>
        <w:tab/>
        <w:t xml:space="preserve">Krecic-Shepard M. Race and sex influence clearance of nifedipine: Results of a population study. Clin Pharmacol Ther. 2000 Oct;68(2):130–42. </w:t>
      </w:r>
    </w:p>
    <w:p w14:paraId="0E9E1908"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66. </w:t>
      </w:r>
      <w:r w:rsidRPr="004738E4">
        <w:rPr>
          <w:rFonts w:ascii="Times New Roman" w:hAnsi="Times New Roman" w:cs="Times New Roman"/>
          <w:noProof/>
          <w:sz w:val="24"/>
          <w:szCs w:val="24"/>
        </w:rPr>
        <w:tab/>
        <w:t xml:space="preserve">Luzier A, Killian A, Wilton J, Wilson M, Forrest A, Kazierad D. Gender-related effects on metoprolol pharmacokinetics and pharmacodynamics in healthy volunteers. Clin Pharmacol Ther. 1999 Oct;66(6):594–601. </w:t>
      </w:r>
    </w:p>
    <w:p w14:paraId="6232F6B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67. </w:t>
      </w:r>
      <w:r w:rsidRPr="004738E4">
        <w:rPr>
          <w:rFonts w:ascii="Times New Roman" w:hAnsi="Times New Roman" w:cs="Times New Roman"/>
          <w:noProof/>
          <w:sz w:val="24"/>
          <w:szCs w:val="24"/>
        </w:rPr>
        <w:tab/>
        <w:t xml:space="preserve">Sharma A, Pibarot P, Pilote S, Dumesnil JG, Arsenault M, Bélanger PM, et al. Toward Optimal Treatment in Women: The Effect of Sex on Metoprolol-Diphenhydramine Interaction. J Clin Pharmacol. 2010 Oct;50(2):214–25. </w:t>
      </w:r>
    </w:p>
    <w:p w14:paraId="5830784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68. </w:t>
      </w:r>
      <w:r w:rsidRPr="004738E4">
        <w:rPr>
          <w:rFonts w:ascii="Times New Roman" w:hAnsi="Times New Roman" w:cs="Times New Roman"/>
          <w:noProof/>
          <w:sz w:val="24"/>
          <w:szCs w:val="24"/>
        </w:rPr>
        <w:tab/>
        <w:t xml:space="preserve">Ueno K, Sato H. Sex-related differences in pharmacokinetics and pharmacodynamics of anti-hypertensive drugs. Hypertens Res. 2012 Oct;35(3):245–50. </w:t>
      </w:r>
    </w:p>
    <w:p w14:paraId="5683A19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69. </w:t>
      </w:r>
      <w:r w:rsidRPr="004738E4">
        <w:rPr>
          <w:rFonts w:ascii="Times New Roman" w:hAnsi="Times New Roman" w:cs="Times New Roman"/>
          <w:noProof/>
          <w:sz w:val="24"/>
          <w:szCs w:val="24"/>
        </w:rPr>
        <w:tab/>
        <w:t xml:space="preserve">Wagg A, Franks B, Ramos B, Berner T. Persistence and adherence with the new beta-3 receptor agonist, mirabegron, versus antimuscarinics in overactive bladder: Early experience in Canada. Can Urol Assoc J. 2015 Oct;9(9–10):343. </w:t>
      </w:r>
    </w:p>
    <w:p w14:paraId="12DB47F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70. </w:t>
      </w:r>
      <w:r w:rsidRPr="004738E4">
        <w:rPr>
          <w:rFonts w:ascii="Times New Roman" w:hAnsi="Times New Roman" w:cs="Times New Roman"/>
          <w:noProof/>
          <w:sz w:val="24"/>
          <w:szCs w:val="24"/>
        </w:rPr>
        <w:tab/>
        <w:t xml:space="preserve">Martan A, Masata J, Krhut J, Zachoval R, Hanus T, Svabik K. Persistence in the treatment </w:t>
      </w:r>
      <w:r w:rsidRPr="004738E4">
        <w:rPr>
          <w:rFonts w:ascii="Times New Roman" w:hAnsi="Times New Roman" w:cs="Times New Roman"/>
          <w:noProof/>
          <w:sz w:val="24"/>
          <w:szCs w:val="24"/>
        </w:rPr>
        <w:lastRenderedPageBreak/>
        <w:t xml:space="preserve">of overactive bladder syndrome (OAB) with mirabegron in a multicenter clinical study. Eur J Obstet Gynecol Reprod Biol. 2017 Oct;210:247–50. </w:t>
      </w:r>
    </w:p>
    <w:p w14:paraId="0163CED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71. </w:t>
      </w:r>
      <w:r w:rsidRPr="004738E4">
        <w:rPr>
          <w:rFonts w:ascii="Times New Roman" w:hAnsi="Times New Roman" w:cs="Times New Roman"/>
          <w:noProof/>
          <w:sz w:val="24"/>
          <w:szCs w:val="24"/>
        </w:rPr>
        <w:tab/>
        <w:t xml:space="preserve">Wagg AS, Foley S, Peters J, Nazir J, Kool-Houweling L, Scrine L. Persistence and adherence with mirabegron vs antimuscarinics in overactive bladder: Retrospective analysis of a UK General Practice prescription database. Int J Clin Pract. 2017 Oct;71(10):e12996. </w:t>
      </w:r>
    </w:p>
    <w:p w14:paraId="6D027288" w14:textId="697F1385"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72. </w:t>
      </w:r>
      <w:r w:rsidRPr="004738E4">
        <w:rPr>
          <w:rFonts w:ascii="Times New Roman" w:hAnsi="Times New Roman" w:cs="Times New Roman"/>
          <w:noProof/>
          <w:sz w:val="24"/>
          <w:szCs w:val="24"/>
        </w:rPr>
        <w:tab/>
        <w:t xml:space="preserve">Kato D, Tabuchi H, Uno S. Safety, efficacy, and persistence of long-term mirabegron treatment for overactive bladder in the daily clinical setting: </w:t>
      </w:r>
      <w:r w:rsidR="003C0B42" w:rsidRPr="004738E4">
        <w:rPr>
          <w:rFonts w:ascii="Times New Roman" w:hAnsi="Times New Roman" w:cs="Times New Roman"/>
          <w:b/>
          <w:bCs/>
          <w:noProof/>
          <w:sz w:val="24"/>
          <w:szCs w:val="24"/>
        </w:rPr>
        <w:t>i</w:t>
      </w:r>
      <w:r w:rsidRPr="004738E4">
        <w:rPr>
          <w:rFonts w:ascii="Times New Roman" w:hAnsi="Times New Roman" w:cs="Times New Roman"/>
          <w:noProof/>
          <w:sz w:val="24"/>
          <w:szCs w:val="24"/>
        </w:rPr>
        <w:t xml:space="preserve">nterim (1-year) report from a Japanese post-marketing surveillance study. LUTS Low Urin Tract Symptoms. 2019 Oct;11(1):14–23. </w:t>
      </w:r>
    </w:p>
    <w:p w14:paraId="11F0AB3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73. </w:t>
      </w:r>
      <w:r w:rsidRPr="004738E4">
        <w:rPr>
          <w:rFonts w:ascii="Times New Roman" w:hAnsi="Times New Roman" w:cs="Times New Roman"/>
          <w:noProof/>
          <w:sz w:val="24"/>
          <w:szCs w:val="24"/>
        </w:rPr>
        <w:tab/>
        <w:t xml:space="preserve">Kerbusch T, Wählby U, Milligan PA, Karlsson MO. Population pharmacokinetic modelling of darifenacin and its hydroxylated metabolite using pooled data, incorporating saturable first-pass metabolism, CYP2D6 genotype and formulation-dependent bioavailability: Population pharmacokinetics darifenacin. Br J Clin Pharmacol. 2003 Oct;56(6):639–52. </w:t>
      </w:r>
    </w:p>
    <w:p w14:paraId="58E634D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74. </w:t>
      </w:r>
      <w:r w:rsidRPr="004738E4">
        <w:rPr>
          <w:rFonts w:ascii="Times New Roman" w:hAnsi="Times New Roman" w:cs="Times New Roman"/>
          <w:noProof/>
          <w:sz w:val="24"/>
          <w:szCs w:val="24"/>
        </w:rPr>
        <w:tab/>
        <w:t xml:space="preserve">Hajdinjak T, Leskovar J. Darifenacin in a real-world practice: results of a 6-month phase IV trial. Zdr Vestnik-Slovenian Med J. 2013;82(5):288–97. </w:t>
      </w:r>
    </w:p>
    <w:p w14:paraId="1285718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75. </w:t>
      </w:r>
      <w:r w:rsidRPr="004738E4">
        <w:rPr>
          <w:rFonts w:ascii="Times New Roman" w:hAnsi="Times New Roman" w:cs="Times New Roman"/>
          <w:noProof/>
          <w:sz w:val="24"/>
          <w:szCs w:val="24"/>
        </w:rPr>
        <w:tab/>
        <w:t xml:space="preserve">Rovner ES. Trospium Chloride in the Management of Overactive Bladder: Drugs. 2004 Oct;64(21):2433–46. </w:t>
      </w:r>
    </w:p>
    <w:p w14:paraId="2461DB1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76. </w:t>
      </w:r>
      <w:r w:rsidRPr="004738E4">
        <w:rPr>
          <w:rFonts w:ascii="Times New Roman" w:hAnsi="Times New Roman" w:cs="Times New Roman"/>
          <w:noProof/>
          <w:sz w:val="24"/>
          <w:szCs w:val="24"/>
        </w:rPr>
        <w:tab/>
        <w:t xml:space="preserve">Liabeuf S, Gras V, Moragny J. Trospium chloride for overactive bladder may induce central nervous system adverse events. Eur Geriatr Med. 2014;5(3):220–4. </w:t>
      </w:r>
    </w:p>
    <w:p w14:paraId="591F6D1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77. </w:t>
      </w:r>
      <w:r w:rsidRPr="004738E4">
        <w:rPr>
          <w:rFonts w:ascii="Times New Roman" w:hAnsi="Times New Roman" w:cs="Times New Roman"/>
          <w:noProof/>
          <w:sz w:val="24"/>
          <w:szCs w:val="24"/>
        </w:rPr>
        <w:tab/>
        <w:t xml:space="preserve">Magee MH, Blum RA, Lates CD, Jusko WJ. Prednisolone Pharmacokinetics and Pharmacodynamics in Relation to Sex and Race. J Clin Pharmacol. 2001 Oct;41(11):1180–94. </w:t>
      </w:r>
    </w:p>
    <w:p w14:paraId="25A8830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78. </w:t>
      </w:r>
      <w:r w:rsidRPr="004738E4">
        <w:rPr>
          <w:rFonts w:ascii="Times New Roman" w:hAnsi="Times New Roman" w:cs="Times New Roman"/>
          <w:noProof/>
          <w:sz w:val="24"/>
          <w:szCs w:val="24"/>
        </w:rPr>
        <w:tab/>
        <w:t xml:space="preserve">Bergmann TK, Barraclough KA, Lee KJ, Staatz CE. Clinical Pharmacokinetics and Pharmacodynamics of Prednisolone and Prednisone in Solid Organ Transplantation. Clin Pharmacokinet. 2012 Oct;51(11):711–41. </w:t>
      </w:r>
    </w:p>
    <w:p w14:paraId="4CB7EA4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79. </w:t>
      </w:r>
      <w:r w:rsidRPr="004738E4">
        <w:rPr>
          <w:rFonts w:ascii="Times New Roman" w:hAnsi="Times New Roman" w:cs="Times New Roman"/>
          <w:noProof/>
          <w:sz w:val="24"/>
          <w:szCs w:val="24"/>
        </w:rPr>
        <w:tab/>
        <w:t xml:space="preserve">Lee I, Kaminski HJ, McPherson T, Feese M, Cutter G. Gender differences in prednisone adverse effects: Survey result from the MG registry. Neurol - Neuroimmunol Neuroinflammation. 2018 Oct;5(6):e507. </w:t>
      </w:r>
    </w:p>
    <w:p w14:paraId="46A28E5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80. </w:t>
      </w:r>
      <w:r w:rsidRPr="004738E4">
        <w:rPr>
          <w:rFonts w:ascii="Times New Roman" w:hAnsi="Times New Roman" w:cs="Times New Roman"/>
          <w:noProof/>
          <w:sz w:val="24"/>
          <w:szCs w:val="24"/>
        </w:rPr>
        <w:tab/>
        <w:t xml:space="preserve">Lew KH, Ludwig EA, Milad MA, Donovan K, Jr. EM, Ferry JJ, et al. Gender-based effects on methylprednisolone pharmacokinetics and pharmacodynamics. Clin Pharmacol Ther. 1993 Oct;54(4):402–14. </w:t>
      </w:r>
    </w:p>
    <w:p w14:paraId="653C5BF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81. </w:t>
      </w:r>
      <w:r w:rsidRPr="004738E4">
        <w:rPr>
          <w:rFonts w:ascii="Times New Roman" w:hAnsi="Times New Roman" w:cs="Times New Roman"/>
          <w:noProof/>
          <w:sz w:val="24"/>
          <w:szCs w:val="24"/>
        </w:rPr>
        <w:tab/>
        <w:t xml:space="preserve">Overholser BR, Kays MB, Forrest A, Sowinski KM. Sex-Related Differences in the Pharmacokinetics of Oral Ciprofloxacin. J Clin Pharmacol. 2004 Oct;44(9):1012–22. </w:t>
      </w:r>
    </w:p>
    <w:p w14:paraId="57A0752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82. </w:t>
      </w:r>
      <w:r w:rsidRPr="004738E4">
        <w:rPr>
          <w:rFonts w:ascii="Times New Roman" w:hAnsi="Times New Roman" w:cs="Times New Roman"/>
          <w:noProof/>
          <w:sz w:val="24"/>
          <w:szCs w:val="24"/>
        </w:rPr>
        <w:tab/>
        <w:t xml:space="preserve">Austin K, Mather L, Philpot C, McDonald P. Intersubject and dose-related variability after intravenous administration of erythromycin. Br J Clin Pharmacol. 1980 Oct;10(3):273–9. </w:t>
      </w:r>
    </w:p>
    <w:p w14:paraId="41BA7CD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83. </w:t>
      </w:r>
      <w:r w:rsidRPr="004738E4">
        <w:rPr>
          <w:rFonts w:ascii="Times New Roman" w:hAnsi="Times New Roman" w:cs="Times New Roman"/>
          <w:noProof/>
          <w:sz w:val="24"/>
          <w:szCs w:val="24"/>
        </w:rPr>
        <w:tab/>
        <w:t xml:space="preserve">Drici M-D, Knollmann BC, Wang W-X, Woosley RL. Cardiac Actions of Erythromycin: Influence of Female Sex: Surv Anesthesiol. 1999 Oct;43(3):181. </w:t>
      </w:r>
    </w:p>
    <w:p w14:paraId="2A54BFCB" w14:textId="4B1CBBAB"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84. </w:t>
      </w:r>
      <w:r w:rsidRPr="004738E4">
        <w:rPr>
          <w:rFonts w:ascii="Times New Roman" w:hAnsi="Times New Roman" w:cs="Times New Roman"/>
          <w:noProof/>
          <w:sz w:val="24"/>
          <w:szCs w:val="24"/>
        </w:rPr>
        <w:tab/>
        <w:t xml:space="preserve">Colombo D, Banfi G, Cassano N, Graziottin A, Vena GA, et al. The GENDER ATTENTION Observational Study: Gender and Hormonal Status Differences in the Incidence of Adverse Events During Cyclosporine Treatment in Psoriatic Patients. Adv Ther. 2017 Oct;34(6):1349–63. </w:t>
      </w:r>
    </w:p>
    <w:p w14:paraId="104E873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85. </w:t>
      </w:r>
      <w:r w:rsidRPr="004738E4">
        <w:rPr>
          <w:rFonts w:ascii="Times New Roman" w:hAnsi="Times New Roman" w:cs="Times New Roman"/>
          <w:noProof/>
          <w:sz w:val="24"/>
          <w:szCs w:val="24"/>
        </w:rPr>
        <w:tab/>
        <w:t xml:space="preserve">Mueller F, Büchel B, Köberle D, Schürch S, Pfister B, Krähenbühl S, et al. Gender-specific elimination of continuous-infusional 5-fluorouracil in patients with gastrointestinal malignancies: results from a prospective population pharmacokinetic study. Cancer Chemother Pharmacol. 2013 Oct;71(2):361–70. </w:t>
      </w:r>
    </w:p>
    <w:p w14:paraId="2FA72DB7"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86. </w:t>
      </w:r>
      <w:r w:rsidRPr="004738E4">
        <w:rPr>
          <w:rFonts w:ascii="Times New Roman" w:hAnsi="Times New Roman" w:cs="Times New Roman"/>
          <w:noProof/>
          <w:sz w:val="24"/>
          <w:szCs w:val="24"/>
        </w:rPr>
        <w:tab/>
        <w:t xml:space="preserve">Sloan JA, Loprinzi CL, Novotny PJ, Okuno S, Nair S, Barton DL. Sex Differences in Fluorouracil-Induced Stomatitis. J Clin Oncol. 2000 Oct;18(2):412. </w:t>
      </w:r>
    </w:p>
    <w:p w14:paraId="3B91974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87. </w:t>
      </w:r>
      <w:r w:rsidRPr="004738E4">
        <w:rPr>
          <w:rFonts w:ascii="Times New Roman" w:hAnsi="Times New Roman" w:cs="Times New Roman"/>
          <w:noProof/>
          <w:sz w:val="24"/>
          <w:szCs w:val="24"/>
        </w:rPr>
        <w:tab/>
        <w:t xml:space="preserve">Sloan JA, Goldberg RM, Sargent DJ, Vargas-Chanes D, Nair S, Cha SS, et al. Women experience greater toxicity with fluorouracil-based chemotherapy for colorectal cancer. J Clin Oncol. 2002 Mar;20(6):1491–8. </w:t>
      </w:r>
    </w:p>
    <w:p w14:paraId="5B664C4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88. </w:t>
      </w:r>
      <w:r w:rsidRPr="004738E4">
        <w:rPr>
          <w:rFonts w:ascii="Times New Roman" w:hAnsi="Times New Roman" w:cs="Times New Roman"/>
          <w:noProof/>
          <w:sz w:val="24"/>
          <w:szCs w:val="24"/>
        </w:rPr>
        <w:tab/>
        <w:t xml:space="preserve">Chansky K, Benedetti J, Macdonald JS. Differences in toxicity between men and women treated with 5-fluorouracil therapy for colorectal carcinoma. Cancer. 2005 Oct;103(6):1165–71. </w:t>
      </w:r>
    </w:p>
    <w:p w14:paraId="7E89EBF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89. </w:t>
      </w:r>
      <w:r w:rsidRPr="004738E4">
        <w:rPr>
          <w:rFonts w:ascii="Times New Roman" w:hAnsi="Times New Roman" w:cs="Times New Roman"/>
          <w:noProof/>
          <w:sz w:val="24"/>
          <w:szCs w:val="24"/>
        </w:rPr>
        <w:tab/>
        <w:t xml:space="preserve">Joerger M. Quantitative Effect of Gender, Age, Liver Function, and Body Size on the Population Pharmacokinetics of Paclitaxel in Patients with Solid Tumors. Clin Cancer Res. 2006 Oct;12(7):2150–7. </w:t>
      </w:r>
    </w:p>
    <w:p w14:paraId="0C2DE28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90. </w:t>
      </w:r>
      <w:r w:rsidRPr="004738E4">
        <w:rPr>
          <w:rFonts w:ascii="Times New Roman" w:hAnsi="Times New Roman" w:cs="Times New Roman"/>
          <w:noProof/>
          <w:sz w:val="24"/>
          <w:szCs w:val="24"/>
        </w:rPr>
        <w:tab/>
        <w:t xml:space="preserve">Tuomainen PO, Ylitalo A, Niemelä M, Kervinen K, Pietilä M, Sia J, et al. Gender-Based Analysis of the 3-Year Outcome of Bioactive Stents Versus Paclitaxel-Eluting Stents in Patients with Acute Myocardial Infarction: An Insight from the TITAX-AMI Trial. J Invasive Cardiol. 2012;24(3):6. </w:t>
      </w:r>
    </w:p>
    <w:p w14:paraId="57575A3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91. </w:t>
      </w:r>
      <w:r w:rsidRPr="004738E4">
        <w:rPr>
          <w:rFonts w:ascii="Times New Roman" w:hAnsi="Times New Roman" w:cs="Times New Roman"/>
          <w:noProof/>
          <w:sz w:val="24"/>
          <w:szCs w:val="24"/>
        </w:rPr>
        <w:tab/>
        <w:t xml:space="preserve">Mikhail GW, Gerber RT, Cox DA, Ellis SG, Lasala JM, Ormiston JA, et al. Influence of Sex on Long-Term Outcomes After Percutaneous Coronary Intervention With the Paclitaxel-Eluting Coronary Stent. JACC Cardiovasc Interv. 2010 Oct;3(12):1250–9. </w:t>
      </w:r>
    </w:p>
    <w:p w14:paraId="4D2D94C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92. </w:t>
      </w:r>
      <w:r w:rsidRPr="004738E4">
        <w:rPr>
          <w:rFonts w:ascii="Times New Roman" w:hAnsi="Times New Roman" w:cs="Times New Roman"/>
          <w:noProof/>
          <w:sz w:val="24"/>
          <w:szCs w:val="24"/>
        </w:rPr>
        <w:tab/>
        <w:t xml:space="preserve">Cassidy J, Twelves C, Cameron D, Steward W, O’Byrne K, Jodrell D, et al. Bioequivalence of two tablet formulations of capecitabine and exploration of age, gender, body surface area, and creatinine clearance as factors influencing systemic exposure in cancer patients. Cancer Chemother Pharmacol. 1999;44(6):453–60. </w:t>
      </w:r>
    </w:p>
    <w:p w14:paraId="68B2509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93. </w:t>
      </w:r>
      <w:r w:rsidRPr="004738E4">
        <w:rPr>
          <w:rFonts w:ascii="Times New Roman" w:hAnsi="Times New Roman" w:cs="Times New Roman"/>
          <w:noProof/>
          <w:sz w:val="24"/>
          <w:szCs w:val="24"/>
        </w:rPr>
        <w:tab/>
        <w:t xml:space="preserve">Ilich AI, Danilak M, Kim CA, Mulder KE, Spratlin JL, Ghosh S, et al. Effects of gender on capecitabine toxicity in colorectal cancer. J Oncol Pharm Pract. 2016 Oct;22(3):454–60. </w:t>
      </w:r>
    </w:p>
    <w:p w14:paraId="1BCB969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94. </w:t>
      </w:r>
      <w:r w:rsidRPr="004738E4">
        <w:rPr>
          <w:rFonts w:ascii="Times New Roman" w:hAnsi="Times New Roman" w:cs="Times New Roman"/>
          <w:noProof/>
          <w:sz w:val="24"/>
          <w:szCs w:val="24"/>
        </w:rPr>
        <w:tab/>
        <w:t xml:space="preserve">Fasanmade AA, Adedokun OJ, Ford J, Hernandez D, Johanns J, Hu C, et al. Population pharmacokinetic analysis of infliximab in patients with ulcerative colitis. Eur J Clin Pharmacol. 2009 Oct;65(12):1211–28. </w:t>
      </w:r>
    </w:p>
    <w:p w14:paraId="6C5BF1F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95. </w:t>
      </w:r>
      <w:r w:rsidRPr="004738E4">
        <w:rPr>
          <w:rFonts w:ascii="Times New Roman" w:hAnsi="Times New Roman" w:cs="Times New Roman"/>
          <w:noProof/>
          <w:sz w:val="24"/>
          <w:szCs w:val="24"/>
        </w:rPr>
        <w:tab/>
        <w:t xml:space="preserve">Weisman MH, Moreland LW, Furst DE, Weinblatt ME, Keystone EC, Paulus HE, et al. Efficacy, pharmacokinetic, and safety assessment of adalimumab, a fully human anti-tumor necrosis factor-alpha monoclonal antibody, in adults with rheumatoid arthritis receiving concomitant methotrexate: A pilot study. Clin Ther. 2003 Oct;25(6):1700–21. </w:t>
      </w:r>
    </w:p>
    <w:p w14:paraId="1E5F9BC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96. </w:t>
      </w:r>
      <w:r w:rsidRPr="004738E4">
        <w:rPr>
          <w:rFonts w:ascii="Times New Roman" w:hAnsi="Times New Roman" w:cs="Times New Roman"/>
          <w:noProof/>
          <w:sz w:val="24"/>
          <w:szCs w:val="24"/>
        </w:rPr>
        <w:tab/>
        <w:t xml:space="preserve">Zelinkova Z. Sex-dimorphic adverse drug reactions to immune suppressive agents in inflammatory bowel disease. World J Gastroenterol. 2012 Oct;18(47):6967. </w:t>
      </w:r>
    </w:p>
    <w:p w14:paraId="54E705F7"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97. </w:t>
      </w:r>
      <w:r w:rsidRPr="004738E4">
        <w:rPr>
          <w:rFonts w:ascii="Times New Roman" w:hAnsi="Times New Roman" w:cs="Times New Roman"/>
          <w:noProof/>
          <w:sz w:val="24"/>
          <w:szCs w:val="24"/>
        </w:rPr>
        <w:tab/>
        <w:t xml:space="preserve">Ochoa D, Prieto-Pérez R, Román M, Talegón M, Rivas A, Galicia I, et al. Effect of gender and </w:t>
      </w:r>
      <w:r w:rsidRPr="004738E4">
        <w:rPr>
          <w:rFonts w:ascii="Times New Roman" w:hAnsi="Times New Roman" w:cs="Times New Roman"/>
          <w:i/>
          <w:iCs/>
          <w:noProof/>
          <w:sz w:val="24"/>
          <w:szCs w:val="24"/>
        </w:rPr>
        <w:t>CYP2C9</w:t>
      </w:r>
      <w:r w:rsidRPr="004738E4">
        <w:rPr>
          <w:rFonts w:ascii="Times New Roman" w:hAnsi="Times New Roman" w:cs="Times New Roman"/>
          <w:noProof/>
          <w:sz w:val="24"/>
          <w:szCs w:val="24"/>
        </w:rPr>
        <w:t xml:space="preserve"> and </w:t>
      </w:r>
      <w:r w:rsidRPr="004738E4">
        <w:rPr>
          <w:rFonts w:ascii="Times New Roman" w:hAnsi="Times New Roman" w:cs="Times New Roman"/>
          <w:i/>
          <w:iCs/>
          <w:noProof/>
          <w:sz w:val="24"/>
          <w:szCs w:val="24"/>
        </w:rPr>
        <w:t>CYP2C8</w:t>
      </w:r>
      <w:r w:rsidRPr="004738E4">
        <w:rPr>
          <w:rFonts w:ascii="Times New Roman" w:hAnsi="Times New Roman" w:cs="Times New Roman"/>
          <w:noProof/>
          <w:sz w:val="24"/>
          <w:szCs w:val="24"/>
        </w:rPr>
        <w:t xml:space="preserve"> polymorphisms on the pharmacokinetics of ibuprofen enantiomers. Pharmacogenomics. 2015 Oct;16(9):939–48. </w:t>
      </w:r>
    </w:p>
    <w:p w14:paraId="3DDCC02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98. </w:t>
      </w:r>
      <w:r w:rsidRPr="004738E4">
        <w:rPr>
          <w:rFonts w:ascii="Times New Roman" w:hAnsi="Times New Roman" w:cs="Times New Roman"/>
          <w:noProof/>
          <w:sz w:val="24"/>
          <w:szCs w:val="24"/>
        </w:rPr>
        <w:tab/>
        <w:t xml:space="preserve">Knights K, McLean C, Tonkin A, Miners J. Lack of effect of gender and oral contraceptive steroids on the pharmacokinetics of (R)-ibuprofen in humans. Br J Clin Pharmacol. 1995 Oct;40(2):153–6. </w:t>
      </w:r>
    </w:p>
    <w:p w14:paraId="58C56A5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99. </w:t>
      </w:r>
      <w:r w:rsidRPr="004738E4">
        <w:rPr>
          <w:rFonts w:ascii="Times New Roman" w:hAnsi="Times New Roman" w:cs="Times New Roman"/>
          <w:noProof/>
          <w:sz w:val="24"/>
          <w:szCs w:val="24"/>
        </w:rPr>
        <w:tab/>
        <w:t xml:space="preserve">Walker JS, Carmody JJ. Experimental Pain in Healthy Human Subjects: Gender Differences in Nociception and in Response to Ibuprofen: Surv Anesthesiol. 1999 Oct;43(4):239. </w:t>
      </w:r>
    </w:p>
    <w:p w14:paraId="288C9BD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100. </w:t>
      </w:r>
      <w:r w:rsidRPr="004738E4">
        <w:rPr>
          <w:rFonts w:ascii="Times New Roman" w:hAnsi="Times New Roman" w:cs="Times New Roman"/>
          <w:noProof/>
          <w:sz w:val="24"/>
          <w:szCs w:val="24"/>
        </w:rPr>
        <w:tab/>
        <w:t xml:space="preserve">Butcher BE, Carmody JJ. Sex differences in analgesic response to ibuprofen are influenced by expectancy: A randomized, crossover, balanced placebo-designed study: Analgesic response to ibuprofen. Eur J Pain. 2012 Oct;16(7):1005–13. </w:t>
      </w:r>
    </w:p>
    <w:p w14:paraId="3542541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101. </w:t>
      </w:r>
      <w:r w:rsidRPr="004738E4">
        <w:rPr>
          <w:rFonts w:ascii="Times New Roman" w:hAnsi="Times New Roman" w:cs="Times New Roman"/>
          <w:noProof/>
          <w:sz w:val="24"/>
          <w:szCs w:val="24"/>
        </w:rPr>
        <w:tab/>
        <w:t xml:space="preserve">Buchanan FF, Myles PS, Leslie K, Forbes A, Cicuttini F. Gender and Recovery After General Anesthesia Combined with Neuromuscular Blocking Drugs: Anesth Analg. 2006 Oct;102(1):291–7. </w:t>
      </w:r>
    </w:p>
    <w:p w14:paraId="4CA1459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102. </w:t>
      </w:r>
      <w:r w:rsidRPr="004738E4">
        <w:rPr>
          <w:rFonts w:ascii="Times New Roman" w:hAnsi="Times New Roman" w:cs="Times New Roman"/>
          <w:noProof/>
          <w:sz w:val="24"/>
          <w:szCs w:val="24"/>
        </w:rPr>
        <w:tab/>
        <w:t xml:space="preserve">Niesters M, Dahan A, Kest B, Zacny J, Stijnen T, Aarts L, et al. Do sex differences exist in opioid analgesia? A systematic review and meta-analysis of human experimental and clinical studies: Pain. 2010 Oct;151(1):61–8. </w:t>
      </w:r>
    </w:p>
    <w:p w14:paraId="61F8352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103. </w:t>
      </w:r>
      <w:r w:rsidRPr="004738E4">
        <w:rPr>
          <w:rFonts w:ascii="Times New Roman" w:hAnsi="Times New Roman" w:cs="Times New Roman"/>
          <w:noProof/>
          <w:sz w:val="24"/>
          <w:szCs w:val="24"/>
        </w:rPr>
        <w:tab/>
        <w:t xml:space="preserve">Fillingim RB, Doleys DM, Edwards RR, Lowery D. Clinical Characteristics of Chronic Back Pain as a Function of Gender and Oral Opioid Use: Spine (Phila Pa 1976). 2003 Oct;28(2):143–50. </w:t>
      </w:r>
    </w:p>
    <w:p w14:paraId="0A1D18C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104. </w:t>
      </w:r>
      <w:r w:rsidRPr="004738E4">
        <w:rPr>
          <w:rFonts w:ascii="Times New Roman" w:hAnsi="Times New Roman" w:cs="Times New Roman"/>
          <w:noProof/>
          <w:sz w:val="24"/>
          <w:szCs w:val="24"/>
        </w:rPr>
        <w:tab/>
        <w:t xml:space="preserve">Rau R-H, Lin Y-C, Cheng J-K. Sex Differences in Elderly Patients Using Patient Controlled Analgesia in the Postoperative Period: A Retrospective Database Analysis. Int J Gerontol. 2016 Oct;10(3):146–50. </w:t>
      </w:r>
    </w:p>
    <w:p w14:paraId="194D4A5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105. </w:t>
      </w:r>
      <w:r w:rsidRPr="004738E4">
        <w:rPr>
          <w:rFonts w:ascii="Times New Roman" w:hAnsi="Times New Roman" w:cs="Times New Roman"/>
          <w:noProof/>
          <w:sz w:val="24"/>
          <w:szCs w:val="24"/>
        </w:rPr>
        <w:tab/>
        <w:t xml:space="preserve">Viscusi ER, Gambling DR, Hughes TL, Manvelian GZ. Pharmacokinetics of extended-release epidural morphine sulfate: Pooled analysis of six clinical studies. Am J Heal Pharm. 2009 Oct;66(11):1020–30. </w:t>
      </w:r>
    </w:p>
    <w:p w14:paraId="4528B0B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106. </w:t>
      </w:r>
      <w:r w:rsidRPr="004738E4">
        <w:rPr>
          <w:rFonts w:ascii="Times New Roman" w:hAnsi="Times New Roman" w:cs="Times New Roman"/>
          <w:noProof/>
          <w:sz w:val="24"/>
          <w:szCs w:val="24"/>
        </w:rPr>
        <w:tab/>
        <w:t xml:space="preserve">Sarton E, Kest B, Dahan A. Sex Differences in Morphine Analgesia. 2000;93(5):10. </w:t>
      </w:r>
    </w:p>
    <w:p w14:paraId="4510F5B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107. </w:t>
      </w:r>
      <w:r w:rsidRPr="004738E4">
        <w:rPr>
          <w:rFonts w:ascii="Times New Roman" w:hAnsi="Times New Roman" w:cs="Times New Roman"/>
          <w:noProof/>
          <w:sz w:val="24"/>
          <w:szCs w:val="24"/>
        </w:rPr>
        <w:tab/>
        <w:t xml:space="preserve">Aubrun F, Salvi N, Coriat P, Riou B. Sex- and age-related differences in morphine requirements for postoperative pain  relief. Anesthesiology. 2005 Jul;103(1):156–60. </w:t>
      </w:r>
    </w:p>
    <w:p w14:paraId="36AE2F2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108. </w:t>
      </w:r>
      <w:r w:rsidRPr="004738E4">
        <w:rPr>
          <w:rFonts w:ascii="Times New Roman" w:hAnsi="Times New Roman" w:cs="Times New Roman"/>
          <w:noProof/>
          <w:sz w:val="24"/>
          <w:szCs w:val="24"/>
        </w:rPr>
        <w:tab/>
        <w:t xml:space="preserve">Dahan A, Sarton E, Teppema L, Olievier C. Sex-related differences in the influence of morphine on ventilatory control in humans. Anesthesiology. 1998 Apr;88(4):903–13. </w:t>
      </w:r>
    </w:p>
    <w:p w14:paraId="53542A0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109. </w:t>
      </w:r>
      <w:r w:rsidRPr="004738E4">
        <w:rPr>
          <w:rFonts w:ascii="Times New Roman" w:hAnsi="Times New Roman" w:cs="Times New Roman"/>
          <w:noProof/>
          <w:sz w:val="24"/>
          <w:szCs w:val="24"/>
        </w:rPr>
        <w:tab/>
        <w:t xml:space="preserve">Fillingim RB, Ness TJ, Glover TL, Campbell CM, Hastie BA, Price DD, et al. Morphine responses and experimental pain: sex differences in side effects and cardiovascular responses but not analgesia. J Pain. 2005 Feb;6(2):116–24. </w:t>
      </w:r>
    </w:p>
    <w:p w14:paraId="5EDC811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110. </w:t>
      </w:r>
      <w:r w:rsidRPr="004738E4">
        <w:rPr>
          <w:rFonts w:ascii="Times New Roman" w:hAnsi="Times New Roman" w:cs="Times New Roman"/>
          <w:noProof/>
          <w:sz w:val="24"/>
          <w:szCs w:val="24"/>
        </w:rPr>
        <w:tab/>
        <w:t>Riley JL, Hastie BA, Glover TL, Fillingim RB, Staud R, Campbell CM. Cognitive–</w:t>
      </w:r>
      <w:r w:rsidRPr="004738E4">
        <w:rPr>
          <w:rFonts w:ascii="Times New Roman" w:hAnsi="Times New Roman" w:cs="Times New Roman"/>
          <w:noProof/>
          <w:sz w:val="24"/>
          <w:szCs w:val="24"/>
        </w:rPr>
        <w:lastRenderedPageBreak/>
        <w:t xml:space="preserve">Affective and Somatic Side Effects of Morphine and Pentazocine: Side-Effect Profiles in Healthy Adults. Pain Med. 2010 Oct;11(2):195–206. </w:t>
      </w:r>
    </w:p>
    <w:p w14:paraId="4C504A0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111. </w:t>
      </w:r>
      <w:r w:rsidRPr="004738E4">
        <w:rPr>
          <w:rFonts w:ascii="Times New Roman" w:hAnsi="Times New Roman" w:cs="Times New Roman"/>
          <w:noProof/>
          <w:sz w:val="24"/>
          <w:szCs w:val="24"/>
        </w:rPr>
        <w:tab/>
        <w:t xml:space="preserve">Zacny JP. Morphine responses in humans: a retrospective analysis of sex differences. Drug Alcohol Depend. 2001 Oct;63(1):23–8. </w:t>
      </w:r>
    </w:p>
    <w:p w14:paraId="3F35F5F8"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112. </w:t>
      </w:r>
      <w:r w:rsidRPr="004738E4">
        <w:rPr>
          <w:rFonts w:ascii="Times New Roman" w:hAnsi="Times New Roman" w:cs="Times New Roman"/>
          <w:noProof/>
          <w:sz w:val="24"/>
          <w:szCs w:val="24"/>
        </w:rPr>
        <w:tab/>
        <w:t xml:space="preserve">Sadhasivam S, Chidambaran V, Olbrecht VA, Costandi A, Clay S, Prows CA, et al. Opioid-Related Adverse Effects in Children Undergoing Surgery: Unequal Burden on Younger Girls with Higher Doses of Opioids. Pain Med. 2015 Oct;16(5):985–97. </w:t>
      </w:r>
    </w:p>
    <w:p w14:paraId="142A00B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113. </w:t>
      </w:r>
      <w:r w:rsidRPr="004738E4">
        <w:rPr>
          <w:rFonts w:ascii="Times New Roman" w:hAnsi="Times New Roman" w:cs="Times New Roman"/>
          <w:noProof/>
          <w:sz w:val="24"/>
          <w:szCs w:val="24"/>
        </w:rPr>
        <w:tab/>
        <w:t xml:space="preserve">Lofwall MR, Nuzzo PA, Walsh SL. Effects of cold pressor pain on the abuse liability of intranasal oxycodone in male and female prescription opioid abusers. Drug Alcohol Depend. 2012 Oct;123(1–3):229–38. </w:t>
      </w:r>
    </w:p>
    <w:p w14:paraId="2A6B1DB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114. </w:t>
      </w:r>
      <w:r w:rsidRPr="004738E4">
        <w:rPr>
          <w:rFonts w:ascii="Times New Roman" w:hAnsi="Times New Roman" w:cs="Times New Roman"/>
          <w:noProof/>
          <w:sz w:val="24"/>
          <w:szCs w:val="24"/>
        </w:rPr>
        <w:tab/>
        <w:t xml:space="preserve">Peniston JH, Xiang Q, Gould EM. Factors affecting acceptability of titrated oxymorphone extended release in chronic low back pain – an individual patient analysis. Curr Med Res Opin. 2010 Oct;26(8):1861–71. </w:t>
      </w:r>
    </w:p>
    <w:p w14:paraId="6A60B5A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115. </w:t>
      </w:r>
      <w:r w:rsidRPr="004738E4">
        <w:rPr>
          <w:rFonts w:ascii="Times New Roman" w:hAnsi="Times New Roman" w:cs="Times New Roman"/>
          <w:noProof/>
          <w:sz w:val="24"/>
          <w:szCs w:val="24"/>
        </w:rPr>
        <w:tab/>
        <w:t xml:space="preserve">McHugh RK, DeVito EE, Dodd D, Carroll KM, Potter JS, Greenfield SF, et al. Gender differences in a clinical trial for prescription opioid dependence. J Subst Abuse Treat. 2013 Oct;45(1):38–43. </w:t>
      </w:r>
    </w:p>
    <w:p w14:paraId="1B2580E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116. </w:t>
      </w:r>
      <w:r w:rsidRPr="004738E4">
        <w:rPr>
          <w:rFonts w:ascii="Times New Roman" w:hAnsi="Times New Roman" w:cs="Times New Roman"/>
          <w:noProof/>
          <w:sz w:val="24"/>
          <w:szCs w:val="24"/>
        </w:rPr>
        <w:tab/>
        <w:t xml:space="preserve">Moody DE, Fang WB, Morrison J, McCance-Katz E. Gender differences in pharmacokinetics of maintenance dosed buprenorphine. Drug Alcohol Depend. 2011 Oct;118(2–3):479–83. </w:t>
      </w:r>
    </w:p>
    <w:p w14:paraId="08CF622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117. </w:t>
      </w:r>
      <w:r w:rsidRPr="004738E4">
        <w:rPr>
          <w:rFonts w:ascii="Times New Roman" w:hAnsi="Times New Roman" w:cs="Times New Roman"/>
          <w:noProof/>
          <w:sz w:val="24"/>
          <w:szCs w:val="24"/>
        </w:rPr>
        <w:tab/>
        <w:t xml:space="preserve">Garnaat SL, Weisberg RB, Uebelacker LA, Herman DS, Bailey GL, Anderson BJ, et al. The overlap of sleep disturbance and depression in primary care patients treated with buprenorphine. Subst Abus. 2017 Oct;38(4):450–4. </w:t>
      </w:r>
    </w:p>
    <w:p w14:paraId="16F5678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118. </w:t>
      </w:r>
      <w:r w:rsidRPr="004738E4">
        <w:rPr>
          <w:rFonts w:ascii="Times New Roman" w:hAnsi="Times New Roman" w:cs="Times New Roman"/>
          <w:noProof/>
          <w:sz w:val="24"/>
          <w:szCs w:val="24"/>
        </w:rPr>
        <w:tab/>
        <w:t xml:space="preserve">Tagarro I, Herrera J, Barutell C, D??ez MC, Mar??n M, Samper D, et al. Effect of a Simple Dose-Escalation Schedule on Tramadol Tolerability: Assessment in the Clinical Setting. Clin Drug Investig. 2005 Oct;25(1):23–31. </w:t>
      </w:r>
    </w:p>
    <w:p w14:paraId="5F90AAE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119. </w:t>
      </w:r>
      <w:r w:rsidRPr="004738E4">
        <w:rPr>
          <w:rFonts w:ascii="Times New Roman" w:hAnsi="Times New Roman" w:cs="Times New Roman"/>
          <w:noProof/>
          <w:sz w:val="24"/>
          <w:szCs w:val="24"/>
        </w:rPr>
        <w:tab/>
        <w:t xml:space="preserve">Seaber E, On N, Dixon RM, Gibbens M, Leavens WJ, Liptrot J, et al. The absolute bioavailability and metabolic disposition of the novel antimigraine compound zolmitriptan (311C90). Br J Clin Pharmacol. 1997 Oct;43(6):579–87. </w:t>
      </w:r>
    </w:p>
    <w:p w14:paraId="4BFA825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120. </w:t>
      </w:r>
      <w:r w:rsidRPr="004738E4">
        <w:rPr>
          <w:rFonts w:ascii="Times New Roman" w:hAnsi="Times New Roman" w:cs="Times New Roman"/>
          <w:noProof/>
          <w:sz w:val="24"/>
          <w:szCs w:val="24"/>
        </w:rPr>
        <w:tab/>
        <w:t xml:space="preserve">Smith DA, Cleary EW, Watkins S, Huffman CS, Dilzer SC, Lasseter KC. Pharmacokinetics and Pharmacodynamics of Zolmitriptan in Patients with Mild to Moderate Hypertension: A Double-Blind, Placebo-Controlled Study. J Clin Pharmacol. 1998 Oct;38(8):685–93. </w:t>
      </w:r>
    </w:p>
    <w:p w14:paraId="6466420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121. </w:t>
      </w:r>
      <w:r w:rsidRPr="004738E4">
        <w:rPr>
          <w:rFonts w:ascii="Times New Roman" w:hAnsi="Times New Roman" w:cs="Times New Roman"/>
          <w:noProof/>
          <w:sz w:val="24"/>
          <w:szCs w:val="24"/>
        </w:rPr>
        <w:tab/>
        <w:t xml:space="preserve">Quang NN, Chinh NT, Cuong BT, Binh VQ, Travers T, Dai B, et al. Sex Affects the Steady-State Pharmacokinetics of Primaquine but Not Doxycycline in Healthy Subjects. Am J Trop Med Hyg. 2009 Oct;81(5):747–53. </w:t>
      </w:r>
    </w:p>
    <w:p w14:paraId="4200EAC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122. </w:t>
      </w:r>
      <w:r w:rsidRPr="004738E4">
        <w:rPr>
          <w:rFonts w:ascii="Times New Roman" w:hAnsi="Times New Roman" w:cs="Times New Roman"/>
          <w:noProof/>
          <w:sz w:val="24"/>
          <w:szCs w:val="24"/>
        </w:rPr>
        <w:tab/>
        <w:t xml:space="preserve">Sigtermans M, Dahan A, Mooren R, Bauer M, Kest B, Sarton E, et al. S(+)-ketamine Effect on Experimental Pain and Cardiac Output: A Population Pharmacokinetic-Pharmacodynamic Modeling Study in Healthy Volunteers. Anesthesiology. 2009 Oct;111(4):892–903. </w:t>
      </w:r>
    </w:p>
    <w:p w14:paraId="383AB58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123. </w:t>
      </w:r>
      <w:r w:rsidRPr="004738E4">
        <w:rPr>
          <w:rFonts w:ascii="Times New Roman" w:hAnsi="Times New Roman" w:cs="Times New Roman"/>
          <w:noProof/>
          <w:sz w:val="24"/>
          <w:szCs w:val="24"/>
        </w:rPr>
        <w:tab/>
        <w:t xml:space="preserve">Morgan CJA, Curran HV. Acute and chronic effects of ketamine upon human memory: a review. Psychopharmacology (Berl). 2006 Oct;188(4):408–24. </w:t>
      </w:r>
    </w:p>
    <w:p w14:paraId="3F528D2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124. </w:t>
      </w:r>
      <w:r w:rsidRPr="004738E4">
        <w:rPr>
          <w:rFonts w:ascii="Times New Roman" w:hAnsi="Times New Roman" w:cs="Times New Roman"/>
          <w:noProof/>
          <w:sz w:val="24"/>
          <w:szCs w:val="24"/>
        </w:rPr>
        <w:tab/>
        <w:t xml:space="preserve">Routledge P, Stargel W, Kitchell B, Barchowsky A, Shand D. Sex-related differences in the plasma protein binding of lignocaine and diazepam. Br J Clin Pharmacol. 1981 Oct;11(3):245–50. </w:t>
      </w:r>
    </w:p>
    <w:p w14:paraId="5CFCEE5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125. </w:t>
      </w:r>
      <w:r w:rsidRPr="004738E4">
        <w:rPr>
          <w:rFonts w:ascii="Times New Roman" w:hAnsi="Times New Roman" w:cs="Times New Roman"/>
          <w:noProof/>
          <w:sz w:val="24"/>
          <w:szCs w:val="24"/>
        </w:rPr>
        <w:tab/>
        <w:t xml:space="preserve">Nazir MS, Holdcroft A. Local anaesthetic drugs: adverse effects as reported through the ADROIT system in the UK. Pharmacoepidemiol Drug Saf. 2009 Oct;18(11):1000–6. </w:t>
      </w:r>
    </w:p>
    <w:p w14:paraId="6E50B17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126. </w:t>
      </w:r>
      <w:r w:rsidRPr="004738E4">
        <w:rPr>
          <w:rFonts w:ascii="Times New Roman" w:hAnsi="Times New Roman" w:cs="Times New Roman"/>
          <w:noProof/>
          <w:sz w:val="24"/>
          <w:szCs w:val="24"/>
        </w:rPr>
        <w:tab/>
        <w:t xml:space="preserve">Loryan I, Lindqvist M, Johansson I, Hiratsuka M, van der Heiden I, van Schaik RHN, et al. Influence of sex on propofol metabolism, a pilot study: implications for propofol anesthesia. Eur J Clin Pharmacol. 2012 Oct;68(4):397–406. </w:t>
      </w:r>
    </w:p>
    <w:p w14:paraId="28B5C42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127. </w:t>
      </w:r>
      <w:r w:rsidRPr="004738E4">
        <w:rPr>
          <w:rFonts w:ascii="Times New Roman" w:hAnsi="Times New Roman" w:cs="Times New Roman"/>
          <w:noProof/>
          <w:sz w:val="24"/>
          <w:szCs w:val="24"/>
        </w:rPr>
        <w:tab/>
        <w:t xml:space="preserve">Choong E, Loryan I, Lindqvist M, Nordling Å, el Bouazzaoui S, van Schaik RH, et al. Sex Difference in Formation of Propofol Metabolites: A Replication Study. Basic Clin Pharmacol Toxicol. 2013 Oct;113(2):126–31. </w:t>
      </w:r>
    </w:p>
    <w:p w14:paraId="6031F6F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128. </w:t>
      </w:r>
      <w:r w:rsidRPr="004738E4">
        <w:rPr>
          <w:rFonts w:ascii="Times New Roman" w:hAnsi="Times New Roman" w:cs="Times New Roman"/>
          <w:noProof/>
          <w:sz w:val="24"/>
          <w:szCs w:val="24"/>
        </w:rPr>
        <w:tab/>
        <w:t xml:space="preserve">Hoymork SC, Raeder J. Why do women wake up faster than men from propofol anaesthesia? Br J Anaesth. 2005 Oct;95(5):627–33. </w:t>
      </w:r>
    </w:p>
    <w:p w14:paraId="77DD08F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129. </w:t>
      </w:r>
      <w:r w:rsidRPr="004738E4">
        <w:rPr>
          <w:rFonts w:ascii="Times New Roman" w:hAnsi="Times New Roman" w:cs="Times New Roman"/>
          <w:noProof/>
          <w:sz w:val="24"/>
          <w:szCs w:val="24"/>
        </w:rPr>
        <w:tab/>
        <w:t xml:space="preserve">Li Y-Y, Ge D-J, Li J-Y, Qi B. Sex Differences in the Morphine-Sparing Effects of Intraoperative Dexmedetomidine in Patient-Controlled Analgesia Following General Anesthesia: A Consort-Prospective, Randomized, Controlled Clinical Trial. Medicine (Baltimore). 2016 Oct;95(18):e3619. </w:t>
      </w:r>
    </w:p>
    <w:p w14:paraId="75AD1F3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130. </w:t>
      </w:r>
      <w:r w:rsidRPr="004738E4">
        <w:rPr>
          <w:rFonts w:ascii="Times New Roman" w:hAnsi="Times New Roman" w:cs="Times New Roman"/>
          <w:noProof/>
          <w:sz w:val="24"/>
          <w:szCs w:val="24"/>
        </w:rPr>
        <w:tab/>
        <w:t xml:space="preserve">Davis GA, Rudy AC, Archer SM, Wermeling DP. Bioavailability of intranasal butorphanol administered from a single-dose sprayer. Am J Heal Pharm. 2005 Oct;62(1):48–53. </w:t>
      </w:r>
    </w:p>
    <w:p w14:paraId="0D93E2E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131. </w:t>
      </w:r>
      <w:r w:rsidRPr="004738E4">
        <w:rPr>
          <w:rFonts w:ascii="Times New Roman" w:hAnsi="Times New Roman" w:cs="Times New Roman"/>
          <w:noProof/>
          <w:sz w:val="24"/>
          <w:szCs w:val="24"/>
        </w:rPr>
        <w:tab/>
        <w:t xml:space="preserve">Gear RW, Miaskowski C, Gordon NC, Paul SM, Heller PH, Levine JD. Kappa-opioids produce significantly greater analgesia in women than in men. Nat Med. 1996 Nov;2(11):1248–50. </w:t>
      </w:r>
    </w:p>
    <w:p w14:paraId="7D74112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132. </w:t>
      </w:r>
      <w:r w:rsidRPr="004738E4">
        <w:rPr>
          <w:rFonts w:ascii="Times New Roman" w:hAnsi="Times New Roman" w:cs="Times New Roman"/>
          <w:noProof/>
          <w:sz w:val="24"/>
          <w:szCs w:val="24"/>
        </w:rPr>
        <w:tab/>
        <w:t xml:space="preserve">Abernethy DR, Divoll M, Greenblatt DJ, Ameer B. Obesity, sex, and acetaminophen disposition. Clin Pharmacol Ther. 1982 Jun;31(6):783–90. </w:t>
      </w:r>
    </w:p>
    <w:p w14:paraId="68C3EF1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133. </w:t>
      </w:r>
      <w:r w:rsidRPr="004738E4">
        <w:rPr>
          <w:rFonts w:ascii="Times New Roman" w:hAnsi="Times New Roman" w:cs="Times New Roman"/>
          <w:noProof/>
          <w:sz w:val="24"/>
          <w:szCs w:val="24"/>
        </w:rPr>
        <w:tab/>
        <w:t xml:space="preserve">Court MH, Zhu Z, Masse G, Duan SX, James LP, Harmatz JS, et al. Race, Gender, and Genetic Polymorphism Contribute to Variability in Acetaminophen Pharmacokinetics, Metabolism, and Protein-Adduct Concentrations in Healthy African-American and European-American Volunteers. J Pharmacol Exp Ther. 2017 Sep;362(3):431–40. </w:t>
      </w:r>
    </w:p>
    <w:p w14:paraId="3FB76BF7"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134. </w:t>
      </w:r>
      <w:r w:rsidRPr="004738E4">
        <w:rPr>
          <w:rFonts w:ascii="Times New Roman" w:hAnsi="Times New Roman" w:cs="Times New Roman"/>
          <w:noProof/>
          <w:sz w:val="24"/>
          <w:szCs w:val="24"/>
        </w:rPr>
        <w:tab/>
        <w:t xml:space="preserve">Sood S, Howell J, Sundararajan V, Angus PW, Gow PJ. Paracetamol overdose in Victoria remains a significant health-care burden. J Gastroenterol Hepatol. 2013 Aug;28(8):1356–60. </w:t>
      </w:r>
    </w:p>
    <w:p w14:paraId="7AB5C82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135. </w:t>
      </w:r>
      <w:r w:rsidRPr="004738E4">
        <w:rPr>
          <w:rFonts w:ascii="Times New Roman" w:hAnsi="Times New Roman" w:cs="Times New Roman"/>
          <w:noProof/>
          <w:sz w:val="24"/>
          <w:szCs w:val="24"/>
        </w:rPr>
        <w:tab/>
        <w:t xml:space="preserve">Li C, Martin BC. Trends in emergency department visits attributable to acetaminophen overdoses in the United States: 1993-2007. Pharmacoepidemiol Drug Saf. 2011 Oct;20(8):810–8. </w:t>
      </w:r>
    </w:p>
    <w:p w14:paraId="2ACD8AA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136. </w:t>
      </w:r>
      <w:r w:rsidRPr="004738E4">
        <w:rPr>
          <w:rFonts w:ascii="Times New Roman" w:hAnsi="Times New Roman" w:cs="Times New Roman"/>
          <w:noProof/>
          <w:sz w:val="24"/>
          <w:szCs w:val="24"/>
        </w:rPr>
        <w:tab/>
        <w:t xml:space="preserve">Marino SE, Birnbaum AK, Leppik IE, Conway JM, Musib LC, Brundage RC, et al. Steady-State Carbamazepine Pharmacokinetics Following Oral and Stable-Labeled </w:t>
      </w:r>
      <w:r w:rsidRPr="004738E4">
        <w:rPr>
          <w:rFonts w:ascii="Times New Roman" w:hAnsi="Times New Roman" w:cs="Times New Roman"/>
          <w:noProof/>
          <w:sz w:val="24"/>
          <w:szCs w:val="24"/>
        </w:rPr>
        <w:lastRenderedPageBreak/>
        <w:t xml:space="preserve">Intravenous Administration in Epilepsy Patients: Effects of Race and Sex. Clin Pharmacol Ther. 2012 Oct;91(3):483–8. </w:t>
      </w:r>
    </w:p>
    <w:p w14:paraId="2A4D82A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137. </w:t>
      </w:r>
      <w:r w:rsidRPr="004738E4">
        <w:rPr>
          <w:rFonts w:ascii="Times New Roman" w:hAnsi="Times New Roman" w:cs="Times New Roman"/>
          <w:noProof/>
          <w:sz w:val="24"/>
          <w:szCs w:val="24"/>
        </w:rPr>
        <w:tab/>
        <w:t xml:space="preserve">Besi E, Boniface DR, Cregg R, Zakrzewska JM. Comparison of tolerability and adverse symptoms in oxcarbazepine and carbamazepine in the treatment of trigeminal neuralgia and neuralgiform headaches using the Liverpool Adverse Events Profile (AEP). J Headache Pain. 2015 Oct;16(1):81. </w:t>
      </w:r>
    </w:p>
    <w:p w14:paraId="7A9969B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138. </w:t>
      </w:r>
      <w:r w:rsidRPr="004738E4">
        <w:rPr>
          <w:rFonts w:ascii="Times New Roman" w:hAnsi="Times New Roman" w:cs="Times New Roman"/>
          <w:noProof/>
          <w:sz w:val="24"/>
          <w:szCs w:val="24"/>
        </w:rPr>
        <w:tab/>
        <w:t xml:space="preserve">Vickery PB, Tillery EE, DeFalco AP. Intravenous Carbamazepine for Adults With Seizures. Ann Pharmacother. 2018 Oct;52(3):285–9. </w:t>
      </w:r>
    </w:p>
    <w:p w14:paraId="6A7ACFF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139. </w:t>
      </w:r>
      <w:r w:rsidRPr="004738E4">
        <w:rPr>
          <w:rFonts w:ascii="Times New Roman" w:hAnsi="Times New Roman" w:cs="Times New Roman"/>
          <w:noProof/>
          <w:sz w:val="24"/>
          <w:szCs w:val="24"/>
        </w:rPr>
        <w:tab/>
        <w:t xml:space="preserve">MacPhee GJ, Goldie C, Roulston D, Potter L, Agnew E, Laidlaw J, et al. Effect of carbamazepine on psychomotor performance in naive subjects. Eur J Clin Pharmacol. 1986;30(1):37–42. </w:t>
      </w:r>
    </w:p>
    <w:p w14:paraId="048992F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140. </w:t>
      </w:r>
      <w:r w:rsidRPr="004738E4">
        <w:rPr>
          <w:rFonts w:ascii="Times New Roman" w:hAnsi="Times New Roman" w:cs="Times New Roman"/>
          <w:noProof/>
          <w:sz w:val="24"/>
          <w:szCs w:val="24"/>
        </w:rPr>
        <w:tab/>
        <w:t xml:space="preserve">Sudhop T, Bauer J, Elger CE, Bergmann K. Increased High-Density Lipoprotein Cholesterol in Patients with Epilepsy Treated with Carbamazepine: A Gender-Related Study. Epilepsia. 1999 Oct;40(4):480–4. </w:t>
      </w:r>
    </w:p>
    <w:p w14:paraId="2CD721A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141. </w:t>
      </w:r>
      <w:r w:rsidRPr="004738E4">
        <w:rPr>
          <w:rFonts w:ascii="Times New Roman" w:hAnsi="Times New Roman" w:cs="Times New Roman"/>
          <w:noProof/>
          <w:sz w:val="24"/>
          <w:szCs w:val="24"/>
        </w:rPr>
        <w:tab/>
        <w:t xml:space="preserve">Boyd RA, Turck D, Abel RB, Sedman AJ, Bockbrader HN. Effects of Age and Gender on Single-Dose Pharmacokinetics of Gabapentin. Epilepsia. 1999 Oct;40(4):474–9. </w:t>
      </w:r>
    </w:p>
    <w:p w14:paraId="5434134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142. </w:t>
      </w:r>
      <w:r w:rsidRPr="004738E4">
        <w:rPr>
          <w:rFonts w:ascii="Times New Roman" w:hAnsi="Times New Roman" w:cs="Times New Roman"/>
          <w:noProof/>
          <w:sz w:val="24"/>
          <w:szCs w:val="24"/>
        </w:rPr>
        <w:tab/>
        <w:t xml:space="preserve">Shaparin N, Slattum PW, Bucior I, Nalamachu S. Relationships Among Adverse Events, Disease Characteristics, and Demographics in Treatment of Postherpetic Neuralgia With Gastroretentive Gabapentin: Clin J Pain. 2015 Oct;31(11):983–91. </w:t>
      </w:r>
    </w:p>
    <w:p w14:paraId="6CD3BF4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143. </w:t>
      </w:r>
      <w:r w:rsidRPr="004738E4">
        <w:rPr>
          <w:rFonts w:ascii="Times New Roman" w:hAnsi="Times New Roman" w:cs="Times New Roman"/>
          <w:noProof/>
          <w:sz w:val="24"/>
          <w:szCs w:val="24"/>
        </w:rPr>
        <w:tab/>
        <w:t xml:space="preserve">Vazquez B, Yang H, Williams B, Zhou S, Laurenza A. Perampanel efficacy and safety by gender: Subanalysis of phase III randomized clinical studies in subjects with partial seizures. Epilepsia. 2015 Oct;56(7):e90–4. </w:t>
      </w:r>
    </w:p>
    <w:p w14:paraId="125D69F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144. </w:t>
      </w:r>
      <w:r w:rsidRPr="004738E4">
        <w:rPr>
          <w:rFonts w:ascii="Times New Roman" w:hAnsi="Times New Roman" w:cs="Times New Roman"/>
          <w:noProof/>
          <w:sz w:val="24"/>
          <w:szCs w:val="24"/>
        </w:rPr>
        <w:tab/>
        <w:t xml:space="preserve">Wright CE, Sisson TL, Ichhpurani AK, Peters GR. Steady-State Pharmacokinetic Properties of Pramipexole in Healthy Volunteers. J Clin Pharmacol. 1997 Oct;37(6):520–5. </w:t>
      </w:r>
    </w:p>
    <w:p w14:paraId="24B6457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145. </w:t>
      </w:r>
      <w:r w:rsidRPr="004738E4">
        <w:rPr>
          <w:rFonts w:ascii="Times New Roman" w:hAnsi="Times New Roman" w:cs="Times New Roman"/>
          <w:noProof/>
          <w:sz w:val="24"/>
          <w:szCs w:val="24"/>
        </w:rPr>
        <w:tab/>
        <w:t xml:space="preserve">Hermann R. Effects of age and sex on the disposition of retigabine. Clin Pharmacol Ther. 2003 Oct;73(1):61–70. </w:t>
      </w:r>
    </w:p>
    <w:p w14:paraId="7F93332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146. </w:t>
      </w:r>
      <w:r w:rsidRPr="004738E4">
        <w:rPr>
          <w:rFonts w:ascii="Times New Roman" w:hAnsi="Times New Roman" w:cs="Times New Roman"/>
          <w:noProof/>
          <w:sz w:val="24"/>
          <w:szCs w:val="24"/>
        </w:rPr>
        <w:tab/>
        <w:t xml:space="preserve">Deeks ED. Retigabine (Ezogabine): In Partial-Onset Seizures in Adults with Epilepsy. CNS Drugs. 2011 Oct;25(10):887–900. </w:t>
      </w:r>
    </w:p>
    <w:p w14:paraId="4D1D577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147. </w:t>
      </w:r>
      <w:r w:rsidRPr="004738E4">
        <w:rPr>
          <w:rFonts w:ascii="Times New Roman" w:hAnsi="Times New Roman" w:cs="Times New Roman"/>
          <w:noProof/>
          <w:sz w:val="24"/>
          <w:szCs w:val="24"/>
        </w:rPr>
        <w:tab/>
        <w:t xml:space="preserve">Melkersson KI, Hulting A-L, Rane AJ. Dose requirement and prolactin elevation of antipsychotics in male and female patients with schizophrenia or related psychoses: Gender differences and antipsychotics. Br J Clin Pharmacol. 2002 Oct;51(4):317–24. </w:t>
      </w:r>
    </w:p>
    <w:p w14:paraId="79B198B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148. </w:t>
      </w:r>
      <w:r w:rsidRPr="004738E4">
        <w:rPr>
          <w:rFonts w:ascii="Times New Roman" w:hAnsi="Times New Roman" w:cs="Times New Roman"/>
          <w:noProof/>
          <w:sz w:val="24"/>
          <w:szCs w:val="24"/>
        </w:rPr>
        <w:tab/>
        <w:t xml:space="preserve">Anderson SG, Livingston M, Couchman L, Smith DJ, Connolly M, Miller J, et al. Sex differences in plasma clozapine and norclozapine concentrations in clinical practice and in relation to body mass index and plasma glucose concentrations: a retrospective survey. Ann Gen Psychiatry. 2015 Oct;14(1):39. </w:t>
      </w:r>
    </w:p>
    <w:p w14:paraId="2D3D9E6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149. </w:t>
      </w:r>
      <w:r w:rsidRPr="004738E4">
        <w:rPr>
          <w:rFonts w:ascii="Times New Roman" w:hAnsi="Times New Roman" w:cs="Times New Roman"/>
          <w:noProof/>
          <w:sz w:val="24"/>
          <w:szCs w:val="24"/>
        </w:rPr>
        <w:tab/>
        <w:t xml:space="preserve">Lane HY, Chang YC, Chang WH, Lin SK, Tseng YT, Jann MW. Effects of gender and age on plasma levels of clozapine and its metabolites: analyzed by critical statistics. J Clin Psychiatry. 1999 Jan;60(1):36–40. </w:t>
      </w:r>
    </w:p>
    <w:p w14:paraId="2FF3503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150. </w:t>
      </w:r>
      <w:r w:rsidRPr="004738E4">
        <w:rPr>
          <w:rFonts w:ascii="Times New Roman" w:hAnsi="Times New Roman" w:cs="Times New Roman"/>
          <w:noProof/>
          <w:sz w:val="24"/>
          <w:szCs w:val="24"/>
        </w:rPr>
        <w:tab/>
        <w:t xml:space="preserve">Tang Y, Mao P, Li F-M, Li W, Chen Q, Jiang F, et al. Gender, age, smoking behaviour and plasma clozapine concentrations in 193 Chinese inpatients with schizophrenia. Br J Clin Pharmacol. 2007 Jul;64(1):49–56. </w:t>
      </w:r>
    </w:p>
    <w:p w14:paraId="2458B2D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151. </w:t>
      </w:r>
      <w:r w:rsidRPr="004738E4">
        <w:rPr>
          <w:rFonts w:ascii="Times New Roman" w:hAnsi="Times New Roman" w:cs="Times New Roman"/>
          <w:noProof/>
          <w:sz w:val="24"/>
          <w:szCs w:val="24"/>
        </w:rPr>
        <w:tab/>
        <w:t xml:space="preserve">Ahmed M, Hussain I, O’Brien SM, Dineen B, Griffin D, McDonald C. Prevalence and associations of the metabolic syndrome among patients prescribed clozapine. Ir J Med Sci. 2008 Oct;177(3):205–10. </w:t>
      </w:r>
    </w:p>
    <w:p w14:paraId="79D25ED6" w14:textId="28586D9C"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152. </w:t>
      </w:r>
      <w:r w:rsidRPr="004738E4">
        <w:rPr>
          <w:rFonts w:ascii="Times New Roman" w:hAnsi="Times New Roman" w:cs="Times New Roman"/>
          <w:noProof/>
          <w:sz w:val="24"/>
          <w:szCs w:val="24"/>
        </w:rPr>
        <w:tab/>
        <w:t xml:space="preserve">Ventriglio A, Baldessarini RJ, Vitrani G, Bonfitto I, Cecere AC, Rinaldi A, et al. Metabolic Syndrome in Psychotic Disorder Patients Treated With Oral and Long-Acting Injected Antipsychotics. Front </w:t>
      </w:r>
      <w:r w:rsidR="003C0B42" w:rsidRPr="004738E4">
        <w:rPr>
          <w:rFonts w:ascii="Times New Roman" w:hAnsi="Times New Roman" w:cs="Times New Roman"/>
          <w:noProof/>
          <w:sz w:val="24"/>
          <w:szCs w:val="24"/>
        </w:rPr>
        <w:t>P</w:t>
      </w:r>
      <w:r w:rsidRPr="004738E4">
        <w:rPr>
          <w:rFonts w:ascii="Times New Roman" w:hAnsi="Times New Roman" w:cs="Times New Roman"/>
          <w:noProof/>
          <w:sz w:val="24"/>
          <w:szCs w:val="24"/>
        </w:rPr>
        <w:t xml:space="preserve">sychiatry. 2018;9:744. </w:t>
      </w:r>
    </w:p>
    <w:p w14:paraId="168D2B6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153. </w:t>
      </w:r>
      <w:r w:rsidRPr="004738E4">
        <w:rPr>
          <w:rFonts w:ascii="Times New Roman" w:hAnsi="Times New Roman" w:cs="Times New Roman"/>
          <w:noProof/>
          <w:sz w:val="24"/>
          <w:szCs w:val="24"/>
        </w:rPr>
        <w:tab/>
        <w:t xml:space="preserve">West S, Rowbotham D, Xiong G, Kenedi C. Clozapine induced gastrointestinal hypomotility: A potentially life threatening adverse event. A review of the literature. Gen Hosp Psychiatry. 2017 Oct;46:32–7. </w:t>
      </w:r>
    </w:p>
    <w:p w14:paraId="40C8062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154. </w:t>
      </w:r>
      <w:r w:rsidRPr="004738E4">
        <w:rPr>
          <w:rFonts w:ascii="Times New Roman" w:hAnsi="Times New Roman" w:cs="Times New Roman"/>
          <w:noProof/>
          <w:sz w:val="24"/>
          <w:szCs w:val="24"/>
        </w:rPr>
        <w:tab/>
        <w:t xml:space="preserve">Nielsen J, Meyer JM. Risk factors for ileus in patients with schizophrenia. Schizophr Bull. 2012 May;38(3):592–8. </w:t>
      </w:r>
    </w:p>
    <w:p w14:paraId="54A2102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155. </w:t>
      </w:r>
      <w:r w:rsidRPr="004738E4">
        <w:rPr>
          <w:rFonts w:ascii="Times New Roman" w:hAnsi="Times New Roman" w:cs="Times New Roman"/>
          <w:noProof/>
          <w:sz w:val="24"/>
          <w:szCs w:val="24"/>
        </w:rPr>
        <w:tab/>
        <w:t xml:space="preserve">Lau SL, Muir C, Assur Y, Beach R, Tran B, Bartrop R, et al. Predicting Weight Gain in Patients Treated With Clozapine: The Role of Sex, Body  Mass Index, and Smoking. J Clin Psychopharmacol. 2016 Apr;36(2):120–4. </w:t>
      </w:r>
    </w:p>
    <w:p w14:paraId="6852117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156. </w:t>
      </w:r>
      <w:r w:rsidRPr="004738E4">
        <w:rPr>
          <w:rFonts w:ascii="Times New Roman" w:hAnsi="Times New Roman" w:cs="Times New Roman"/>
          <w:noProof/>
          <w:sz w:val="24"/>
          <w:szCs w:val="24"/>
        </w:rPr>
        <w:tab/>
        <w:t xml:space="preserve">Covell NH, Weissman EM, Essock SM. Weight gain with clozapine compared to first generation antipsychotic medications. Schizophr Bull. 2004;30(2):229–40. </w:t>
      </w:r>
    </w:p>
    <w:p w14:paraId="2F74DAA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157. </w:t>
      </w:r>
      <w:r w:rsidRPr="004738E4">
        <w:rPr>
          <w:rFonts w:ascii="Times New Roman" w:hAnsi="Times New Roman" w:cs="Times New Roman"/>
          <w:noProof/>
          <w:sz w:val="24"/>
          <w:szCs w:val="24"/>
        </w:rPr>
        <w:tab/>
        <w:t xml:space="preserve">Weiss U, Marksteiner J, Kemmler G, Saria A, Aichhorn W. Effects of Age and Sex on Olanzapine Plasma Concentrations. J Clin Psychopharmacol. 2005;25(6):5. </w:t>
      </w:r>
    </w:p>
    <w:p w14:paraId="30F4D2A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158. </w:t>
      </w:r>
      <w:r w:rsidRPr="004738E4">
        <w:rPr>
          <w:rFonts w:ascii="Times New Roman" w:hAnsi="Times New Roman" w:cs="Times New Roman"/>
          <w:noProof/>
          <w:sz w:val="24"/>
          <w:szCs w:val="24"/>
        </w:rPr>
        <w:tab/>
        <w:t xml:space="preserve">Aichhorn W, Marksteiner J, Walch T, Zernig G, Hinterhuber H, Stuppaeck C, et al. Age and Gender Effects on Olanzapine and Risperidone Plasma Concentrations in Children and Adolescents. J Child Adolesc Psychopharmacol. 2007 Oct;17(5):665–73. </w:t>
      </w:r>
    </w:p>
    <w:p w14:paraId="3B42C51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159. </w:t>
      </w:r>
      <w:r w:rsidRPr="004738E4">
        <w:rPr>
          <w:rFonts w:ascii="Times New Roman" w:hAnsi="Times New Roman" w:cs="Times New Roman"/>
          <w:noProof/>
          <w:sz w:val="24"/>
          <w:szCs w:val="24"/>
        </w:rPr>
        <w:tab/>
        <w:t xml:space="preserve">Lipkovich I, Jacobson JG, Caldwell C, Hoffmann VP, Kryzhanovskaya L, Beasley CM. Early predictors of weight gain risk during treatment with olanzapine: analysis of pooled data from 58 clinical trials. Psychopharmacol Bull. 2009;42(4):23–39. </w:t>
      </w:r>
    </w:p>
    <w:p w14:paraId="0B8FA41A" w14:textId="6371AF05"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160. </w:t>
      </w:r>
      <w:r w:rsidRPr="004738E4">
        <w:rPr>
          <w:rFonts w:ascii="Times New Roman" w:hAnsi="Times New Roman" w:cs="Times New Roman"/>
          <w:noProof/>
          <w:sz w:val="24"/>
          <w:szCs w:val="24"/>
        </w:rPr>
        <w:tab/>
        <w:t xml:space="preserve">Castellani LN, Costa-Dookhan KA, McIntyre WB, Wright DC, Flowers SA, Hahn MK, et al. Preclinical and Clinical Sex Differences in Antipsychotic-Induced Metabolic Disturbances: A Narrative Review of Adiposity and Glucose Metabolism. J </w:t>
      </w:r>
      <w:r w:rsidR="003C0B42" w:rsidRPr="004738E4">
        <w:rPr>
          <w:rFonts w:ascii="Times New Roman" w:hAnsi="Times New Roman" w:cs="Times New Roman"/>
          <w:noProof/>
          <w:sz w:val="24"/>
          <w:szCs w:val="24"/>
        </w:rPr>
        <w:t>P</w:t>
      </w:r>
      <w:r w:rsidRPr="004738E4">
        <w:rPr>
          <w:rFonts w:ascii="Times New Roman" w:hAnsi="Times New Roman" w:cs="Times New Roman"/>
          <w:noProof/>
          <w:sz w:val="24"/>
          <w:szCs w:val="24"/>
        </w:rPr>
        <w:t xml:space="preserve">sychiatry brain Sci. 2019;4. </w:t>
      </w:r>
    </w:p>
    <w:p w14:paraId="20973B6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161. </w:t>
      </w:r>
      <w:r w:rsidRPr="004738E4">
        <w:rPr>
          <w:rFonts w:ascii="Times New Roman" w:hAnsi="Times New Roman" w:cs="Times New Roman"/>
          <w:noProof/>
          <w:sz w:val="24"/>
          <w:szCs w:val="24"/>
        </w:rPr>
        <w:tab/>
        <w:t xml:space="preserve">Parekh A, Fadiran EO, Uhl K, Throckmorton DC. Adverse effects in women: implications for drug development and regulatory policies. Expert Rev Clin Pharmacol. 2011 Oct;4(4):453–66. </w:t>
      </w:r>
    </w:p>
    <w:p w14:paraId="64CDF27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162. </w:t>
      </w:r>
      <w:r w:rsidRPr="004738E4">
        <w:rPr>
          <w:rFonts w:ascii="Times New Roman" w:hAnsi="Times New Roman" w:cs="Times New Roman"/>
          <w:noProof/>
          <w:sz w:val="24"/>
          <w:szCs w:val="24"/>
        </w:rPr>
        <w:tab/>
        <w:t xml:space="preserve">Eugene AR, Masiak J. A pharmacodynamic modelling and simulation study identifying gender differences of daily olanzapine dose and dopamine D2-receptor occupancy. Nord J Psychiatry. 2017 Oct;71(6):417–24. </w:t>
      </w:r>
    </w:p>
    <w:p w14:paraId="4BDAE31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163. </w:t>
      </w:r>
      <w:r w:rsidRPr="004738E4">
        <w:rPr>
          <w:rFonts w:ascii="Times New Roman" w:hAnsi="Times New Roman" w:cs="Times New Roman"/>
          <w:noProof/>
          <w:sz w:val="24"/>
          <w:szCs w:val="24"/>
        </w:rPr>
        <w:tab/>
        <w:t xml:space="preserve">Castberg I, Westin AA, Skogvoll E, Spigset O. Effects of age and gender on the serum levels of clozapine, olanzapine, risperidone, and quetiapine. Acta Psychiatr Scand. 2017 </w:t>
      </w:r>
      <w:r w:rsidRPr="004738E4">
        <w:rPr>
          <w:rFonts w:ascii="Times New Roman" w:hAnsi="Times New Roman" w:cs="Times New Roman"/>
          <w:noProof/>
          <w:sz w:val="24"/>
          <w:szCs w:val="24"/>
        </w:rPr>
        <w:lastRenderedPageBreak/>
        <w:t xml:space="preserve">Oct;136(5):455–64. </w:t>
      </w:r>
    </w:p>
    <w:p w14:paraId="2745F358"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164. </w:t>
      </w:r>
      <w:r w:rsidRPr="004738E4">
        <w:rPr>
          <w:rFonts w:ascii="Times New Roman" w:hAnsi="Times New Roman" w:cs="Times New Roman"/>
          <w:noProof/>
          <w:sz w:val="24"/>
          <w:szCs w:val="24"/>
        </w:rPr>
        <w:tab/>
        <w:t xml:space="preserve">Molden E, Waade RB, Hoff M, Haslemo T. Impact of Ageing on Serum Concentrations of Risperidone and Its Active Metabolite in Patients with Known </w:t>
      </w:r>
      <w:r w:rsidRPr="004738E4">
        <w:rPr>
          <w:rFonts w:ascii="Times New Roman" w:hAnsi="Times New Roman" w:cs="Times New Roman"/>
          <w:i/>
          <w:iCs/>
          <w:noProof/>
          <w:sz w:val="24"/>
          <w:szCs w:val="24"/>
        </w:rPr>
        <w:t>CYP2D6</w:t>
      </w:r>
      <w:r w:rsidRPr="004738E4">
        <w:rPr>
          <w:rFonts w:ascii="Times New Roman" w:hAnsi="Times New Roman" w:cs="Times New Roman"/>
          <w:noProof/>
          <w:sz w:val="24"/>
          <w:szCs w:val="24"/>
        </w:rPr>
        <w:t xml:space="preserve"> Genotype. Basic Clin Pharmacol Toxicol. 2016 Oct;119(5):470–5. </w:t>
      </w:r>
    </w:p>
    <w:p w14:paraId="41954D9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165. </w:t>
      </w:r>
      <w:r w:rsidRPr="004738E4">
        <w:rPr>
          <w:rFonts w:ascii="Times New Roman" w:hAnsi="Times New Roman" w:cs="Times New Roman"/>
          <w:noProof/>
          <w:sz w:val="24"/>
          <w:szCs w:val="24"/>
        </w:rPr>
        <w:tab/>
        <w:t xml:space="preserve">Eberhard J, Lindstrom E, Holstad M, Levander S. Prolactin level during 5 years of risperidone treatment in patients with psychotic disorders. Acta Psychiatr Scand. 2007 Apr;115(4):268–76. </w:t>
      </w:r>
    </w:p>
    <w:p w14:paraId="17CE4C6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166. </w:t>
      </w:r>
      <w:r w:rsidRPr="004738E4">
        <w:rPr>
          <w:rFonts w:ascii="Times New Roman" w:hAnsi="Times New Roman" w:cs="Times New Roman"/>
          <w:noProof/>
          <w:sz w:val="24"/>
          <w:szCs w:val="24"/>
        </w:rPr>
        <w:tab/>
        <w:t xml:space="preserve">Yasui-Furukori N, Tsuchimine S, Saito M, Nakagami T, Sato Y, Kaneko S. Association between major Multidrug Resistance 1 (MDR1) gene polymorphisms and plasma concentration of prolactin during risperidone treatment in schizophrenic patients. Prog Neuro-Psychopharmacology Biol Psychiatry. 2007 Oct;31(6):1230–4. </w:t>
      </w:r>
    </w:p>
    <w:p w14:paraId="6057091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167. </w:t>
      </w:r>
      <w:r w:rsidRPr="004738E4">
        <w:rPr>
          <w:rFonts w:ascii="Times New Roman" w:hAnsi="Times New Roman" w:cs="Times New Roman"/>
          <w:noProof/>
          <w:sz w:val="24"/>
          <w:szCs w:val="24"/>
        </w:rPr>
        <w:tab/>
        <w:t xml:space="preserve">Yasui-Furukori N, Saito M, Tsuchimine S, Nakagami T, Sato Y, Sugawara N, et al. Association between dopamine-related polymorphisms and plasma concentrations of prolactin during risperidone treatment in schizophrenic patients. Prog Neuro-Psychopharmacology Biol Psychiatry. 2008 Oct;32(6):1491–5. </w:t>
      </w:r>
    </w:p>
    <w:p w14:paraId="06050EE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168. </w:t>
      </w:r>
      <w:r w:rsidRPr="004738E4">
        <w:rPr>
          <w:rFonts w:ascii="Times New Roman" w:hAnsi="Times New Roman" w:cs="Times New Roman"/>
          <w:noProof/>
          <w:sz w:val="24"/>
          <w:szCs w:val="24"/>
        </w:rPr>
        <w:tab/>
        <w:t xml:space="preserve">Clevenger C V, Furth PA, Hankinson SE, Schuler LA. The Role of Prolactin in Mammary Carcinoma. Endocr Rev. 2003 Oct;24(1):1–27. </w:t>
      </w:r>
    </w:p>
    <w:p w14:paraId="0B1A63D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169. </w:t>
      </w:r>
      <w:r w:rsidRPr="004738E4">
        <w:rPr>
          <w:rFonts w:ascii="Times New Roman" w:hAnsi="Times New Roman" w:cs="Times New Roman"/>
          <w:noProof/>
          <w:sz w:val="24"/>
          <w:szCs w:val="24"/>
        </w:rPr>
        <w:tab/>
        <w:t xml:space="preserve">Usall J, Suarez D, Haro JM. Gender differences in response to antipsychotic treatment in outpatients with schizophrenia. Psychiatry Res. 2007 Dec;153(3):225–31. </w:t>
      </w:r>
    </w:p>
    <w:p w14:paraId="0E748BA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170. </w:t>
      </w:r>
      <w:r w:rsidRPr="004738E4">
        <w:rPr>
          <w:rFonts w:ascii="Times New Roman" w:hAnsi="Times New Roman" w:cs="Times New Roman"/>
          <w:noProof/>
          <w:sz w:val="24"/>
          <w:szCs w:val="24"/>
        </w:rPr>
        <w:tab/>
        <w:t xml:space="preserve">Cabaleiro T, Ochoa D, López-Rodríguez R, Román M, Novalbos J, Ayuso C, et al. Effect of polymorphisms on the pharmacokinetics, pharmacodynamics, and safety of risperidone in healthy volunteers: risperidone pharmacogenetics. Hum Psychopharmacol Clin Exp. 2014 Oct;29(5):459–69. </w:t>
      </w:r>
    </w:p>
    <w:p w14:paraId="281ED5D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171. </w:t>
      </w:r>
      <w:r w:rsidRPr="004738E4">
        <w:rPr>
          <w:rFonts w:ascii="Times New Roman" w:hAnsi="Times New Roman" w:cs="Times New Roman"/>
          <w:noProof/>
          <w:sz w:val="24"/>
          <w:szCs w:val="24"/>
        </w:rPr>
        <w:tab/>
        <w:t xml:space="preserve">Belmonte C, Ochoa D, Román M, Cabaleiro T, Talegón M, Sánchez-Rojas SD, et al. Evaluation of the Relationship Between Pharmacokinetics and the Safety of Aripiprazole and Its Cardiovascular Effects in Healthy Volunteers: J Clin Psychopharmacol. 2016 Oct;36(6):608–14. </w:t>
      </w:r>
    </w:p>
    <w:p w14:paraId="41FDA3B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172. </w:t>
      </w:r>
      <w:r w:rsidRPr="004738E4">
        <w:rPr>
          <w:rFonts w:ascii="Times New Roman" w:hAnsi="Times New Roman" w:cs="Times New Roman"/>
          <w:noProof/>
          <w:sz w:val="24"/>
          <w:szCs w:val="24"/>
        </w:rPr>
        <w:tab/>
        <w:t xml:space="preserve">Greenblatt DJ, Harmatz JS, Shader RI. Sex Differences in Diazepam Protein Binding in Patients with Renal Insufficiency. Pharmacology. 1978 Oct;16(1):26–9. </w:t>
      </w:r>
    </w:p>
    <w:p w14:paraId="3A7DA54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173. </w:t>
      </w:r>
      <w:r w:rsidRPr="004738E4">
        <w:rPr>
          <w:rFonts w:ascii="Times New Roman" w:hAnsi="Times New Roman" w:cs="Times New Roman"/>
          <w:noProof/>
          <w:sz w:val="24"/>
          <w:szCs w:val="24"/>
        </w:rPr>
        <w:tab/>
        <w:t xml:space="preserve">Greenblatt DJ, Allen MD, Harmatz JS, Shader RI. Diazepam disposition determinants. Clin Pharmacol Ther. 1980 Mar;27(3):301–12. </w:t>
      </w:r>
    </w:p>
    <w:p w14:paraId="013B595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174. </w:t>
      </w:r>
      <w:r w:rsidRPr="004738E4">
        <w:rPr>
          <w:rFonts w:ascii="Times New Roman" w:hAnsi="Times New Roman" w:cs="Times New Roman"/>
          <w:noProof/>
          <w:sz w:val="24"/>
          <w:szCs w:val="24"/>
        </w:rPr>
        <w:tab/>
        <w:t xml:space="preserve">Macleod SM, Giles HG, Bengert B, Liu FF, Sellers EM. Age- and Gender-Related Differences in Diazepam Pharmacokinetics. J Clin Pharmacol. 1979 Oct;19(1):15–9. </w:t>
      </w:r>
    </w:p>
    <w:p w14:paraId="5CDDF97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175. </w:t>
      </w:r>
      <w:r w:rsidRPr="004738E4">
        <w:rPr>
          <w:rFonts w:ascii="Times New Roman" w:hAnsi="Times New Roman" w:cs="Times New Roman"/>
          <w:noProof/>
          <w:sz w:val="24"/>
          <w:szCs w:val="24"/>
        </w:rPr>
        <w:tab/>
        <w:t xml:space="preserve">Palva ES. Gender-related differences in diazepam effects on performance. Med Biol. 1985;63(2):92–5. </w:t>
      </w:r>
    </w:p>
    <w:p w14:paraId="4AB885A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176. </w:t>
      </w:r>
      <w:r w:rsidRPr="004738E4">
        <w:rPr>
          <w:rFonts w:ascii="Times New Roman" w:hAnsi="Times New Roman" w:cs="Times New Roman"/>
          <w:noProof/>
          <w:sz w:val="24"/>
          <w:szCs w:val="24"/>
        </w:rPr>
        <w:tab/>
        <w:t xml:space="preserve">Farkas RH, Unger EF, Temple R. Zolpidem and Driving Impairment — Identifying Persons at Risk. N Engl J Med. 2013 Oct;369(8):689–91. </w:t>
      </w:r>
    </w:p>
    <w:p w14:paraId="23EB3B4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177. </w:t>
      </w:r>
      <w:r w:rsidRPr="004738E4">
        <w:rPr>
          <w:rFonts w:ascii="Times New Roman" w:hAnsi="Times New Roman" w:cs="Times New Roman"/>
          <w:noProof/>
          <w:sz w:val="24"/>
          <w:szCs w:val="24"/>
        </w:rPr>
        <w:tab/>
        <w:t xml:space="preserve">Greenblatt DJ, Harmatz JS, Singh NN, Steinberg F, Roth T, Moline ML, et al. Gender </w:t>
      </w:r>
      <w:r w:rsidRPr="004738E4">
        <w:rPr>
          <w:rFonts w:ascii="Times New Roman" w:hAnsi="Times New Roman" w:cs="Times New Roman"/>
          <w:noProof/>
          <w:sz w:val="24"/>
          <w:szCs w:val="24"/>
        </w:rPr>
        <w:lastRenderedPageBreak/>
        <w:t xml:space="preserve">differences in pharmacokinetics and pharmacodynamics of zolpidem following sublingual administration: The Journal of Clinical Pharmacology. J Clin Pharmacol. 2014 Oct;54(3):282–90. </w:t>
      </w:r>
    </w:p>
    <w:p w14:paraId="124E82D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178. </w:t>
      </w:r>
      <w:r w:rsidRPr="004738E4">
        <w:rPr>
          <w:rFonts w:ascii="Times New Roman" w:hAnsi="Times New Roman" w:cs="Times New Roman"/>
          <w:noProof/>
          <w:sz w:val="24"/>
          <w:szCs w:val="24"/>
        </w:rPr>
        <w:tab/>
        <w:t xml:space="preserve">Verster JC, Roth T. Gender Differences in Highway Driving Performance After Administration of Sleep Medication: A Review of the Literature. Traffic Inj Prev. 2012 Oct;13(3):286–92. </w:t>
      </w:r>
    </w:p>
    <w:p w14:paraId="68FF313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179. </w:t>
      </w:r>
      <w:r w:rsidRPr="004738E4">
        <w:rPr>
          <w:rFonts w:ascii="Times New Roman" w:hAnsi="Times New Roman" w:cs="Times New Roman"/>
          <w:noProof/>
          <w:sz w:val="24"/>
          <w:szCs w:val="24"/>
        </w:rPr>
        <w:tab/>
        <w:t xml:space="preserve">Yang Y-H, Lai J-N, Lee C-H, Wang J-D, Chen P-C. Increased Risk of Hospitalization Related to Motor Vehicle Accidents Among People Taking Zolpidem: A Case–Crossover Study. J Epidemiol. 2011 Oct;21(1):37–43. </w:t>
      </w:r>
    </w:p>
    <w:p w14:paraId="211048D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180. </w:t>
      </w:r>
      <w:r w:rsidRPr="004738E4">
        <w:rPr>
          <w:rFonts w:ascii="Times New Roman" w:hAnsi="Times New Roman" w:cs="Times New Roman"/>
          <w:noProof/>
          <w:sz w:val="24"/>
          <w:szCs w:val="24"/>
        </w:rPr>
        <w:tab/>
        <w:t xml:space="preserve">Norman JL, Fixen DR, Saseen JJ, Saba LM, Linnebur SA. Zolpidem prescribing practices before and after Food and Drug Administration required product labeling changes. SAGE Open Med. 2017 Oct;5:205031211770768. </w:t>
      </w:r>
    </w:p>
    <w:p w14:paraId="08C7915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181. </w:t>
      </w:r>
      <w:r w:rsidRPr="004738E4">
        <w:rPr>
          <w:rFonts w:ascii="Times New Roman" w:hAnsi="Times New Roman" w:cs="Times New Roman"/>
          <w:noProof/>
          <w:sz w:val="24"/>
          <w:szCs w:val="24"/>
        </w:rPr>
        <w:tab/>
        <w:t xml:space="preserve">Greenblatt DJ, Legangneux E, Harmatz JS, Weinling E, Freeman J, Rice K, et al. Dynamics and Kinetics of a Modified-Release Formulation of Zolpidem: Comparison With Immediate-Release Standard Zolpidem and Placebo. J Clin Pharmacol. 2006 Oct;46(12):1469–80. </w:t>
      </w:r>
    </w:p>
    <w:p w14:paraId="6B1E73C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182. </w:t>
      </w:r>
      <w:r w:rsidRPr="004738E4">
        <w:rPr>
          <w:rFonts w:ascii="Times New Roman" w:hAnsi="Times New Roman" w:cs="Times New Roman"/>
          <w:noProof/>
          <w:sz w:val="24"/>
          <w:szCs w:val="24"/>
        </w:rPr>
        <w:tab/>
        <w:t xml:space="preserve">Greenblatt D, Divoll M, Puri S, Ho I, Zinny M, Shader R. Clobazam kinetics in the elderly. Br J Clin Pharmacol. 1981;12(5):631–6. </w:t>
      </w:r>
    </w:p>
    <w:p w14:paraId="0A4D026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183. </w:t>
      </w:r>
      <w:r w:rsidRPr="004738E4">
        <w:rPr>
          <w:rFonts w:ascii="Times New Roman" w:hAnsi="Times New Roman" w:cs="Times New Roman"/>
          <w:noProof/>
          <w:sz w:val="24"/>
          <w:szCs w:val="24"/>
        </w:rPr>
        <w:tab/>
        <w:t xml:space="preserve">Doty RL, Treem J, Tourbier I, Mirza N. A double-blind study of the influences of eszopiclone on dysgeusia and taste function. Pharmacol Biochem Behav. 2009 Oct;94(2):312–8. </w:t>
      </w:r>
    </w:p>
    <w:p w14:paraId="4761B9D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184. </w:t>
      </w:r>
      <w:r w:rsidRPr="004738E4">
        <w:rPr>
          <w:rFonts w:ascii="Times New Roman" w:hAnsi="Times New Roman" w:cs="Times New Roman"/>
          <w:noProof/>
          <w:sz w:val="24"/>
          <w:szCs w:val="24"/>
        </w:rPr>
        <w:tab/>
        <w:t xml:space="preserve">Wong SL, Cao G, Mack RJ, Granneman GR. Pharmacokinetics of sertindole in healthy young and elderly male and female subjects*. Clin Pharmacol Ther. 1997 Oct;62(2):157–64. </w:t>
      </w:r>
    </w:p>
    <w:p w14:paraId="0B22CB6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185. </w:t>
      </w:r>
      <w:r w:rsidRPr="004738E4">
        <w:rPr>
          <w:rFonts w:ascii="Times New Roman" w:hAnsi="Times New Roman" w:cs="Times New Roman"/>
          <w:noProof/>
          <w:sz w:val="24"/>
          <w:szCs w:val="24"/>
        </w:rPr>
        <w:tab/>
        <w:t xml:space="preserve">Ereshefsky L, Saklad SR, Watanabe MD, Davis CM, Jann MW. Thiothixene pharmacokinetic interactions: a study of hepatic enzyme inducers, clearance inhibitors, and demographic variables. J Clin Psychopharmacol. 1991 Oct;11(5):296–301. </w:t>
      </w:r>
    </w:p>
    <w:p w14:paraId="50E178D8"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186. </w:t>
      </w:r>
      <w:r w:rsidRPr="004738E4">
        <w:rPr>
          <w:rFonts w:ascii="Times New Roman" w:hAnsi="Times New Roman" w:cs="Times New Roman"/>
          <w:noProof/>
          <w:sz w:val="24"/>
          <w:szCs w:val="24"/>
        </w:rPr>
        <w:tab/>
        <w:t xml:space="preserve">Greenblatt DJ, Divoll M, Harmatz JS, Shader RI. Oxazepam kinetics: effects of age and sex. J Pharmacol Exp Ther. 1980 Oct;215(1):86–91. </w:t>
      </w:r>
    </w:p>
    <w:p w14:paraId="74E5D52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187. </w:t>
      </w:r>
      <w:r w:rsidRPr="004738E4">
        <w:rPr>
          <w:rFonts w:ascii="Times New Roman" w:hAnsi="Times New Roman" w:cs="Times New Roman"/>
          <w:noProof/>
          <w:sz w:val="24"/>
          <w:szCs w:val="24"/>
        </w:rPr>
        <w:tab/>
        <w:t xml:space="preserve">Divoll M, Greenblatt DJ, Harmatz JS, Shader RI. Effect of age and gender on disposition of temazepam. J Pharm Sci. 1981 Oct;70(10):1104–7. </w:t>
      </w:r>
    </w:p>
    <w:p w14:paraId="30300FF7"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188. </w:t>
      </w:r>
      <w:r w:rsidRPr="004738E4">
        <w:rPr>
          <w:rFonts w:ascii="Times New Roman" w:hAnsi="Times New Roman" w:cs="Times New Roman"/>
          <w:noProof/>
          <w:sz w:val="24"/>
          <w:szCs w:val="24"/>
        </w:rPr>
        <w:tab/>
        <w:t xml:space="preserve">Gaillot J, Heusse D, Hougton GW, Aurele M, Dreyfus JF. Pharmacokinetics and Metabolism of Zopiclone. Pharmacology. 1983 Oct;27(2):76–91. </w:t>
      </w:r>
    </w:p>
    <w:p w14:paraId="3EE150D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189. </w:t>
      </w:r>
      <w:r w:rsidRPr="004738E4">
        <w:rPr>
          <w:rFonts w:ascii="Times New Roman" w:hAnsi="Times New Roman" w:cs="Times New Roman"/>
          <w:noProof/>
          <w:sz w:val="24"/>
          <w:szCs w:val="24"/>
        </w:rPr>
        <w:tab/>
        <w:t xml:space="preserve">Leufkens TRM, Vermeeren A. Zopiclone’s Residual Effects on Actual Driving Performance in a Standardized Test: A Pooled Analysis of Age and Sex Effects in 4 Placebo-Controlled Studies. Clin Ther. 2014 Oct;36(1):141–50. </w:t>
      </w:r>
    </w:p>
    <w:p w14:paraId="64E8423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190. </w:t>
      </w:r>
      <w:r w:rsidRPr="004738E4">
        <w:rPr>
          <w:rFonts w:ascii="Times New Roman" w:hAnsi="Times New Roman" w:cs="Times New Roman"/>
          <w:noProof/>
          <w:sz w:val="24"/>
          <w:szCs w:val="24"/>
        </w:rPr>
        <w:tab/>
        <w:t xml:space="preserve">Pratt LA. Antidepressant Use Among Persons Aged 12 and Over: United States, 2011–2014. 2017;(283):8. </w:t>
      </w:r>
    </w:p>
    <w:p w14:paraId="3D40411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191. </w:t>
      </w:r>
      <w:r w:rsidRPr="004738E4">
        <w:rPr>
          <w:rFonts w:ascii="Times New Roman" w:hAnsi="Times New Roman" w:cs="Times New Roman"/>
          <w:noProof/>
          <w:sz w:val="24"/>
          <w:szCs w:val="24"/>
        </w:rPr>
        <w:tab/>
        <w:t xml:space="preserve">Hildebrandt MG, Steyerberg EW, Stage KB, Passchier J, Kragh-Soerensen P, Group TDUA. Are Gender Differences Important for the Clinical Effects of Antidepressants? Am J Psychiatry. 2003 Oct;160(9):1643–50. </w:t>
      </w:r>
    </w:p>
    <w:p w14:paraId="650D1F4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192. </w:t>
      </w:r>
      <w:r w:rsidRPr="004738E4">
        <w:rPr>
          <w:rFonts w:ascii="Times New Roman" w:hAnsi="Times New Roman" w:cs="Times New Roman"/>
          <w:noProof/>
          <w:sz w:val="24"/>
          <w:szCs w:val="24"/>
        </w:rPr>
        <w:tab/>
        <w:t xml:space="preserve">Vermeiden M, van den Broek W, Mulder P, Birkenhäger T. Influence of gender and menopausal status on antidepressant treatment response in depressed inpatients. J Psychopharmacol. 2010 Oct;24(4):497–502. </w:t>
      </w:r>
    </w:p>
    <w:p w14:paraId="4375315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193. </w:t>
      </w:r>
      <w:r w:rsidRPr="004738E4">
        <w:rPr>
          <w:rFonts w:ascii="Times New Roman" w:hAnsi="Times New Roman" w:cs="Times New Roman"/>
          <w:noProof/>
          <w:sz w:val="24"/>
          <w:szCs w:val="24"/>
        </w:rPr>
        <w:tab/>
        <w:t xml:space="preserve">Kornstein SG, Schatzberg AF, Thase ME, Yonkers KA, McCullough JP, Keitner GI, et al. Gender Differences in Treatment Response to Sertraline Versus Imipramine in Chronic Depression. Am J Psychiatry. 2000 Oct;157(9):1445–52. </w:t>
      </w:r>
    </w:p>
    <w:p w14:paraId="01F3CFC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194. </w:t>
      </w:r>
      <w:r w:rsidRPr="004738E4">
        <w:rPr>
          <w:rFonts w:ascii="Times New Roman" w:hAnsi="Times New Roman" w:cs="Times New Roman"/>
          <w:noProof/>
          <w:sz w:val="24"/>
          <w:szCs w:val="24"/>
        </w:rPr>
        <w:tab/>
        <w:t xml:space="preserve">Baca E, Garcia-Garcia M, Porras-Chavarino A. Gender differences in treatment response to sertraline versus imipramine in patients with nonmelancholic depressive disorders. Prog Neuro-Psychopharmacology Biol Psychiatry. 2004 Oct;28(1):57–65. </w:t>
      </w:r>
    </w:p>
    <w:p w14:paraId="0177872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195. </w:t>
      </w:r>
      <w:r w:rsidRPr="004738E4">
        <w:rPr>
          <w:rFonts w:ascii="Times New Roman" w:hAnsi="Times New Roman" w:cs="Times New Roman"/>
          <w:noProof/>
          <w:sz w:val="24"/>
          <w:szCs w:val="24"/>
        </w:rPr>
        <w:tab/>
        <w:t xml:space="preserve">Dahl ML, Bertilsson L, Nordin C. Steady-state plasma levels of nortriptyline and its 10-hydroxy metabolite: relationship to the CYP2D6 genotype. Psychopharmacology (Berl). 1996 Feb;123(4):315–9. </w:t>
      </w:r>
    </w:p>
    <w:p w14:paraId="61878B1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196. </w:t>
      </w:r>
      <w:r w:rsidRPr="004738E4">
        <w:rPr>
          <w:rFonts w:ascii="Times New Roman" w:hAnsi="Times New Roman" w:cs="Times New Roman"/>
          <w:noProof/>
          <w:sz w:val="24"/>
          <w:szCs w:val="24"/>
        </w:rPr>
        <w:tab/>
        <w:t xml:space="preserve">Pomara N, Shao B, Choi SJ, Tun H, Suckow RF. Sex-related differences in nortriptyline-induced side-effects among depressed patients. Prog Neuropsychopharmacol Biol Psychiatry. 2001 Jul;25(5):1035–48. </w:t>
      </w:r>
    </w:p>
    <w:p w14:paraId="27EF4E6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197. </w:t>
      </w:r>
      <w:r w:rsidRPr="004738E4">
        <w:rPr>
          <w:rFonts w:ascii="Times New Roman" w:hAnsi="Times New Roman" w:cs="Times New Roman"/>
          <w:noProof/>
          <w:sz w:val="24"/>
          <w:szCs w:val="24"/>
        </w:rPr>
        <w:tab/>
        <w:t xml:space="preserve">Blázquez A, Mas S, Plana MT, Gassó P, Méndez I, Torra M, et al. Plasma Fluoxetine Concentrations and Clinical Improvement in an Adolescent Sample Diagnosed With Major Depressive Disorder, Obsessive-Compulsive Disorder, or Generalized Anxiety Disorder: J Clin Psychopharmacol. 2014 Oct;34(3):318–26. </w:t>
      </w:r>
    </w:p>
    <w:p w14:paraId="22A0CCB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198. </w:t>
      </w:r>
      <w:r w:rsidRPr="004738E4">
        <w:rPr>
          <w:rFonts w:ascii="Times New Roman" w:hAnsi="Times New Roman" w:cs="Times New Roman"/>
          <w:noProof/>
          <w:sz w:val="24"/>
          <w:szCs w:val="24"/>
        </w:rPr>
        <w:tab/>
        <w:t xml:space="preserve">Ferguson JM, Hill H. Pharmacokinetics of Fluoxetine in Elderly Men and Women. Gerontology. 2006 Oct;52(1):45–50. </w:t>
      </w:r>
    </w:p>
    <w:p w14:paraId="0DD9906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199. </w:t>
      </w:r>
      <w:r w:rsidRPr="004738E4">
        <w:rPr>
          <w:rFonts w:ascii="Times New Roman" w:hAnsi="Times New Roman" w:cs="Times New Roman"/>
          <w:noProof/>
          <w:sz w:val="24"/>
          <w:szCs w:val="24"/>
        </w:rPr>
        <w:tab/>
        <w:t xml:space="preserve">Manthey L, Leeds C, Giltay EJ, van Veen T, Vreeburg SA, Penninx BWJH, et al. Antidepressant use and salivary cortisol in depressive and anxiety disorders. Eur Neuropsychopharmacol. 2011 Oct;21(9):691–9. </w:t>
      </w:r>
    </w:p>
    <w:p w14:paraId="6E845FD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200. </w:t>
      </w:r>
      <w:r w:rsidRPr="004738E4">
        <w:rPr>
          <w:rFonts w:ascii="Times New Roman" w:hAnsi="Times New Roman" w:cs="Times New Roman"/>
          <w:noProof/>
          <w:sz w:val="24"/>
          <w:szCs w:val="24"/>
        </w:rPr>
        <w:tab/>
        <w:t xml:space="preserve">Bano S, Akhter S, Afridi MI. Gender based response to fluoxetine hydrochloride medication in endogenous depression. J Coll Physicians Surg Pak. 2004 Mar;14(3):161–5. </w:t>
      </w:r>
    </w:p>
    <w:p w14:paraId="675D479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201. </w:t>
      </w:r>
      <w:r w:rsidRPr="004738E4">
        <w:rPr>
          <w:rFonts w:ascii="Times New Roman" w:hAnsi="Times New Roman" w:cs="Times New Roman"/>
          <w:noProof/>
          <w:sz w:val="24"/>
          <w:szCs w:val="24"/>
        </w:rPr>
        <w:tab/>
        <w:t xml:space="preserve">Pariante CM. Risk Factors for Development of Depression and Psychosis: Glucocorticoid Receptors and Pituitary Implications for Treatment with Antidepressant and Glucocorticoids. Ann N Y Acad Sci. 2009 Oct;1179(1):144–52. </w:t>
      </w:r>
    </w:p>
    <w:p w14:paraId="00915F2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202. </w:t>
      </w:r>
      <w:r w:rsidRPr="004738E4">
        <w:rPr>
          <w:rFonts w:ascii="Times New Roman" w:hAnsi="Times New Roman" w:cs="Times New Roman"/>
          <w:noProof/>
          <w:sz w:val="24"/>
          <w:szCs w:val="24"/>
        </w:rPr>
        <w:tab/>
        <w:t xml:space="preserve">Perlis RH, Beasley Jr. CM, Wines Jr. JD, Tamura RN, Cusin C, Shear D, et al. Treatment-Associated Suicidal Ideation and Adverse Effects in an Open, Multicenter Trial of Fluoxetine for Major Depressive Episodes. Psychother Psychosom. 2007 Oct;76(1):40–6. </w:t>
      </w:r>
    </w:p>
    <w:p w14:paraId="63FB299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203. </w:t>
      </w:r>
      <w:r w:rsidRPr="004738E4">
        <w:rPr>
          <w:rFonts w:ascii="Times New Roman" w:hAnsi="Times New Roman" w:cs="Times New Roman"/>
          <w:noProof/>
          <w:sz w:val="24"/>
          <w:szCs w:val="24"/>
        </w:rPr>
        <w:tab/>
        <w:t xml:space="preserve">Reis M, Olsson G, Carlsson B, Lundmark J, Dahl M-L, Wålinder J, et al. Serum Levels of Citalopram and Its Main Metabolites in Adolescent Patients Treated in a Naturalistic Clinical Setting: J Clin Psychopharmacol. 2002 Oct;22(4):406–13. </w:t>
      </w:r>
    </w:p>
    <w:p w14:paraId="35774CF7"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204. </w:t>
      </w:r>
      <w:r w:rsidRPr="004738E4">
        <w:rPr>
          <w:rFonts w:ascii="Times New Roman" w:hAnsi="Times New Roman" w:cs="Times New Roman"/>
          <w:noProof/>
          <w:sz w:val="24"/>
          <w:szCs w:val="24"/>
        </w:rPr>
        <w:tab/>
        <w:t xml:space="preserve">Unterecker S, Riederer P, Proft F, Maloney J, Deckert J, Pfuhlmann B. Effects of gender </w:t>
      </w:r>
      <w:r w:rsidRPr="004738E4">
        <w:rPr>
          <w:rFonts w:ascii="Times New Roman" w:hAnsi="Times New Roman" w:cs="Times New Roman"/>
          <w:noProof/>
          <w:sz w:val="24"/>
          <w:szCs w:val="24"/>
        </w:rPr>
        <w:lastRenderedPageBreak/>
        <w:t xml:space="preserve">and age on serum concentrations of antidepressants under naturalistic conditions. J Neural Transm. 2013 Oct;120(8):1237–46. </w:t>
      </w:r>
    </w:p>
    <w:p w14:paraId="3CD06D2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205. </w:t>
      </w:r>
      <w:r w:rsidRPr="004738E4">
        <w:rPr>
          <w:rFonts w:ascii="Times New Roman" w:hAnsi="Times New Roman" w:cs="Times New Roman"/>
          <w:noProof/>
          <w:sz w:val="24"/>
          <w:szCs w:val="24"/>
        </w:rPr>
        <w:tab/>
        <w:t xml:space="preserve">Munro CA, Workman CI, Kramer E, Hermann C, Ma Y, Dhawan V, et al. Serotonin modulation of cerebral glucose metabolism: Sex and age effects. Synapse. 2012 Oct;66(11):955–64. </w:t>
      </w:r>
    </w:p>
    <w:p w14:paraId="22F77D2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206. </w:t>
      </w:r>
      <w:r w:rsidRPr="004738E4">
        <w:rPr>
          <w:rFonts w:ascii="Times New Roman" w:hAnsi="Times New Roman" w:cs="Times New Roman"/>
          <w:noProof/>
          <w:sz w:val="24"/>
          <w:szCs w:val="24"/>
        </w:rPr>
        <w:tab/>
        <w:t xml:space="preserve">Barclay TS, Lee AJ. Citalopram-associated SIADH. Ann Pharmacother. 2002 Oct;36(10):1558–63. </w:t>
      </w:r>
    </w:p>
    <w:p w14:paraId="0B8A20A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207. </w:t>
      </w:r>
      <w:r w:rsidRPr="004738E4">
        <w:rPr>
          <w:rFonts w:ascii="Times New Roman" w:hAnsi="Times New Roman" w:cs="Times New Roman"/>
          <w:noProof/>
          <w:sz w:val="24"/>
          <w:szCs w:val="24"/>
        </w:rPr>
        <w:tab/>
        <w:t xml:space="preserve">Ronfeld RA, Tremaine LM, Wilner KD. Pharmacokinetics of Sertraline and its N-Demethyl Metabolite in Elderly and Young Male and Female Volunteers: Clin Pharmacokinet. 1997 Oct;32(Supplement 1):22–30. </w:t>
      </w:r>
    </w:p>
    <w:p w14:paraId="4D13A9C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208. </w:t>
      </w:r>
      <w:r w:rsidRPr="004738E4">
        <w:rPr>
          <w:rFonts w:ascii="Times New Roman" w:hAnsi="Times New Roman" w:cs="Times New Roman"/>
          <w:noProof/>
          <w:sz w:val="24"/>
          <w:szCs w:val="24"/>
        </w:rPr>
        <w:tab/>
        <w:t xml:space="preserve">Preskorn SH. Clinically Relevant Pharmacology of Selective Serotonin Reuptake Inhibitors: An Overview with Emphasis on Pharmacokinetics and Effects on Oxidative Drug Metabolism. Clin Pharmacokinet. 1997 Oct;32(Supplement 1):1–21. </w:t>
      </w:r>
    </w:p>
    <w:p w14:paraId="0665A5A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209. </w:t>
      </w:r>
      <w:r w:rsidRPr="004738E4">
        <w:rPr>
          <w:rFonts w:ascii="Times New Roman" w:hAnsi="Times New Roman" w:cs="Times New Roman"/>
          <w:noProof/>
          <w:sz w:val="24"/>
          <w:szCs w:val="24"/>
        </w:rPr>
        <w:tab/>
        <w:t xml:space="preserve">Warrington SJ. Clinical implications of the pharmacology of sertraline. Int Clin Psychopharmacol. 1991 Dec;6 Suppl 2:11–21. </w:t>
      </w:r>
    </w:p>
    <w:p w14:paraId="049056B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210. </w:t>
      </w:r>
      <w:r w:rsidRPr="004738E4">
        <w:rPr>
          <w:rFonts w:ascii="Times New Roman" w:hAnsi="Times New Roman" w:cs="Times New Roman"/>
          <w:noProof/>
          <w:sz w:val="24"/>
          <w:szCs w:val="24"/>
        </w:rPr>
        <w:tab/>
        <w:t xml:space="preserve">Deligiannidis KM, Rothschild AJ, Barton BA, Kroll-Desrosiers AR, Meyers BS, Flint AJ, et al. A Gender Analysis of the Study of Pharmacotherapy of Psychotic Depression (STOP-PD): Gender and Age as Predictors of Response and Treatment-Associated Changes in Body Mass Index and Metabolic Measures. J Clin Psychiatry. 2013 Oct;74(10):1003–9. </w:t>
      </w:r>
    </w:p>
    <w:p w14:paraId="305AEDD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211. </w:t>
      </w:r>
      <w:r w:rsidRPr="004738E4">
        <w:rPr>
          <w:rFonts w:ascii="Times New Roman" w:hAnsi="Times New Roman" w:cs="Times New Roman"/>
          <w:noProof/>
          <w:sz w:val="24"/>
          <w:szCs w:val="24"/>
        </w:rPr>
        <w:tab/>
        <w:t xml:space="preserve">Stewart JJ, Berkel HJ, Parish RC, Simar MR, Syed A, Bocchini JA, et al. Single-Dose Pharmacokinetics of Bupropion in Adolescents: Effects of Smoking Status and Gender. J Clin Pharmacol. 2001 Oct;41(7):770–8. </w:t>
      </w:r>
    </w:p>
    <w:p w14:paraId="2B64132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212. </w:t>
      </w:r>
      <w:r w:rsidRPr="004738E4">
        <w:rPr>
          <w:rFonts w:ascii="Times New Roman" w:hAnsi="Times New Roman" w:cs="Times New Roman"/>
          <w:noProof/>
          <w:sz w:val="24"/>
          <w:szCs w:val="24"/>
        </w:rPr>
        <w:tab/>
        <w:t xml:space="preserve">Macaluso M, Zackula R, D’Empaire I, Baker B, Liow K, Preskorn SH. Twenty Percent of a Representative Sample of Patients Taking Bupropion Have Abnormal, Asymptomatic Electroencephalographic Findings: J Clin Psychopharmacol. 2010 Oct;30(3):312–7. </w:t>
      </w:r>
    </w:p>
    <w:p w14:paraId="393F66C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213. </w:t>
      </w:r>
      <w:r w:rsidRPr="004738E4">
        <w:rPr>
          <w:rFonts w:ascii="Times New Roman" w:hAnsi="Times New Roman" w:cs="Times New Roman"/>
          <w:noProof/>
          <w:sz w:val="24"/>
          <w:szCs w:val="24"/>
        </w:rPr>
        <w:tab/>
        <w:t xml:space="preserve">Davidson J. Seizures and bupropion: a review. J Clin Psychiatry. 1989 Jul;50(7):256–61. </w:t>
      </w:r>
    </w:p>
    <w:p w14:paraId="5057CA0C"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214. </w:t>
      </w:r>
      <w:r w:rsidRPr="004738E4">
        <w:rPr>
          <w:rFonts w:ascii="Times New Roman" w:hAnsi="Times New Roman" w:cs="Times New Roman"/>
          <w:noProof/>
          <w:sz w:val="24"/>
          <w:szCs w:val="24"/>
        </w:rPr>
        <w:tab/>
        <w:t xml:space="preserve">Patrick KS, Straughn AB, Minhinnett RR, Yeatts SD, Herrin AE, DeVane CL, et al. Influence of Ethanol and Gender on Methylphenidate Pharmacokinetics and Pharmacodynamics. Clin Pharmacol Ther. 2007 Oct;81(3):346–53. </w:t>
      </w:r>
    </w:p>
    <w:p w14:paraId="52EF06B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215. </w:t>
      </w:r>
      <w:r w:rsidRPr="004738E4">
        <w:rPr>
          <w:rFonts w:ascii="Times New Roman" w:hAnsi="Times New Roman" w:cs="Times New Roman"/>
          <w:noProof/>
          <w:sz w:val="24"/>
          <w:szCs w:val="24"/>
        </w:rPr>
        <w:tab/>
        <w:t xml:space="preserve">Sonuga-Barke EJS, Coghill D, Markowitz JS, Swanson JM, Vandenberghe M, Hatch SJ. Sex Differences in the Response of Children With ADHD to Once-Daily Formulations of Methylphenidate. J Am Acad Child Adolesc Psychiatry. 2007 Oct;46(6):701–10. </w:t>
      </w:r>
    </w:p>
    <w:p w14:paraId="36E0E0C9"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216. </w:t>
      </w:r>
      <w:r w:rsidRPr="004738E4">
        <w:rPr>
          <w:rFonts w:ascii="Times New Roman" w:hAnsi="Times New Roman" w:cs="Times New Roman"/>
          <w:noProof/>
          <w:sz w:val="24"/>
          <w:szCs w:val="24"/>
        </w:rPr>
        <w:tab/>
        <w:t xml:space="preserve">Abernethy DR, Greenblatt DJ, Shader RI. Imipramine and desipramine disposition in the elderly. J Pharmacol Exp Ther. 1985 Jan;232(1):183–8. </w:t>
      </w:r>
    </w:p>
    <w:p w14:paraId="6C1C5E1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217. </w:t>
      </w:r>
      <w:r w:rsidRPr="004738E4">
        <w:rPr>
          <w:rFonts w:ascii="Times New Roman" w:hAnsi="Times New Roman" w:cs="Times New Roman"/>
          <w:noProof/>
          <w:sz w:val="24"/>
          <w:szCs w:val="24"/>
        </w:rPr>
        <w:tab/>
        <w:t xml:space="preserve">Cohen LG, Biederman J, Wilens TE, Spencer TJ, Mick E, Faraone S V, et al. Desipramine Clearance in Children and Adolescents: Absence of Effect of Development and Gender. J Am Acad Child Adolesc Psychiatry. 1999 Oct;38(1):79–85. </w:t>
      </w:r>
    </w:p>
    <w:p w14:paraId="1752F88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218. </w:t>
      </w:r>
      <w:r w:rsidRPr="004738E4">
        <w:rPr>
          <w:rFonts w:ascii="Times New Roman" w:hAnsi="Times New Roman" w:cs="Times New Roman"/>
          <w:noProof/>
          <w:sz w:val="24"/>
          <w:szCs w:val="24"/>
        </w:rPr>
        <w:tab/>
        <w:t xml:space="preserve">Gex-Fabry M, Eap CB, Oneda B, Gervasoni N, Aubry J-M, Bondolfi G, et al. CYP2D6 and ABCB1 genetic variability: influence on paroxetine plasma level and therapeutic response. Ther Drug Monit. 2008 Aug;30(4):474–82. </w:t>
      </w:r>
    </w:p>
    <w:p w14:paraId="6515B1F4"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219. </w:t>
      </w:r>
      <w:r w:rsidRPr="004738E4">
        <w:rPr>
          <w:rFonts w:ascii="Times New Roman" w:hAnsi="Times New Roman" w:cs="Times New Roman"/>
          <w:noProof/>
          <w:sz w:val="24"/>
          <w:szCs w:val="24"/>
        </w:rPr>
        <w:tab/>
        <w:t xml:space="preserve">Ballenger JC, Wheadon DE, Steiner M, Bushnell W, Gergel IP. Double-Blind, Fixed-Dose, Placebo-Controlled Study of Paroxetine in the Treatment of Panic Disorder. Am J Psychiatry. 1998 Oct;155(1):36–42. </w:t>
      </w:r>
    </w:p>
    <w:p w14:paraId="0C58C618"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220. </w:t>
      </w:r>
      <w:r w:rsidRPr="004738E4">
        <w:rPr>
          <w:rFonts w:ascii="Times New Roman" w:hAnsi="Times New Roman" w:cs="Times New Roman"/>
          <w:noProof/>
          <w:sz w:val="24"/>
          <w:szCs w:val="24"/>
        </w:rPr>
        <w:tab/>
        <w:t xml:space="preserve">Härtter S, Wetzel H, Hammes E, Hiemke C. Inhibition of antidepressant demethylation and hydroxylation by fluvoxamine in depressed patients. Psychopharmacology (Berl). 1993 Oct;110(3):302–8. </w:t>
      </w:r>
    </w:p>
    <w:p w14:paraId="44B4422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221. </w:t>
      </w:r>
      <w:r w:rsidRPr="004738E4">
        <w:rPr>
          <w:rFonts w:ascii="Times New Roman" w:hAnsi="Times New Roman" w:cs="Times New Roman"/>
          <w:noProof/>
          <w:sz w:val="24"/>
          <w:szCs w:val="24"/>
        </w:rPr>
        <w:tab/>
        <w:t xml:space="preserve">Timmer C, Paanakker J, Van Hal H. Pharmacokinetics of Mirtazapine from Orally Administered Tablets: Influence of Gender, Age and Treatment Regimen. Hum Psychopharmacol Clin Exp. 1996;11(6):497–509. </w:t>
      </w:r>
    </w:p>
    <w:p w14:paraId="525A142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222. </w:t>
      </w:r>
      <w:r w:rsidRPr="004738E4">
        <w:rPr>
          <w:rFonts w:ascii="Times New Roman" w:hAnsi="Times New Roman" w:cs="Times New Roman"/>
          <w:noProof/>
          <w:sz w:val="24"/>
          <w:szCs w:val="24"/>
        </w:rPr>
        <w:tab/>
        <w:t xml:space="preserve">Hulst LK, Fleishaker JC, Peters GR, Harry JD, Wright DM, Ward P. Effect of age and gender on tirilazad pharmacokinetics in humans. Clin Pharmacol Ther. 1994 Apr;55(4):378–84. </w:t>
      </w:r>
    </w:p>
    <w:p w14:paraId="64C3008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223. </w:t>
      </w:r>
      <w:r w:rsidRPr="004738E4">
        <w:rPr>
          <w:rFonts w:ascii="Times New Roman" w:hAnsi="Times New Roman" w:cs="Times New Roman"/>
          <w:noProof/>
          <w:sz w:val="24"/>
          <w:szCs w:val="24"/>
        </w:rPr>
        <w:tab/>
        <w:t xml:space="preserve">Fleishaker JC, Hulst-Pearson LK, Peters GR. Effect of Gender and Menopausal Status on the Pharmacokinetics of Tirilazad Mesylate in Healthy Subjects. Am J Ther. 1995 Aug;2(8):553–60. </w:t>
      </w:r>
    </w:p>
    <w:p w14:paraId="27F8A412"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224. </w:t>
      </w:r>
      <w:r w:rsidRPr="004738E4">
        <w:rPr>
          <w:rFonts w:ascii="Times New Roman" w:hAnsi="Times New Roman" w:cs="Times New Roman"/>
          <w:noProof/>
          <w:sz w:val="24"/>
          <w:szCs w:val="24"/>
        </w:rPr>
        <w:tab/>
        <w:t xml:space="preserve">Marshall LF, Marshall SB. Pitfalls and Advances from the International Tirilazad Trial in Moderate and Severe Head Injury. J Neurotrauma. 1995 Oct;12(5):929–32. </w:t>
      </w:r>
    </w:p>
    <w:p w14:paraId="08BB1CA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225. </w:t>
      </w:r>
      <w:r w:rsidRPr="004738E4">
        <w:rPr>
          <w:rFonts w:ascii="Times New Roman" w:hAnsi="Times New Roman" w:cs="Times New Roman"/>
          <w:noProof/>
          <w:sz w:val="24"/>
          <w:szCs w:val="24"/>
        </w:rPr>
        <w:tab/>
        <w:t xml:space="preserve">Ann Panetta J, Srinivasan U. Gender Based Medicine. In: Annual Reports in Medicinal Chemistry. Elsevier; 1998. p. 355–63. </w:t>
      </w:r>
    </w:p>
    <w:p w14:paraId="0D46416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226. </w:t>
      </w:r>
      <w:r w:rsidRPr="004738E4">
        <w:rPr>
          <w:rFonts w:ascii="Times New Roman" w:hAnsi="Times New Roman" w:cs="Times New Roman"/>
          <w:noProof/>
          <w:sz w:val="24"/>
          <w:szCs w:val="24"/>
        </w:rPr>
        <w:tab/>
        <w:t xml:space="preserve">Nasveld P, Kitchener S, Edstein M, Rieckmann K. Comparison of tafenoquine (WR238605) and primaquine in the post-exposure (terminal) prophylaxis of vivax malaria in Australian Defence Force personnel. Trans R Soc Trop Med Hyg. 2002;96(6):683–4. </w:t>
      </w:r>
    </w:p>
    <w:p w14:paraId="5B46E78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227. </w:t>
      </w:r>
      <w:r w:rsidRPr="004738E4">
        <w:rPr>
          <w:rFonts w:ascii="Times New Roman" w:hAnsi="Times New Roman" w:cs="Times New Roman"/>
          <w:noProof/>
          <w:sz w:val="24"/>
          <w:szCs w:val="24"/>
        </w:rPr>
        <w:tab/>
        <w:t xml:space="preserve">Honig PK, Wortham DC, Hull R, Zamani K, Smith JE, Cantilena LR. Itraconazole Affects Single-Dose Terfenadine Pharmacokinetics and Cardiac Repolarization Pharmacodynamics. J Clin Pharmacol. 1993 Oct;33(12):1201–6. </w:t>
      </w:r>
    </w:p>
    <w:p w14:paraId="4A2BFB5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228. </w:t>
      </w:r>
      <w:r w:rsidRPr="004738E4">
        <w:rPr>
          <w:rFonts w:ascii="Times New Roman" w:hAnsi="Times New Roman" w:cs="Times New Roman"/>
          <w:noProof/>
          <w:sz w:val="24"/>
          <w:szCs w:val="24"/>
        </w:rPr>
        <w:tab/>
        <w:t xml:space="preserve">Ebert SN, Liu X-K, Woosley RL. Female Gender as a Risk Factor for Drug-Induced Cardiac Arrhythmias: Evaluation of Clinical and Experimental Evidence. J Women’s Heal. 1998 Oct;7(5):547–57. </w:t>
      </w:r>
    </w:p>
    <w:p w14:paraId="1456B47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229. </w:t>
      </w:r>
      <w:r w:rsidRPr="004738E4">
        <w:rPr>
          <w:rFonts w:ascii="Times New Roman" w:hAnsi="Times New Roman" w:cs="Times New Roman"/>
          <w:noProof/>
          <w:sz w:val="24"/>
          <w:szCs w:val="24"/>
        </w:rPr>
        <w:tab/>
        <w:t>US-GAO. Drug Safety: Most Drugs Withdrawn in Recent Years Had Greater Health Risks for Women [Internet]. 2001. p. 1–8. Available from: https://www.gao.gov/products/GAO-01-286R</w:t>
      </w:r>
    </w:p>
    <w:p w14:paraId="5D55197B"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230. </w:t>
      </w:r>
      <w:r w:rsidRPr="004738E4">
        <w:rPr>
          <w:rFonts w:ascii="Times New Roman" w:hAnsi="Times New Roman" w:cs="Times New Roman"/>
          <w:noProof/>
          <w:sz w:val="24"/>
          <w:szCs w:val="24"/>
        </w:rPr>
        <w:tab/>
        <w:t xml:space="preserve">Nicolas J-M, Espie P, Molimard M. Gender and interindividual variability in pharmacokinetics. Drug Metab Rev. 2009 Oct;41(3):408–21. </w:t>
      </w:r>
    </w:p>
    <w:p w14:paraId="24BF79FF" w14:textId="1B54393F"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231. </w:t>
      </w:r>
      <w:r w:rsidRPr="004738E4">
        <w:rPr>
          <w:rFonts w:ascii="Times New Roman" w:hAnsi="Times New Roman" w:cs="Times New Roman"/>
          <w:noProof/>
          <w:sz w:val="24"/>
          <w:szCs w:val="24"/>
        </w:rPr>
        <w:tab/>
        <w:t xml:space="preserve">Vermeeren A, O’Hanlon JF. Fexofenadine’s effects, alone and with alcohol, on actual driving and psychomotor performance. J Allergy Clin Immunol. 1998 Oct;101(3):306–11. </w:t>
      </w:r>
    </w:p>
    <w:p w14:paraId="60B7FE35"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lastRenderedPageBreak/>
        <w:t xml:space="preserve">232. </w:t>
      </w:r>
      <w:r w:rsidRPr="004738E4">
        <w:rPr>
          <w:rFonts w:ascii="Times New Roman" w:hAnsi="Times New Roman" w:cs="Times New Roman"/>
          <w:noProof/>
          <w:sz w:val="24"/>
          <w:szCs w:val="24"/>
        </w:rPr>
        <w:tab/>
        <w:t xml:space="preserve">Pitsiu M, Hussein Z, Majid O, Aarons L, De Longueville M, Stockis A. Retrospective population pharmacokinetic analysis of cetirizine in children aged 6 months to 12 years: Retrospective population pharmacokinetic analysis of cetirizine in children. Br J Clin Pharmacol. 2003 Oct;57(4):402–11. </w:t>
      </w:r>
    </w:p>
    <w:p w14:paraId="0DA0178A"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233. </w:t>
      </w:r>
      <w:r w:rsidRPr="004738E4">
        <w:rPr>
          <w:rFonts w:ascii="Times New Roman" w:hAnsi="Times New Roman" w:cs="Times New Roman"/>
          <w:noProof/>
          <w:sz w:val="24"/>
          <w:szCs w:val="24"/>
        </w:rPr>
        <w:tab/>
        <w:t xml:space="preserve">Mesnil F, Mentre F, Dubruc C, Thenot J-P, Mallet A. Population Pharmacokinetic Analysis of Mizolastine and Validation from Sparse Data on Patients Using the Nonparametric Maximum Likelihood Method. J Pharmacokinet Biopharm. 1998;26(2):133–61. </w:t>
      </w:r>
    </w:p>
    <w:p w14:paraId="51B3CC45" w14:textId="0924E4FB"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234. </w:t>
      </w:r>
      <w:r w:rsidRPr="004738E4">
        <w:rPr>
          <w:rFonts w:ascii="Times New Roman" w:hAnsi="Times New Roman" w:cs="Times New Roman"/>
          <w:noProof/>
          <w:sz w:val="24"/>
          <w:szCs w:val="24"/>
        </w:rPr>
        <w:tab/>
        <w:t xml:space="preserve">Pardo-Lozano R, Farré M, Yubero-Lahoz S, O’Mathúna B, Torrens M, Mustata C, et al. Clinical Pharmacology of 3,4-Methylenedioxymethamphetamine (MDMA, “Ecstasy”): The Influence of Gender and Genetics (CYP2D6, COMT, 5-HTT). PLoS One. 2012 Oct;7(10):e47599. </w:t>
      </w:r>
    </w:p>
    <w:p w14:paraId="79B04350"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235. </w:t>
      </w:r>
      <w:r w:rsidRPr="004738E4">
        <w:rPr>
          <w:rFonts w:ascii="Times New Roman" w:hAnsi="Times New Roman" w:cs="Times New Roman"/>
          <w:noProof/>
          <w:sz w:val="24"/>
          <w:szCs w:val="24"/>
        </w:rPr>
        <w:tab/>
        <w:t xml:space="preserve">Simmler LD, Hysek CM, Liechti ME. Sex Differences in the Effects of MDMA (Ecstasy) on Plasma Copeptin in Healthy Subjects. J Clin Endocrinol Metab. 2011 Oct;96(9):2844–50. </w:t>
      </w:r>
    </w:p>
    <w:p w14:paraId="7A134281"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236. </w:t>
      </w:r>
      <w:r w:rsidRPr="004738E4">
        <w:rPr>
          <w:rFonts w:ascii="Times New Roman" w:hAnsi="Times New Roman" w:cs="Times New Roman"/>
          <w:noProof/>
          <w:sz w:val="24"/>
          <w:szCs w:val="24"/>
        </w:rPr>
        <w:tab/>
        <w:t xml:space="preserve">Reneman L, Booij J, de Bruin K, Reitsma JB, de Wolff FA, Gunning WB, et al. Effects of dose, sex, and long-term abstention from use on toxic effects of MDMA (ecstasy) on brain serotonin neurons. Lancet. 2001 Oct;358(9296):1864–9. </w:t>
      </w:r>
    </w:p>
    <w:p w14:paraId="4FEB452D"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237. </w:t>
      </w:r>
      <w:r w:rsidRPr="004738E4">
        <w:rPr>
          <w:rFonts w:ascii="Times New Roman" w:hAnsi="Times New Roman" w:cs="Times New Roman"/>
          <w:noProof/>
          <w:sz w:val="24"/>
          <w:szCs w:val="24"/>
        </w:rPr>
        <w:tab/>
        <w:t xml:space="preserve">Wall ME, Sadler BM, Brine D, Taylor H, Perez-Reyes M. Metabolism, disposition, and kinetics of delta-9-tetrahydrocannabinol in men and  women. Clin Pharmacol Ther. 1983 Sep;34(3):352–63. </w:t>
      </w:r>
    </w:p>
    <w:p w14:paraId="0FC9A1FF"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238. </w:t>
      </w:r>
      <w:r w:rsidRPr="004738E4">
        <w:rPr>
          <w:rFonts w:ascii="Times New Roman" w:hAnsi="Times New Roman" w:cs="Times New Roman"/>
          <w:noProof/>
          <w:sz w:val="24"/>
          <w:szCs w:val="24"/>
        </w:rPr>
        <w:tab/>
        <w:t xml:space="preserve">Grotenhermen F. Pharmacokinetics and pharmacodynamics of cannabinoids. Clin Pharmacokinet. 2003;42(4):327–60. </w:t>
      </w:r>
    </w:p>
    <w:p w14:paraId="45587486"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239. </w:t>
      </w:r>
      <w:r w:rsidRPr="004738E4">
        <w:rPr>
          <w:rFonts w:ascii="Times New Roman" w:hAnsi="Times New Roman" w:cs="Times New Roman"/>
          <w:noProof/>
          <w:sz w:val="24"/>
          <w:szCs w:val="24"/>
        </w:rPr>
        <w:tab/>
        <w:t xml:space="preserve">Cooper ZD, Haney M. Sex-dependent effects of cannabis-induced analgesia. Drug Alcohol Depend. 2016 Oct;167:112–20. </w:t>
      </w:r>
    </w:p>
    <w:p w14:paraId="6D7B1E0E"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240. </w:t>
      </w:r>
      <w:r w:rsidRPr="004738E4">
        <w:rPr>
          <w:rFonts w:ascii="Times New Roman" w:hAnsi="Times New Roman" w:cs="Times New Roman"/>
          <w:noProof/>
          <w:sz w:val="24"/>
          <w:szCs w:val="24"/>
        </w:rPr>
        <w:tab/>
        <w:t xml:space="preserve">Fogel JS, Kelly TH, Westgate PM, Lile JA. Sex differences in the subjective effects of oral Δ9-THC in cannabis users. Pharmacol Biochem Behav. 2017 Oct;152:44–51. </w:t>
      </w:r>
    </w:p>
    <w:p w14:paraId="273CF613" w14:textId="77777777" w:rsidR="004F5352" w:rsidRPr="004738E4" w:rsidRDefault="004F5352" w:rsidP="004F5352">
      <w:pPr>
        <w:widowControl w:val="0"/>
        <w:autoSpaceDE w:val="0"/>
        <w:autoSpaceDN w:val="0"/>
        <w:adjustRightInd w:val="0"/>
        <w:spacing w:line="240" w:lineRule="auto"/>
        <w:ind w:left="640" w:hanging="640"/>
        <w:rPr>
          <w:rFonts w:ascii="Times New Roman" w:hAnsi="Times New Roman" w:cs="Times New Roman"/>
          <w:noProof/>
          <w:sz w:val="24"/>
          <w:szCs w:val="24"/>
        </w:rPr>
      </w:pPr>
      <w:r w:rsidRPr="004738E4">
        <w:rPr>
          <w:rFonts w:ascii="Times New Roman" w:hAnsi="Times New Roman" w:cs="Times New Roman"/>
          <w:noProof/>
          <w:sz w:val="24"/>
          <w:szCs w:val="24"/>
        </w:rPr>
        <w:t xml:space="preserve">241. </w:t>
      </w:r>
      <w:r w:rsidRPr="004738E4">
        <w:rPr>
          <w:rFonts w:ascii="Times New Roman" w:hAnsi="Times New Roman" w:cs="Times New Roman"/>
          <w:noProof/>
          <w:sz w:val="24"/>
          <w:szCs w:val="24"/>
        </w:rPr>
        <w:tab/>
        <w:t xml:space="preserve">Cooper ZD, Haney M. Investigation of sex-dependent effects of cannabis in daily cannabis smokers. Drug Alcohol Depend. 2014 Oct;136:85–91. </w:t>
      </w:r>
    </w:p>
    <w:p w14:paraId="68B8FB76" w14:textId="77777777" w:rsidR="004F5352" w:rsidRPr="004F5352" w:rsidRDefault="004F5352" w:rsidP="004F5352">
      <w:pPr>
        <w:widowControl w:val="0"/>
        <w:autoSpaceDE w:val="0"/>
        <w:autoSpaceDN w:val="0"/>
        <w:adjustRightInd w:val="0"/>
        <w:spacing w:line="240" w:lineRule="auto"/>
        <w:ind w:left="640" w:hanging="640"/>
        <w:rPr>
          <w:rFonts w:ascii="Times New Roman" w:hAnsi="Times New Roman" w:cs="Times New Roman"/>
          <w:noProof/>
          <w:sz w:val="24"/>
        </w:rPr>
      </w:pPr>
      <w:r w:rsidRPr="004738E4">
        <w:rPr>
          <w:rFonts w:ascii="Times New Roman" w:hAnsi="Times New Roman" w:cs="Times New Roman"/>
          <w:noProof/>
          <w:sz w:val="24"/>
          <w:szCs w:val="24"/>
        </w:rPr>
        <w:t xml:space="preserve">242. </w:t>
      </w:r>
      <w:r w:rsidRPr="004738E4">
        <w:rPr>
          <w:rFonts w:ascii="Times New Roman" w:hAnsi="Times New Roman" w:cs="Times New Roman"/>
          <w:noProof/>
          <w:sz w:val="24"/>
          <w:szCs w:val="24"/>
        </w:rPr>
        <w:tab/>
        <w:t>Albertella L, Le Pelley ME, Copeland J. Cannabis use in early adolescence is associated with higher negative schizotypy in females. Eur Psychiatry. 2017 Oct;45:235–41.</w:t>
      </w:r>
      <w:bookmarkStart w:id="5" w:name="_GoBack"/>
      <w:bookmarkEnd w:id="5"/>
      <w:r w:rsidRPr="004F5352">
        <w:rPr>
          <w:rFonts w:ascii="Times New Roman" w:hAnsi="Times New Roman" w:cs="Times New Roman"/>
          <w:noProof/>
          <w:sz w:val="24"/>
          <w:szCs w:val="24"/>
        </w:rPr>
        <w:t xml:space="preserve"> </w:t>
      </w:r>
    </w:p>
    <w:p w14:paraId="05483F3E" w14:textId="5F7336E6" w:rsidR="00233588" w:rsidRPr="00CC0D81" w:rsidRDefault="00233588" w:rsidP="004F5352">
      <w:pPr>
        <w:widowControl w:val="0"/>
        <w:autoSpaceDE w:val="0"/>
        <w:autoSpaceDN w:val="0"/>
        <w:adjustRightInd w:val="0"/>
        <w:spacing w:line="240" w:lineRule="auto"/>
        <w:ind w:left="640" w:hanging="640"/>
        <w:rPr>
          <w:rFonts w:ascii="Times New Roman" w:hAnsi="Times New Roman" w:cs="Times New Roman"/>
          <w:sz w:val="24"/>
          <w:szCs w:val="24"/>
        </w:rPr>
      </w:pPr>
    </w:p>
    <w:sectPr w:rsidR="00233588" w:rsidRPr="00CC0D81" w:rsidSect="004738E4">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1BFA3" w14:textId="77777777" w:rsidR="00F34BB9" w:rsidRDefault="00F34BB9">
      <w:pPr>
        <w:spacing w:after="0" w:line="240" w:lineRule="auto"/>
      </w:pPr>
      <w:r>
        <w:separator/>
      </w:r>
    </w:p>
  </w:endnote>
  <w:endnote w:type="continuationSeparator" w:id="0">
    <w:p w14:paraId="1D31EF17" w14:textId="77777777" w:rsidR="00F34BB9" w:rsidRDefault="00F3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altName w:val="Segoe UI"/>
    <w:panose1 w:val="020B0600040502020204"/>
    <w:charset w:val="00"/>
    <w:family w:val="auto"/>
    <w:pitch w:val="variable"/>
    <w:sig w:usb0="E1000AEF" w:usb1="5000A1FF" w:usb2="00000000" w:usb3="00000000" w:csb0="000001BF" w:csb1="00000000"/>
  </w:font>
  <w:font w:name="Segoe UI">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auto"/>
    <w:pitch w:val="variable"/>
    <w:sig w:usb0="00000003" w:usb1="00000000" w:usb2="00000000" w:usb3="00000000" w:csb0="00000001" w:csb1="00000000"/>
  </w:font>
  <w:font w:name="Adobe Caslon Pro">
    <w:panose1 w:val="0205050205050A020403"/>
    <w:charset w:val="00"/>
    <w:family w:val="auto"/>
    <w:pitch w:val="variable"/>
    <w:sig w:usb0="00000007" w:usb1="00000001" w:usb2="00000000" w:usb3="00000000" w:csb0="00000093" w:csb1="00000000"/>
  </w:font>
  <w:font w:name="Times">
    <w:panose1 w:val="02000500000000000000"/>
    <w:charset w:val="00"/>
    <w:family w:val="auto"/>
    <w:pitch w:val="variable"/>
    <w:sig w:usb0="00000003" w:usb1="00000000" w:usb2="00000000" w:usb3="00000000" w:csb0="0000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D9712" w14:textId="77777777" w:rsidR="00642BBF" w:rsidRDefault="00642BBF" w:rsidP="00C97D75">
    <w:pPr>
      <w:pStyle w:val="Footer"/>
      <w:framePr w:wrap="around" w:vAnchor="text" w:hAnchor="margin" w:xAlign="right" w:y="1"/>
      <w:rPr>
        <w:rStyle w:val="PageNumber"/>
      </w:rPr>
    </w:pPr>
  </w:p>
  <w:p w14:paraId="3258583B" w14:textId="77777777" w:rsidR="00642BBF" w:rsidRDefault="00642BBF" w:rsidP="0066367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93388" w14:textId="77777777" w:rsidR="00642BBF" w:rsidRDefault="00642BBF" w:rsidP="00C97D75">
    <w:pPr>
      <w:pStyle w:val="Footer"/>
      <w:framePr w:wrap="around" w:vAnchor="text" w:hAnchor="margin" w:xAlign="right" w:y="1"/>
      <w:rPr>
        <w:rStyle w:val="PageNumber"/>
      </w:rPr>
    </w:pPr>
    <w:r>
      <w:rPr>
        <w:rStyle w:val="PageNumber"/>
        <w:noProof/>
      </w:rPr>
      <w:t>32</w:t>
    </w:r>
  </w:p>
  <w:sdt>
    <w:sdtPr>
      <w:id w:val="1903482072"/>
      <w:docPartObj>
        <w:docPartGallery w:val="Page Numbers (Bottom of Page)"/>
        <w:docPartUnique/>
      </w:docPartObj>
    </w:sdtPr>
    <w:sdtEndPr>
      <w:rPr>
        <w:noProof/>
      </w:rPr>
    </w:sdtEndPr>
    <w:sdtContent>
      <w:p w14:paraId="3FBC3577" w14:textId="167257DF" w:rsidR="00642BBF" w:rsidRDefault="004738E4" w:rsidP="0066367A">
        <w:pPr>
          <w:pStyle w:val="Footer"/>
          <w:ind w:right="360"/>
        </w:pPr>
      </w:p>
    </w:sdtContent>
  </w:sdt>
  <w:p w14:paraId="325BF23E" w14:textId="77777777" w:rsidR="00642BBF" w:rsidRDefault="00642B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322EC" w14:textId="77777777" w:rsidR="00F34BB9" w:rsidRDefault="00F34BB9">
      <w:pPr>
        <w:spacing w:after="0" w:line="240" w:lineRule="auto"/>
      </w:pPr>
      <w:r>
        <w:separator/>
      </w:r>
    </w:p>
  </w:footnote>
  <w:footnote w:type="continuationSeparator" w:id="0">
    <w:p w14:paraId="3F1D7671" w14:textId="77777777" w:rsidR="00F34BB9" w:rsidRDefault="00F34BB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7F848" w14:textId="1D60BAAA" w:rsidR="00642BBF" w:rsidRPr="004F5352" w:rsidRDefault="00642BBF" w:rsidP="004F5352">
    <w:pPr>
      <w:shd w:val="clear" w:color="auto" w:fill="FFFFFF"/>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Additional File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7006D"/>
    <w:multiLevelType w:val="hybridMultilevel"/>
    <w:tmpl w:val="EB80625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F89"/>
    <w:rsid w:val="000002B3"/>
    <w:rsid w:val="00001BA7"/>
    <w:rsid w:val="00002946"/>
    <w:rsid w:val="00011BF4"/>
    <w:rsid w:val="00015028"/>
    <w:rsid w:val="00016272"/>
    <w:rsid w:val="00020956"/>
    <w:rsid w:val="000270D5"/>
    <w:rsid w:val="000311A5"/>
    <w:rsid w:val="00031A3F"/>
    <w:rsid w:val="000330FA"/>
    <w:rsid w:val="00035B5A"/>
    <w:rsid w:val="000360BB"/>
    <w:rsid w:val="0003618D"/>
    <w:rsid w:val="00040098"/>
    <w:rsid w:val="000537F2"/>
    <w:rsid w:val="00056229"/>
    <w:rsid w:val="0005763A"/>
    <w:rsid w:val="00063078"/>
    <w:rsid w:val="000649DD"/>
    <w:rsid w:val="00070AD3"/>
    <w:rsid w:val="00070D4D"/>
    <w:rsid w:val="00073276"/>
    <w:rsid w:val="00075F48"/>
    <w:rsid w:val="00080DA7"/>
    <w:rsid w:val="00082E57"/>
    <w:rsid w:val="00082E71"/>
    <w:rsid w:val="00084A7C"/>
    <w:rsid w:val="00092B51"/>
    <w:rsid w:val="000A411B"/>
    <w:rsid w:val="000A43A9"/>
    <w:rsid w:val="000A5652"/>
    <w:rsid w:val="000B2B78"/>
    <w:rsid w:val="000B4FDF"/>
    <w:rsid w:val="000B5177"/>
    <w:rsid w:val="000B53CB"/>
    <w:rsid w:val="000C19F7"/>
    <w:rsid w:val="000C223F"/>
    <w:rsid w:val="000C7746"/>
    <w:rsid w:val="000D1068"/>
    <w:rsid w:val="000E03F4"/>
    <w:rsid w:val="000E074C"/>
    <w:rsid w:val="000E0E44"/>
    <w:rsid w:val="000E17F3"/>
    <w:rsid w:val="000E352F"/>
    <w:rsid w:val="000E4065"/>
    <w:rsid w:val="000E6236"/>
    <w:rsid w:val="000F1F1D"/>
    <w:rsid w:val="000F6536"/>
    <w:rsid w:val="0010105F"/>
    <w:rsid w:val="00104E3C"/>
    <w:rsid w:val="001067FE"/>
    <w:rsid w:val="0011145B"/>
    <w:rsid w:val="00112F61"/>
    <w:rsid w:val="001160B7"/>
    <w:rsid w:val="001220E5"/>
    <w:rsid w:val="001227AE"/>
    <w:rsid w:val="00126C3E"/>
    <w:rsid w:val="00127BB8"/>
    <w:rsid w:val="001424A3"/>
    <w:rsid w:val="001444AD"/>
    <w:rsid w:val="00147AC1"/>
    <w:rsid w:val="00147EAF"/>
    <w:rsid w:val="00150A59"/>
    <w:rsid w:val="0015490F"/>
    <w:rsid w:val="00157948"/>
    <w:rsid w:val="00163B05"/>
    <w:rsid w:val="00164153"/>
    <w:rsid w:val="00174824"/>
    <w:rsid w:val="00175C85"/>
    <w:rsid w:val="00180DB1"/>
    <w:rsid w:val="0018242E"/>
    <w:rsid w:val="001828C9"/>
    <w:rsid w:val="00183E77"/>
    <w:rsid w:val="00194B8D"/>
    <w:rsid w:val="001A0D07"/>
    <w:rsid w:val="001A2823"/>
    <w:rsid w:val="001A51AE"/>
    <w:rsid w:val="001A7A6F"/>
    <w:rsid w:val="001A7FA8"/>
    <w:rsid w:val="001B0A3B"/>
    <w:rsid w:val="001B10A4"/>
    <w:rsid w:val="001B1B67"/>
    <w:rsid w:val="001B3174"/>
    <w:rsid w:val="001B5E94"/>
    <w:rsid w:val="001C0DF3"/>
    <w:rsid w:val="001C4C5B"/>
    <w:rsid w:val="001D316A"/>
    <w:rsid w:val="001D3C99"/>
    <w:rsid w:val="001D40E5"/>
    <w:rsid w:val="001D6E0E"/>
    <w:rsid w:val="001E1EE9"/>
    <w:rsid w:val="001E3440"/>
    <w:rsid w:val="001E3E39"/>
    <w:rsid w:val="001E6F96"/>
    <w:rsid w:val="001E716A"/>
    <w:rsid w:val="001E7DED"/>
    <w:rsid w:val="001F2EFD"/>
    <w:rsid w:val="001F3370"/>
    <w:rsid w:val="001F494A"/>
    <w:rsid w:val="001F7280"/>
    <w:rsid w:val="002104E7"/>
    <w:rsid w:val="00210752"/>
    <w:rsid w:val="00210869"/>
    <w:rsid w:val="0021779D"/>
    <w:rsid w:val="00221F4D"/>
    <w:rsid w:val="00225E2D"/>
    <w:rsid w:val="002303C2"/>
    <w:rsid w:val="00233588"/>
    <w:rsid w:val="00234856"/>
    <w:rsid w:val="002357A7"/>
    <w:rsid w:val="0024034E"/>
    <w:rsid w:val="00245395"/>
    <w:rsid w:val="00246AAD"/>
    <w:rsid w:val="00257219"/>
    <w:rsid w:val="00262C83"/>
    <w:rsid w:val="00274BB0"/>
    <w:rsid w:val="00274CDF"/>
    <w:rsid w:val="00277F33"/>
    <w:rsid w:val="00285431"/>
    <w:rsid w:val="00292420"/>
    <w:rsid w:val="00293A82"/>
    <w:rsid w:val="00293C7A"/>
    <w:rsid w:val="0029585D"/>
    <w:rsid w:val="00296569"/>
    <w:rsid w:val="00297B7F"/>
    <w:rsid w:val="002A14F3"/>
    <w:rsid w:val="002A5155"/>
    <w:rsid w:val="002A5541"/>
    <w:rsid w:val="002A7F35"/>
    <w:rsid w:val="002B0AA5"/>
    <w:rsid w:val="002B1E28"/>
    <w:rsid w:val="002B50F5"/>
    <w:rsid w:val="002B739E"/>
    <w:rsid w:val="002B7A64"/>
    <w:rsid w:val="002B7CD7"/>
    <w:rsid w:val="002C467A"/>
    <w:rsid w:val="002D1C76"/>
    <w:rsid w:val="002D2BB6"/>
    <w:rsid w:val="002D4E60"/>
    <w:rsid w:val="002D6995"/>
    <w:rsid w:val="002E001E"/>
    <w:rsid w:val="002E089F"/>
    <w:rsid w:val="002E0D62"/>
    <w:rsid w:val="003018FD"/>
    <w:rsid w:val="00304EB6"/>
    <w:rsid w:val="0030506C"/>
    <w:rsid w:val="00310269"/>
    <w:rsid w:val="00311236"/>
    <w:rsid w:val="00311AFF"/>
    <w:rsid w:val="00311C68"/>
    <w:rsid w:val="00322937"/>
    <w:rsid w:val="00323094"/>
    <w:rsid w:val="00331A19"/>
    <w:rsid w:val="00332445"/>
    <w:rsid w:val="003406EE"/>
    <w:rsid w:val="003421CC"/>
    <w:rsid w:val="00344938"/>
    <w:rsid w:val="00346E34"/>
    <w:rsid w:val="00355083"/>
    <w:rsid w:val="003600A4"/>
    <w:rsid w:val="003609F9"/>
    <w:rsid w:val="00363429"/>
    <w:rsid w:val="00364A8B"/>
    <w:rsid w:val="00375049"/>
    <w:rsid w:val="00377811"/>
    <w:rsid w:val="00391AB5"/>
    <w:rsid w:val="00391B73"/>
    <w:rsid w:val="003940FB"/>
    <w:rsid w:val="00395288"/>
    <w:rsid w:val="003A2BA1"/>
    <w:rsid w:val="003A340C"/>
    <w:rsid w:val="003A36E8"/>
    <w:rsid w:val="003B127D"/>
    <w:rsid w:val="003B2190"/>
    <w:rsid w:val="003B2A3B"/>
    <w:rsid w:val="003C0B42"/>
    <w:rsid w:val="003C0F32"/>
    <w:rsid w:val="003C17C8"/>
    <w:rsid w:val="003C504F"/>
    <w:rsid w:val="003D3594"/>
    <w:rsid w:val="003D5375"/>
    <w:rsid w:val="003E0EAD"/>
    <w:rsid w:val="003E7382"/>
    <w:rsid w:val="003F46B7"/>
    <w:rsid w:val="004022CD"/>
    <w:rsid w:val="00404B53"/>
    <w:rsid w:val="00404F74"/>
    <w:rsid w:val="004124EC"/>
    <w:rsid w:val="0041316F"/>
    <w:rsid w:val="004163F9"/>
    <w:rsid w:val="00423112"/>
    <w:rsid w:val="00424233"/>
    <w:rsid w:val="00431F68"/>
    <w:rsid w:val="0043238E"/>
    <w:rsid w:val="00433A0C"/>
    <w:rsid w:val="004341B7"/>
    <w:rsid w:val="00436D08"/>
    <w:rsid w:val="0043717C"/>
    <w:rsid w:val="00441DA6"/>
    <w:rsid w:val="00446821"/>
    <w:rsid w:val="00460678"/>
    <w:rsid w:val="00462DAA"/>
    <w:rsid w:val="0046397D"/>
    <w:rsid w:val="00464525"/>
    <w:rsid w:val="00467B68"/>
    <w:rsid w:val="004738E4"/>
    <w:rsid w:val="0047393A"/>
    <w:rsid w:val="004753C8"/>
    <w:rsid w:val="00476877"/>
    <w:rsid w:val="004777A1"/>
    <w:rsid w:val="004777F2"/>
    <w:rsid w:val="004949E5"/>
    <w:rsid w:val="00495964"/>
    <w:rsid w:val="00496DE9"/>
    <w:rsid w:val="004A2FC7"/>
    <w:rsid w:val="004A3439"/>
    <w:rsid w:val="004A37BF"/>
    <w:rsid w:val="004A40C8"/>
    <w:rsid w:val="004A7F76"/>
    <w:rsid w:val="004B22FB"/>
    <w:rsid w:val="004B2D63"/>
    <w:rsid w:val="004B5AB2"/>
    <w:rsid w:val="004C4A32"/>
    <w:rsid w:val="004D296F"/>
    <w:rsid w:val="004E0243"/>
    <w:rsid w:val="004E505F"/>
    <w:rsid w:val="004F3156"/>
    <w:rsid w:val="004F3A1E"/>
    <w:rsid w:val="004F4F09"/>
    <w:rsid w:val="004F4FD2"/>
    <w:rsid w:val="004F50A5"/>
    <w:rsid w:val="004F5352"/>
    <w:rsid w:val="00502DBD"/>
    <w:rsid w:val="0050567C"/>
    <w:rsid w:val="00505C18"/>
    <w:rsid w:val="00505CE2"/>
    <w:rsid w:val="005118F5"/>
    <w:rsid w:val="00512A48"/>
    <w:rsid w:val="00514840"/>
    <w:rsid w:val="00515F85"/>
    <w:rsid w:val="0051624E"/>
    <w:rsid w:val="005165C2"/>
    <w:rsid w:val="00526326"/>
    <w:rsid w:val="00530F9C"/>
    <w:rsid w:val="00533719"/>
    <w:rsid w:val="0053487C"/>
    <w:rsid w:val="0054138B"/>
    <w:rsid w:val="00542617"/>
    <w:rsid w:val="00550DEC"/>
    <w:rsid w:val="00552E44"/>
    <w:rsid w:val="00553203"/>
    <w:rsid w:val="0055410B"/>
    <w:rsid w:val="005549AB"/>
    <w:rsid w:val="0055636F"/>
    <w:rsid w:val="0056190D"/>
    <w:rsid w:val="005664F9"/>
    <w:rsid w:val="00567E8E"/>
    <w:rsid w:val="00567EB2"/>
    <w:rsid w:val="00572715"/>
    <w:rsid w:val="00582693"/>
    <w:rsid w:val="00590571"/>
    <w:rsid w:val="00590BC3"/>
    <w:rsid w:val="005922F8"/>
    <w:rsid w:val="0059295C"/>
    <w:rsid w:val="00592AFA"/>
    <w:rsid w:val="005938C5"/>
    <w:rsid w:val="005941EE"/>
    <w:rsid w:val="005962B8"/>
    <w:rsid w:val="005A1282"/>
    <w:rsid w:val="005A1957"/>
    <w:rsid w:val="005B261D"/>
    <w:rsid w:val="005B4D47"/>
    <w:rsid w:val="005B52CA"/>
    <w:rsid w:val="005C2E73"/>
    <w:rsid w:val="005C4383"/>
    <w:rsid w:val="005C43DA"/>
    <w:rsid w:val="005C743E"/>
    <w:rsid w:val="005D171B"/>
    <w:rsid w:val="005D1AD4"/>
    <w:rsid w:val="005D5F80"/>
    <w:rsid w:val="005E175C"/>
    <w:rsid w:val="005E259E"/>
    <w:rsid w:val="005E4019"/>
    <w:rsid w:val="005E5816"/>
    <w:rsid w:val="005E7E3A"/>
    <w:rsid w:val="005F002D"/>
    <w:rsid w:val="005F048E"/>
    <w:rsid w:val="005F3BFD"/>
    <w:rsid w:val="00605F1B"/>
    <w:rsid w:val="006062A6"/>
    <w:rsid w:val="00607150"/>
    <w:rsid w:val="00607590"/>
    <w:rsid w:val="00611E8C"/>
    <w:rsid w:val="0061243C"/>
    <w:rsid w:val="00612773"/>
    <w:rsid w:val="00613CFB"/>
    <w:rsid w:val="006203CF"/>
    <w:rsid w:val="00620543"/>
    <w:rsid w:val="00622ABC"/>
    <w:rsid w:val="00626E9E"/>
    <w:rsid w:val="00630C77"/>
    <w:rsid w:val="00631E32"/>
    <w:rsid w:val="00632857"/>
    <w:rsid w:val="00642BBF"/>
    <w:rsid w:val="006517C7"/>
    <w:rsid w:val="00654FA1"/>
    <w:rsid w:val="00656713"/>
    <w:rsid w:val="00656C8C"/>
    <w:rsid w:val="006572FF"/>
    <w:rsid w:val="0066367A"/>
    <w:rsid w:val="0066504C"/>
    <w:rsid w:val="0067088D"/>
    <w:rsid w:val="0067204B"/>
    <w:rsid w:val="00672975"/>
    <w:rsid w:val="006767F2"/>
    <w:rsid w:val="00682805"/>
    <w:rsid w:val="0069027C"/>
    <w:rsid w:val="006909FD"/>
    <w:rsid w:val="00694C0A"/>
    <w:rsid w:val="00696B0F"/>
    <w:rsid w:val="006B1786"/>
    <w:rsid w:val="006B1C1E"/>
    <w:rsid w:val="006B6DED"/>
    <w:rsid w:val="006C100E"/>
    <w:rsid w:val="006C5997"/>
    <w:rsid w:val="006C6472"/>
    <w:rsid w:val="006C7679"/>
    <w:rsid w:val="006C7BFC"/>
    <w:rsid w:val="006E25CD"/>
    <w:rsid w:val="006E306B"/>
    <w:rsid w:val="006F28CF"/>
    <w:rsid w:val="006F3253"/>
    <w:rsid w:val="006F6187"/>
    <w:rsid w:val="006F6EBF"/>
    <w:rsid w:val="00706E66"/>
    <w:rsid w:val="007117C3"/>
    <w:rsid w:val="00724534"/>
    <w:rsid w:val="007255B6"/>
    <w:rsid w:val="0073025B"/>
    <w:rsid w:val="0073490B"/>
    <w:rsid w:val="00745A3B"/>
    <w:rsid w:val="00747DA9"/>
    <w:rsid w:val="0075068F"/>
    <w:rsid w:val="007555C5"/>
    <w:rsid w:val="00761A7B"/>
    <w:rsid w:val="00762946"/>
    <w:rsid w:val="00767097"/>
    <w:rsid w:val="00775A15"/>
    <w:rsid w:val="0077667F"/>
    <w:rsid w:val="00776EB4"/>
    <w:rsid w:val="007869DE"/>
    <w:rsid w:val="007928C1"/>
    <w:rsid w:val="007A143E"/>
    <w:rsid w:val="007A15C5"/>
    <w:rsid w:val="007A5859"/>
    <w:rsid w:val="007A63BB"/>
    <w:rsid w:val="007C19AA"/>
    <w:rsid w:val="007C49C6"/>
    <w:rsid w:val="007D1D36"/>
    <w:rsid w:val="007E3ACC"/>
    <w:rsid w:val="007F1394"/>
    <w:rsid w:val="007F4249"/>
    <w:rsid w:val="00802910"/>
    <w:rsid w:val="00803B85"/>
    <w:rsid w:val="00811C01"/>
    <w:rsid w:val="00812A9E"/>
    <w:rsid w:val="0081455C"/>
    <w:rsid w:val="0081573C"/>
    <w:rsid w:val="0081755D"/>
    <w:rsid w:val="00817E15"/>
    <w:rsid w:val="00821491"/>
    <w:rsid w:val="00822E49"/>
    <w:rsid w:val="008273FE"/>
    <w:rsid w:val="008343A4"/>
    <w:rsid w:val="00834660"/>
    <w:rsid w:val="00842228"/>
    <w:rsid w:val="00846060"/>
    <w:rsid w:val="00851087"/>
    <w:rsid w:val="00851E3F"/>
    <w:rsid w:val="00855290"/>
    <w:rsid w:val="00861523"/>
    <w:rsid w:val="00861F09"/>
    <w:rsid w:val="008671A3"/>
    <w:rsid w:val="00880048"/>
    <w:rsid w:val="0088237E"/>
    <w:rsid w:val="0088783D"/>
    <w:rsid w:val="00891D87"/>
    <w:rsid w:val="0089256B"/>
    <w:rsid w:val="00893470"/>
    <w:rsid w:val="0089616D"/>
    <w:rsid w:val="008A1418"/>
    <w:rsid w:val="008A1E1D"/>
    <w:rsid w:val="008A1E43"/>
    <w:rsid w:val="008A3907"/>
    <w:rsid w:val="008A44E9"/>
    <w:rsid w:val="008A464B"/>
    <w:rsid w:val="008A61C0"/>
    <w:rsid w:val="008B04AB"/>
    <w:rsid w:val="008B3925"/>
    <w:rsid w:val="008B7C93"/>
    <w:rsid w:val="008C3029"/>
    <w:rsid w:val="008C67A8"/>
    <w:rsid w:val="008C74D3"/>
    <w:rsid w:val="008D4EAA"/>
    <w:rsid w:val="008D5EE6"/>
    <w:rsid w:val="008D6483"/>
    <w:rsid w:val="008D7A6C"/>
    <w:rsid w:val="008E16B8"/>
    <w:rsid w:val="008E1B39"/>
    <w:rsid w:val="008E365C"/>
    <w:rsid w:val="008E3741"/>
    <w:rsid w:val="008E5246"/>
    <w:rsid w:val="008E58E4"/>
    <w:rsid w:val="008F07F4"/>
    <w:rsid w:val="008F7879"/>
    <w:rsid w:val="00903CEC"/>
    <w:rsid w:val="009045E7"/>
    <w:rsid w:val="00907B74"/>
    <w:rsid w:val="00910C67"/>
    <w:rsid w:val="00910D5A"/>
    <w:rsid w:val="00910D8C"/>
    <w:rsid w:val="0091107E"/>
    <w:rsid w:val="0091431B"/>
    <w:rsid w:val="009146C2"/>
    <w:rsid w:val="00920645"/>
    <w:rsid w:val="00920A5E"/>
    <w:rsid w:val="009227C5"/>
    <w:rsid w:val="009320AF"/>
    <w:rsid w:val="009332FB"/>
    <w:rsid w:val="009344DB"/>
    <w:rsid w:val="00936A3E"/>
    <w:rsid w:val="0093755C"/>
    <w:rsid w:val="00941C8D"/>
    <w:rsid w:val="00945543"/>
    <w:rsid w:val="009479B8"/>
    <w:rsid w:val="009504DC"/>
    <w:rsid w:val="0095325F"/>
    <w:rsid w:val="00954D46"/>
    <w:rsid w:val="00957601"/>
    <w:rsid w:val="00983690"/>
    <w:rsid w:val="009839A8"/>
    <w:rsid w:val="009A3140"/>
    <w:rsid w:val="009A3CC9"/>
    <w:rsid w:val="009B3A4D"/>
    <w:rsid w:val="009B3D39"/>
    <w:rsid w:val="009B4616"/>
    <w:rsid w:val="009B60F5"/>
    <w:rsid w:val="009B7E45"/>
    <w:rsid w:val="009C05CD"/>
    <w:rsid w:val="009C4909"/>
    <w:rsid w:val="009C75BB"/>
    <w:rsid w:val="009D0D61"/>
    <w:rsid w:val="009D4632"/>
    <w:rsid w:val="009D5966"/>
    <w:rsid w:val="009D6636"/>
    <w:rsid w:val="009D6D2A"/>
    <w:rsid w:val="009E3443"/>
    <w:rsid w:val="009E7875"/>
    <w:rsid w:val="009F104B"/>
    <w:rsid w:val="009F2087"/>
    <w:rsid w:val="009F2AA5"/>
    <w:rsid w:val="009F4984"/>
    <w:rsid w:val="00A06F09"/>
    <w:rsid w:val="00A079DA"/>
    <w:rsid w:val="00A13318"/>
    <w:rsid w:val="00A17CD8"/>
    <w:rsid w:val="00A22727"/>
    <w:rsid w:val="00A24261"/>
    <w:rsid w:val="00A31B91"/>
    <w:rsid w:val="00A34A8D"/>
    <w:rsid w:val="00A354D4"/>
    <w:rsid w:val="00A37202"/>
    <w:rsid w:val="00A41874"/>
    <w:rsid w:val="00A41CA1"/>
    <w:rsid w:val="00A435E1"/>
    <w:rsid w:val="00A55EA3"/>
    <w:rsid w:val="00A64A76"/>
    <w:rsid w:val="00A7754A"/>
    <w:rsid w:val="00A77955"/>
    <w:rsid w:val="00A809E5"/>
    <w:rsid w:val="00A810D3"/>
    <w:rsid w:val="00A84F00"/>
    <w:rsid w:val="00A8533C"/>
    <w:rsid w:val="00AA0111"/>
    <w:rsid w:val="00AA389E"/>
    <w:rsid w:val="00AA4434"/>
    <w:rsid w:val="00AA6A67"/>
    <w:rsid w:val="00AB5090"/>
    <w:rsid w:val="00AB56EB"/>
    <w:rsid w:val="00AC08D6"/>
    <w:rsid w:val="00AC5A43"/>
    <w:rsid w:val="00AD02E3"/>
    <w:rsid w:val="00AD52EF"/>
    <w:rsid w:val="00AD688C"/>
    <w:rsid w:val="00AE2A36"/>
    <w:rsid w:val="00AE62F2"/>
    <w:rsid w:val="00AE79D3"/>
    <w:rsid w:val="00AF0471"/>
    <w:rsid w:val="00AF1986"/>
    <w:rsid w:val="00AF2088"/>
    <w:rsid w:val="00AF7840"/>
    <w:rsid w:val="00AF7BDE"/>
    <w:rsid w:val="00B00C0D"/>
    <w:rsid w:val="00B01204"/>
    <w:rsid w:val="00B02463"/>
    <w:rsid w:val="00B07D8A"/>
    <w:rsid w:val="00B12253"/>
    <w:rsid w:val="00B209F0"/>
    <w:rsid w:val="00B22D29"/>
    <w:rsid w:val="00B254A5"/>
    <w:rsid w:val="00B2627F"/>
    <w:rsid w:val="00B32536"/>
    <w:rsid w:val="00B32712"/>
    <w:rsid w:val="00B34634"/>
    <w:rsid w:val="00B35553"/>
    <w:rsid w:val="00B4059F"/>
    <w:rsid w:val="00B43253"/>
    <w:rsid w:val="00B5140F"/>
    <w:rsid w:val="00B51C76"/>
    <w:rsid w:val="00B539A4"/>
    <w:rsid w:val="00B53B4E"/>
    <w:rsid w:val="00B54363"/>
    <w:rsid w:val="00B54CC8"/>
    <w:rsid w:val="00B60522"/>
    <w:rsid w:val="00B659BD"/>
    <w:rsid w:val="00B66D22"/>
    <w:rsid w:val="00B70416"/>
    <w:rsid w:val="00B7054E"/>
    <w:rsid w:val="00B71F38"/>
    <w:rsid w:val="00B721D5"/>
    <w:rsid w:val="00B73320"/>
    <w:rsid w:val="00B746C4"/>
    <w:rsid w:val="00B762EF"/>
    <w:rsid w:val="00B838C7"/>
    <w:rsid w:val="00B8443E"/>
    <w:rsid w:val="00B87476"/>
    <w:rsid w:val="00B921BB"/>
    <w:rsid w:val="00B967DD"/>
    <w:rsid w:val="00B97035"/>
    <w:rsid w:val="00B9787C"/>
    <w:rsid w:val="00BA2755"/>
    <w:rsid w:val="00BA517B"/>
    <w:rsid w:val="00BA5BF0"/>
    <w:rsid w:val="00BB02A5"/>
    <w:rsid w:val="00BB79B4"/>
    <w:rsid w:val="00BB7F30"/>
    <w:rsid w:val="00BC16EC"/>
    <w:rsid w:val="00BD40A2"/>
    <w:rsid w:val="00BD45E3"/>
    <w:rsid w:val="00BD72E6"/>
    <w:rsid w:val="00BD77E7"/>
    <w:rsid w:val="00BE2A6E"/>
    <w:rsid w:val="00BE34F3"/>
    <w:rsid w:val="00BE3A1B"/>
    <w:rsid w:val="00BE52E2"/>
    <w:rsid w:val="00BF0905"/>
    <w:rsid w:val="00BF4F07"/>
    <w:rsid w:val="00BF5A96"/>
    <w:rsid w:val="00C01657"/>
    <w:rsid w:val="00C05E3D"/>
    <w:rsid w:val="00C1260D"/>
    <w:rsid w:val="00C127C7"/>
    <w:rsid w:val="00C23865"/>
    <w:rsid w:val="00C311B3"/>
    <w:rsid w:val="00C346F3"/>
    <w:rsid w:val="00C4277D"/>
    <w:rsid w:val="00C42CDC"/>
    <w:rsid w:val="00C43F2B"/>
    <w:rsid w:val="00C45722"/>
    <w:rsid w:val="00C458BB"/>
    <w:rsid w:val="00C47B53"/>
    <w:rsid w:val="00C50497"/>
    <w:rsid w:val="00C504A7"/>
    <w:rsid w:val="00C51CF9"/>
    <w:rsid w:val="00C52FD3"/>
    <w:rsid w:val="00C55BBC"/>
    <w:rsid w:val="00C6047E"/>
    <w:rsid w:val="00C61904"/>
    <w:rsid w:val="00C723C6"/>
    <w:rsid w:val="00C74A63"/>
    <w:rsid w:val="00C76098"/>
    <w:rsid w:val="00C76867"/>
    <w:rsid w:val="00C86035"/>
    <w:rsid w:val="00C92A7B"/>
    <w:rsid w:val="00C95E47"/>
    <w:rsid w:val="00C95F3F"/>
    <w:rsid w:val="00C97D75"/>
    <w:rsid w:val="00CA28F4"/>
    <w:rsid w:val="00CB239D"/>
    <w:rsid w:val="00CB30C8"/>
    <w:rsid w:val="00CB4CD1"/>
    <w:rsid w:val="00CB4E8C"/>
    <w:rsid w:val="00CC0D81"/>
    <w:rsid w:val="00CC2454"/>
    <w:rsid w:val="00CD0FA7"/>
    <w:rsid w:val="00CD1AAA"/>
    <w:rsid w:val="00CD256B"/>
    <w:rsid w:val="00CD595D"/>
    <w:rsid w:val="00CD71CF"/>
    <w:rsid w:val="00CE0980"/>
    <w:rsid w:val="00CE24F9"/>
    <w:rsid w:val="00CF2A66"/>
    <w:rsid w:val="00CF35E9"/>
    <w:rsid w:val="00CF37EE"/>
    <w:rsid w:val="00D01166"/>
    <w:rsid w:val="00D052AF"/>
    <w:rsid w:val="00D059BE"/>
    <w:rsid w:val="00D12BDE"/>
    <w:rsid w:val="00D14FD6"/>
    <w:rsid w:val="00D16379"/>
    <w:rsid w:val="00D16D66"/>
    <w:rsid w:val="00D20D51"/>
    <w:rsid w:val="00D217B4"/>
    <w:rsid w:val="00D305F1"/>
    <w:rsid w:val="00D31750"/>
    <w:rsid w:val="00D32A7B"/>
    <w:rsid w:val="00D32FB4"/>
    <w:rsid w:val="00D3577C"/>
    <w:rsid w:val="00D375AC"/>
    <w:rsid w:val="00D40E7E"/>
    <w:rsid w:val="00D44B3F"/>
    <w:rsid w:val="00D4510D"/>
    <w:rsid w:val="00D47662"/>
    <w:rsid w:val="00D50270"/>
    <w:rsid w:val="00D51CC9"/>
    <w:rsid w:val="00D53A32"/>
    <w:rsid w:val="00D579CA"/>
    <w:rsid w:val="00D60354"/>
    <w:rsid w:val="00D6194B"/>
    <w:rsid w:val="00D620C7"/>
    <w:rsid w:val="00D65F67"/>
    <w:rsid w:val="00D66E24"/>
    <w:rsid w:val="00D673E0"/>
    <w:rsid w:val="00D7060A"/>
    <w:rsid w:val="00D73ECB"/>
    <w:rsid w:val="00D7643E"/>
    <w:rsid w:val="00D76B56"/>
    <w:rsid w:val="00D866CF"/>
    <w:rsid w:val="00D9153D"/>
    <w:rsid w:val="00D93787"/>
    <w:rsid w:val="00D971C9"/>
    <w:rsid w:val="00DA0E1E"/>
    <w:rsid w:val="00DA2043"/>
    <w:rsid w:val="00DA775D"/>
    <w:rsid w:val="00DA7E4A"/>
    <w:rsid w:val="00DB09EA"/>
    <w:rsid w:val="00DB208A"/>
    <w:rsid w:val="00DB2608"/>
    <w:rsid w:val="00DB352B"/>
    <w:rsid w:val="00DB48C6"/>
    <w:rsid w:val="00DB5094"/>
    <w:rsid w:val="00DB7D53"/>
    <w:rsid w:val="00DC09B7"/>
    <w:rsid w:val="00DC1A3B"/>
    <w:rsid w:val="00DC353E"/>
    <w:rsid w:val="00DC77E1"/>
    <w:rsid w:val="00DE596A"/>
    <w:rsid w:val="00DF47A0"/>
    <w:rsid w:val="00DF6004"/>
    <w:rsid w:val="00E00F57"/>
    <w:rsid w:val="00E0641C"/>
    <w:rsid w:val="00E07A42"/>
    <w:rsid w:val="00E11BE9"/>
    <w:rsid w:val="00E135A2"/>
    <w:rsid w:val="00E17A0D"/>
    <w:rsid w:val="00E21090"/>
    <w:rsid w:val="00E212E7"/>
    <w:rsid w:val="00E22F89"/>
    <w:rsid w:val="00E264E6"/>
    <w:rsid w:val="00E275BF"/>
    <w:rsid w:val="00E30A59"/>
    <w:rsid w:val="00E3716E"/>
    <w:rsid w:val="00E37CF2"/>
    <w:rsid w:val="00E4067B"/>
    <w:rsid w:val="00E467C6"/>
    <w:rsid w:val="00E60CD1"/>
    <w:rsid w:val="00E61E00"/>
    <w:rsid w:val="00E7075A"/>
    <w:rsid w:val="00E70A74"/>
    <w:rsid w:val="00E7121E"/>
    <w:rsid w:val="00E75EDF"/>
    <w:rsid w:val="00E961F7"/>
    <w:rsid w:val="00E962BB"/>
    <w:rsid w:val="00E9702D"/>
    <w:rsid w:val="00EA1221"/>
    <w:rsid w:val="00EA14B3"/>
    <w:rsid w:val="00EA1BF8"/>
    <w:rsid w:val="00EA5A66"/>
    <w:rsid w:val="00EB06D0"/>
    <w:rsid w:val="00EB2E5E"/>
    <w:rsid w:val="00EB59AB"/>
    <w:rsid w:val="00EB677C"/>
    <w:rsid w:val="00EC6865"/>
    <w:rsid w:val="00EE37C5"/>
    <w:rsid w:val="00EE5AEE"/>
    <w:rsid w:val="00EF253F"/>
    <w:rsid w:val="00EF2691"/>
    <w:rsid w:val="00EF3333"/>
    <w:rsid w:val="00EF3566"/>
    <w:rsid w:val="00EF5979"/>
    <w:rsid w:val="00F00F81"/>
    <w:rsid w:val="00F0377D"/>
    <w:rsid w:val="00F0645E"/>
    <w:rsid w:val="00F115D1"/>
    <w:rsid w:val="00F120E5"/>
    <w:rsid w:val="00F147BE"/>
    <w:rsid w:val="00F20502"/>
    <w:rsid w:val="00F3473F"/>
    <w:rsid w:val="00F34BB9"/>
    <w:rsid w:val="00F36B77"/>
    <w:rsid w:val="00F37EF7"/>
    <w:rsid w:val="00F40AF5"/>
    <w:rsid w:val="00F437C6"/>
    <w:rsid w:val="00F448B4"/>
    <w:rsid w:val="00F530CB"/>
    <w:rsid w:val="00F5352F"/>
    <w:rsid w:val="00F53D1D"/>
    <w:rsid w:val="00F53DC3"/>
    <w:rsid w:val="00F54300"/>
    <w:rsid w:val="00F5605B"/>
    <w:rsid w:val="00F56DD7"/>
    <w:rsid w:val="00F62818"/>
    <w:rsid w:val="00F66279"/>
    <w:rsid w:val="00F7458A"/>
    <w:rsid w:val="00F746C9"/>
    <w:rsid w:val="00F823B5"/>
    <w:rsid w:val="00F84B82"/>
    <w:rsid w:val="00F85EC9"/>
    <w:rsid w:val="00F90494"/>
    <w:rsid w:val="00FA669D"/>
    <w:rsid w:val="00FB1E2F"/>
    <w:rsid w:val="00FB2859"/>
    <w:rsid w:val="00FB2A98"/>
    <w:rsid w:val="00FB2C5B"/>
    <w:rsid w:val="00FB6CA9"/>
    <w:rsid w:val="00FC6C1C"/>
    <w:rsid w:val="00FD493C"/>
    <w:rsid w:val="00FD5CB0"/>
    <w:rsid w:val="00FE0367"/>
    <w:rsid w:val="00FE1BCD"/>
    <w:rsid w:val="00FE4CA6"/>
    <w:rsid w:val="00FE70CD"/>
    <w:rsid w:val="00FF4823"/>
    <w:rsid w:val="00FF4B3B"/>
    <w:rsid w:val="00FF5067"/>
    <w:rsid w:val="00FF64DC"/>
    <w:rsid w:val="00FF6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10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sid w:val="00E22F89"/>
  </w:style>
  <w:style w:type="paragraph" w:styleId="BodyText">
    <w:name w:val="Body Text"/>
    <w:basedOn w:val="Normal"/>
    <w:link w:val="BodyTextChar"/>
    <w:uiPriority w:val="99"/>
    <w:unhideWhenUsed/>
    <w:rsid w:val="00E22F89"/>
    <w:pPr>
      <w:spacing w:after="120"/>
    </w:pPr>
  </w:style>
  <w:style w:type="character" w:customStyle="1" w:styleId="FooterChar">
    <w:name w:val="Footer Char"/>
    <w:basedOn w:val="DefaultParagraphFont"/>
    <w:link w:val="Footer"/>
    <w:uiPriority w:val="99"/>
    <w:rsid w:val="00E22F89"/>
  </w:style>
  <w:style w:type="paragraph" w:styleId="Footer">
    <w:name w:val="footer"/>
    <w:basedOn w:val="Normal"/>
    <w:link w:val="FooterChar"/>
    <w:uiPriority w:val="99"/>
    <w:unhideWhenUsed/>
    <w:rsid w:val="00E22F89"/>
    <w:pPr>
      <w:tabs>
        <w:tab w:val="center" w:pos="4680"/>
        <w:tab w:val="right" w:pos="9360"/>
      </w:tabs>
      <w:spacing w:after="0" w:line="240" w:lineRule="auto"/>
    </w:pPr>
  </w:style>
  <w:style w:type="character" w:customStyle="1" w:styleId="BalloonTextChar">
    <w:name w:val="Balloon Text Char"/>
    <w:basedOn w:val="DefaultParagraphFont"/>
    <w:link w:val="BalloonText"/>
    <w:uiPriority w:val="99"/>
    <w:semiHidden/>
    <w:rsid w:val="00E22F89"/>
    <w:rPr>
      <w:rFonts w:ascii="Lucida Grande" w:hAnsi="Lucida Grande"/>
      <w:sz w:val="18"/>
      <w:szCs w:val="18"/>
    </w:rPr>
  </w:style>
  <w:style w:type="paragraph" w:styleId="BalloonText">
    <w:name w:val="Balloon Text"/>
    <w:basedOn w:val="Normal"/>
    <w:link w:val="BalloonTextChar"/>
    <w:uiPriority w:val="99"/>
    <w:semiHidden/>
    <w:unhideWhenUsed/>
    <w:rsid w:val="00E22F89"/>
    <w:pPr>
      <w:spacing w:after="0" w:line="240" w:lineRule="auto"/>
    </w:pPr>
    <w:rPr>
      <w:rFonts w:ascii="Lucida Grande" w:hAnsi="Lucida Grande"/>
      <w:sz w:val="18"/>
      <w:szCs w:val="18"/>
    </w:rPr>
  </w:style>
  <w:style w:type="character" w:customStyle="1" w:styleId="CommentTextChar">
    <w:name w:val="Comment Text Char"/>
    <w:basedOn w:val="DefaultParagraphFont"/>
    <w:link w:val="CommentText"/>
    <w:uiPriority w:val="99"/>
    <w:semiHidden/>
    <w:rsid w:val="00E22F89"/>
    <w:rPr>
      <w:sz w:val="24"/>
      <w:szCs w:val="24"/>
    </w:rPr>
  </w:style>
  <w:style w:type="paragraph" w:styleId="CommentText">
    <w:name w:val="annotation text"/>
    <w:basedOn w:val="Normal"/>
    <w:link w:val="CommentTextChar"/>
    <w:uiPriority w:val="99"/>
    <w:semiHidden/>
    <w:unhideWhenUsed/>
    <w:rsid w:val="00E22F89"/>
    <w:pPr>
      <w:spacing w:line="240" w:lineRule="auto"/>
    </w:pPr>
    <w:rPr>
      <w:sz w:val="24"/>
      <w:szCs w:val="24"/>
    </w:rPr>
  </w:style>
  <w:style w:type="character" w:customStyle="1" w:styleId="CommentSubjectChar">
    <w:name w:val="Comment Subject Char"/>
    <w:basedOn w:val="CommentTextChar"/>
    <w:link w:val="CommentSubject"/>
    <w:uiPriority w:val="99"/>
    <w:semiHidden/>
    <w:rsid w:val="00E22F89"/>
    <w:rPr>
      <w:b/>
      <w:bCs/>
      <w:sz w:val="20"/>
      <w:szCs w:val="20"/>
    </w:rPr>
  </w:style>
  <w:style w:type="paragraph" w:styleId="CommentSubject">
    <w:name w:val="annotation subject"/>
    <w:basedOn w:val="CommentText"/>
    <w:next w:val="CommentText"/>
    <w:link w:val="CommentSubjectChar"/>
    <w:uiPriority w:val="99"/>
    <w:semiHidden/>
    <w:unhideWhenUsed/>
    <w:rsid w:val="00E22F89"/>
    <w:rPr>
      <w:b/>
      <w:bCs/>
      <w:sz w:val="20"/>
      <w:szCs w:val="20"/>
    </w:rPr>
  </w:style>
  <w:style w:type="character" w:customStyle="1" w:styleId="DocumentMapChar">
    <w:name w:val="Document Map Char"/>
    <w:basedOn w:val="DefaultParagraphFont"/>
    <w:link w:val="DocumentMap"/>
    <w:uiPriority w:val="99"/>
    <w:semiHidden/>
    <w:rsid w:val="00E22F89"/>
    <w:rPr>
      <w:rFonts w:ascii="Lucida Grande" w:hAnsi="Lucida Grande" w:cs="Lucida Grande"/>
      <w:sz w:val="24"/>
      <w:szCs w:val="24"/>
    </w:rPr>
  </w:style>
  <w:style w:type="paragraph" w:styleId="DocumentMap">
    <w:name w:val="Document Map"/>
    <w:basedOn w:val="Normal"/>
    <w:link w:val="DocumentMapChar"/>
    <w:uiPriority w:val="99"/>
    <w:semiHidden/>
    <w:unhideWhenUsed/>
    <w:rsid w:val="00E22F89"/>
    <w:pPr>
      <w:spacing w:after="0" w:line="240" w:lineRule="auto"/>
    </w:pPr>
    <w:rPr>
      <w:rFonts w:ascii="Lucida Grande" w:hAnsi="Lucida Grande" w:cs="Lucida Grande"/>
      <w:sz w:val="24"/>
      <w:szCs w:val="24"/>
    </w:rPr>
  </w:style>
  <w:style w:type="character" w:customStyle="1" w:styleId="BodyTextFirstIndentChar">
    <w:name w:val="Body Text First Indent Char"/>
    <w:basedOn w:val="BodyTextChar"/>
    <w:link w:val="BodyTextFirstIndent"/>
    <w:uiPriority w:val="99"/>
    <w:semiHidden/>
    <w:rsid w:val="00E22F89"/>
  </w:style>
  <w:style w:type="paragraph" w:styleId="BodyTextFirstIndent">
    <w:name w:val="Body Text First Indent"/>
    <w:basedOn w:val="BodyText"/>
    <w:link w:val="BodyTextFirstIndentChar"/>
    <w:uiPriority w:val="99"/>
    <w:semiHidden/>
    <w:unhideWhenUsed/>
    <w:rsid w:val="00E22F89"/>
    <w:pPr>
      <w:spacing w:after="160"/>
      <w:ind w:firstLine="360"/>
    </w:pPr>
  </w:style>
  <w:style w:type="character" w:customStyle="1" w:styleId="HeaderChar">
    <w:name w:val="Header Char"/>
    <w:basedOn w:val="DefaultParagraphFont"/>
    <w:link w:val="Header"/>
    <w:uiPriority w:val="99"/>
    <w:rsid w:val="00E22F89"/>
  </w:style>
  <w:style w:type="paragraph" w:styleId="Header">
    <w:name w:val="header"/>
    <w:basedOn w:val="Normal"/>
    <w:link w:val="HeaderChar"/>
    <w:uiPriority w:val="99"/>
    <w:unhideWhenUsed/>
    <w:rsid w:val="00E22F89"/>
    <w:pPr>
      <w:tabs>
        <w:tab w:val="center" w:pos="4320"/>
        <w:tab w:val="right" w:pos="8640"/>
      </w:tabs>
      <w:spacing w:after="0" w:line="240" w:lineRule="auto"/>
    </w:pPr>
  </w:style>
  <w:style w:type="character" w:styleId="CommentReference">
    <w:name w:val="annotation reference"/>
    <w:basedOn w:val="DefaultParagraphFont"/>
    <w:uiPriority w:val="99"/>
    <w:semiHidden/>
    <w:unhideWhenUsed/>
    <w:rsid w:val="00E22F89"/>
    <w:rPr>
      <w:sz w:val="18"/>
      <w:szCs w:val="18"/>
    </w:rPr>
  </w:style>
  <w:style w:type="paragraph" w:styleId="Bibliography">
    <w:name w:val="Bibliography"/>
    <w:basedOn w:val="Normal"/>
    <w:next w:val="Normal"/>
    <w:uiPriority w:val="37"/>
    <w:unhideWhenUsed/>
    <w:rsid w:val="00F37EF7"/>
    <w:pPr>
      <w:tabs>
        <w:tab w:val="left" w:pos="384"/>
      </w:tabs>
      <w:spacing w:after="240" w:line="240" w:lineRule="auto"/>
      <w:ind w:left="384" w:hanging="384"/>
    </w:pPr>
  </w:style>
  <w:style w:type="character" w:styleId="Hyperlink">
    <w:name w:val="Hyperlink"/>
    <w:basedOn w:val="DefaultParagraphFont"/>
    <w:uiPriority w:val="99"/>
    <w:unhideWhenUsed/>
    <w:rsid w:val="00BA2755"/>
    <w:rPr>
      <w:color w:val="0563C1" w:themeColor="hyperlink"/>
      <w:u w:val="single"/>
    </w:rPr>
  </w:style>
  <w:style w:type="character" w:customStyle="1" w:styleId="UnresolvedMention1">
    <w:name w:val="Unresolved Mention1"/>
    <w:basedOn w:val="DefaultParagraphFont"/>
    <w:uiPriority w:val="99"/>
    <w:semiHidden/>
    <w:unhideWhenUsed/>
    <w:rsid w:val="00BA2755"/>
    <w:rPr>
      <w:color w:val="605E5C"/>
      <w:shd w:val="clear" w:color="auto" w:fill="E1DFDD"/>
    </w:rPr>
  </w:style>
  <w:style w:type="table" w:styleId="TableGrid">
    <w:name w:val="Table Grid"/>
    <w:basedOn w:val="TableNormal"/>
    <w:uiPriority w:val="39"/>
    <w:rsid w:val="00AF7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6367A"/>
  </w:style>
  <w:style w:type="character" w:styleId="LineNumber">
    <w:name w:val="line number"/>
    <w:basedOn w:val="DefaultParagraphFont"/>
    <w:uiPriority w:val="99"/>
    <w:semiHidden/>
    <w:unhideWhenUsed/>
    <w:rsid w:val="0066367A"/>
  </w:style>
  <w:style w:type="character" w:customStyle="1" w:styleId="BodyTextChar1">
    <w:name w:val="Body Text Char1"/>
    <w:basedOn w:val="DefaultParagraphFont"/>
    <w:uiPriority w:val="99"/>
    <w:semiHidden/>
    <w:rsid w:val="00DC353E"/>
    <w:rPr>
      <w:sz w:val="22"/>
      <w:szCs w:val="22"/>
    </w:rPr>
  </w:style>
  <w:style w:type="character" w:customStyle="1" w:styleId="BodyTextChar11">
    <w:name w:val="Body Text Char11"/>
    <w:basedOn w:val="DefaultParagraphFont"/>
    <w:uiPriority w:val="99"/>
    <w:semiHidden/>
    <w:rsid w:val="00DC353E"/>
    <w:rPr>
      <w:rFonts w:eastAsia="Times New Roman" w:cs="Times New Roman"/>
      <w:sz w:val="22"/>
      <w:szCs w:val="22"/>
    </w:rPr>
  </w:style>
  <w:style w:type="character" w:customStyle="1" w:styleId="FooterChar1">
    <w:name w:val="Footer Char1"/>
    <w:basedOn w:val="DefaultParagraphFont"/>
    <w:uiPriority w:val="99"/>
    <w:semiHidden/>
    <w:rsid w:val="00DC353E"/>
    <w:rPr>
      <w:sz w:val="22"/>
      <w:szCs w:val="22"/>
    </w:rPr>
  </w:style>
  <w:style w:type="character" w:customStyle="1" w:styleId="FooterChar11">
    <w:name w:val="Footer Char11"/>
    <w:basedOn w:val="DefaultParagraphFont"/>
    <w:uiPriority w:val="99"/>
    <w:semiHidden/>
    <w:rsid w:val="00DC353E"/>
    <w:rPr>
      <w:rFonts w:eastAsia="Times New Roman" w:cs="Times New Roman"/>
      <w:sz w:val="22"/>
      <w:szCs w:val="22"/>
    </w:rPr>
  </w:style>
  <w:style w:type="character" w:customStyle="1" w:styleId="BalloonTextChar1">
    <w:name w:val="Balloon Text Char1"/>
    <w:basedOn w:val="DefaultParagraphFont"/>
    <w:uiPriority w:val="99"/>
    <w:semiHidden/>
    <w:rsid w:val="00DC353E"/>
    <w:rPr>
      <w:rFonts w:ascii="Segoe UI" w:hAnsi="Segoe UI" w:cs="Segoe UI"/>
      <w:sz w:val="18"/>
      <w:szCs w:val="18"/>
    </w:rPr>
  </w:style>
  <w:style w:type="character" w:customStyle="1" w:styleId="BalloonTextChar11">
    <w:name w:val="Balloon Text Char11"/>
    <w:basedOn w:val="DefaultParagraphFont"/>
    <w:uiPriority w:val="99"/>
    <w:semiHidden/>
    <w:rsid w:val="00DC353E"/>
    <w:rPr>
      <w:rFonts w:ascii="Lucida Grande" w:hAnsi="Lucida Grande" w:cs="Lucida Grande"/>
      <w:sz w:val="18"/>
      <w:szCs w:val="18"/>
    </w:rPr>
  </w:style>
  <w:style w:type="character" w:customStyle="1" w:styleId="CommentTextChar1">
    <w:name w:val="Comment Text Char1"/>
    <w:basedOn w:val="DefaultParagraphFont"/>
    <w:uiPriority w:val="99"/>
    <w:semiHidden/>
    <w:rsid w:val="00DC353E"/>
    <w:rPr>
      <w:sz w:val="20"/>
      <w:szCs w:val="20"/>
    </w:rPr>
  </w:style>
  <w:style w:type="character" w:customStyle="1" w:styleId="CommentTextChar11">
    <w:name w:val="Comment Text Char11"/>
    <w:basedOn w:val="DefaultParagraphFont"/>
    <w:uiPriority w:val="99"/>
    <w:semiHidden/>
    <w:rsid w:val="00DC353E"/>
    <w:rPr>
      <w:rFonts w:eastAsia="Times New Roman" w:cs="Times New Roman"/>
    </w:rPr>
  </w:style>
  <w:style w:type="character" w:customStyle="1" w:styleId="CommentSubjectChar1">
    <w:name w:val="Comment Subject Char1"/>
    <w:basedOn w:val="CommentTextChar"/>
    <w:uiPriority w:val="99"/>
    <w:semiHidden/>
    <w:rsid w:val="00DC353E"/>
    <w:rPr>
      <w:rFonts w:cs="Times New Roman"/>
      <w:b/>
      <w:bCs/>
      <w:sz w:val="20"/>
      <w:szCs w:val="20"/>
    </w:rPr>
  </w:style>
  <w:style w:type="character" w:customStyle="1" w:styleId="CommentSubjectChar11">
    <w:name w:val="Comment Subject Char11"/>
    <w:basedOn w:val="CommentTextChar11"/>
    <w:uiPriority w:val="99"/>
    <w:semiHidden/>
    <w:rsid w:val="00DC353E"/>
    <w:rPr>
      <w:rFonts w:eastAsia="Times New Roman" w:cs="Times New Roman"/>
      <w:b/>
      <w:bCs/>
      <w:sz w:val="20"/>
      <w:szCs w:val="20"/>
    </w:rPr>
  </w:style>
  <w:style w:type="character" w:customStyle="1" w:styleId="DocumentMapChar1">
    <w:name w:val="Document Map Char1"/>
    <w:basedOn w:val="DefaultParagraphFont"/>
    <w:uiPriority w:val="99"/>
    <w:semiHidden/>
    <w:rsid w:val="00DC353E"/>
    <w:rPr>
      <w:rFonts w:ascii="Segoe UI" w:hAnsi="Segoe UI" w:cs="Segoe UI"/>
      <w:sz w:val="16"/>
      <w:szCs w:val="16"/>
    </w:rPr>
  </w:style>
  <w:style w:type="character" w:customStyle="1" w:styleId="DocumentMapChar11">
    <w:name w:val="Document Map Char11"/>
    <w:basedOn w:val="DefaultParagraphFont"/>
    <w:uiPriority w:val="99"/>
    <w:semiHidden/>
    <w:rsid w:val="00DC353E"/>
    <w:rPr>
      <w:rFonts w:ascii="Lucida Grande" w:hAnsi="Lucida Grande" w:cs="Lucida Grande"/>
    </w:rPr>
  </w:style>
  <w:style w:type="character" w:customStyle="1" w:styleId="BodyTextFirstIndentChar1">
    <w:name w:val="Body Text First Indent Char1"/>
    <w:basedOn w:val="BodyTextChar"/>
    <w:uiPriority w:val="99"/>
    <w:semiHidden/>
    <w:rsid w:val="00DC353E"/>
    <w:rPr>
      <w:rFonts w:cs="Times New Roman"/>
      <w:sz w:val="22"/>
      <w:szCs w:val="22"/>
    </w:rPr>
  </w:style>
  <w:style w:type="character" w:customStyle="1" w:styleId="BodyTextFirstIndentChar11">
    <w:name w:val="Body Text First Indent Char11"/>
    <w:basedOn w:val="BodyTextChar11"/>
    <w:uiPriority w:val="99"/>
    <w:semiHidden/>
    <w:rsid w:val="00DC353E"/>
    <w:rPr>
      <w:rFonts w:eastAsia="Times New Roman" w:cs="Times New Roman"/>
      <w:sz w:val="22"/>
      <w:szCs w:val="22"/>
    </w:rPr>
  </w:style>
  <w:style w:type="character" w:customStyle="1" w:styleId="HeaderChar1">
    <w:name w:val="Header Char1"/>
    <w:basedOn w:val="DefaultParagraphFont"/>
    <w:uiPriority w:val="99"/>
    <w:semiHidden/>
    <w:rsid w:val="00DC353E"/>
    <w:rPr>
      <w:sz w:val="22"/>
      <w:szCs w:val="22"/>
    </w:rPr>
  </w:style>
  <w:style w:type="character" w:customStyle="1" w:styleId="HeaderChar11">
    <w:name w:val="Header Char11"/>
    <w:basedOn w:val="DefaultParagraphFont"/>
    <w:uiPriority w:val="99"/>
    <w:semiHidden/>
    <w:rsid w:val="00DC353E"/>
    <w:rPr>
      <w:rFonts w:eastAsia="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sid w:val="00E22F89"/>
  </w:style>
  <w:style w:type="paragraph" w:styleId="BodyText">
    <w:name w:val="Body Text"/>
    <w:basedOn w:val="Normal"/>
    <w:link w:val="BodyTextChar"/>
    <w:uiPriority w:val="99"/>
    <w:unhideWhenUsed/>
    <w:rsid w:val="00E22F89"/>
    <w:pPr>
      <w:spacing w:after="120"/>
    </w:pPr>
  </w:style>
  <w:style w:type="character" w:customStyle="1" w:styleId="FooterChar">
    <w:name w:val="Footer Char"/>
    <w:basedOn w:val="DefaultParagraphFont"/>
    <w:link w:val="Footer"/>
    <w:uiPriority w:val="99"/>
    <w:rsid w:val="00E22F89"/>
  </w:style>
  <w:style w:type="paragraph" w:styleId="Footer">
    <w:name w:val="footer"/>
    <w:basedOn w:val="Normal"/>
    <w:link w:val="FooterChar"/>
    <w:uiPriority w:val="99"/>
    <w:unhideWhenUsed/>
    <w:rsid w:val="00E22F89"/>
    <w:pPr>
      <w:tabs>
        <w:tab w:val="center" w:pos="4680"/>
        <w:tab w:val="right" w:pos="9360"/>
      </w:tabs>
      <w:spacing w:after="0" w:line="240" w:lineRule="auto"/>
    </w:pPr>
  </w:style>
  <w:style w:type="character" w:customStyle="1" w:styleId="BalloonTextChar">
    <w:name w:val="Balloon Text Char"/>
    <w:basedOn w:val="DefaultParagraphFont"/>
    <w:link w:val="BalloonText"/>
    <w:uiPriority w:val="99"/>
    <w:semiHidden/>
    <w:rsid w:val="00E22F89"/>
    <w:rPr>
      <w:rFonts w:ascii="Lucida Grande" w:hAnsi="Lucida Grande"/>
      <w:sz w:val="18"/>
      <w:szCs w:val="18"/>
    </w:rPr>
  </w:style>
  <w:style w:type="paragraph" w:styleId="BalloonText">
    <w:name w:val="Balloon Text"/>
    <w:basedOn w:val="Normal"/>
    <w:link w:val="BalloonTextChar"/>
    <w:uiPriority w:val="99"/>
    <w:semiHidden/>
    <w:unhideWhenUsed/>
    <w:rsid w:val="00E22F89"/>
    <w:pPr>
      <w:spacing w:after="0" w:line="240" w:lineRule="auto"/>
    </w:pPr>
    <w:rPr>
      <w:rFonts w:ascii="Lucida Grande" w:hAnsi="Lucida Grande"/>
      <w:sz w:val="18"/>
      <w:szCs w:val="18"/>
    </w:rPr>
  </w:style>
  <w:style w:type="character" w:customStyle="1" w:styleId="CommentTextChar">
    <w:name w:val="Comment Text Char"/>
    <w:basedOn w:val="DefaultParagraphFont"/>
    <w:link w:val="CommentText"/>
    <w:uiPriority w:val="99"/>
    <w:semiHidden/>
    <w:rsid w:val="00E22F89"/>
    <w:rPr>
      <w:sz w:val="24"/>
      <w:szCs w:val="24"/>
    </w:rPr>
  </w:style>
  <w:style w:type="paragraph" w:styleId="CommentText">
    <w:name w:val="annotation text"/>
    <w:basedOn w:val="Normal"/>
    <w:link w:val="CommentTextChar"/>
    <w:uiPriority w:val="99"/>
    <w:semiHidden/>
    <w:unhideWhenUsed/>
    <w:rsid w:val="00E22F89"/>
    <w:pPr>
      <w:spacing w:line="240" w:lineRule="auto"/>
    </w:pPr>
    <w:rPr>
      <w:sz w:val="24"/>
      <w:szCs w:val="24"/>
    </w:rPr>
  </w:style>
  <w:style w:type="character" w:customStyle="1" w:styleId="CommentSubjectChar">
    <w:name w:val="Comment Subject Char"/>
    <w:basedOn w:val="CommentTextChar"/>
    <w:link w:val="CommentSubject"/>
    <w:uiPriority w:val="99"/>
    <w:semiHidden/>
    <w:rsid w:val="00E22F89"/>
    <w:rPr>
      <w:b/>
      <w:bCs/>
      <w:sz w:val="20"/>
      <w:szCs w:val="20"/>
    </w:rPr>
  </w:style>
  <w:style w:type="paragraph" w:styleId="CommentSubject">
    <w:name w:val="annotation subject"/>
    <w:basedOn w:val="CommentText"/>
    <w:next w:val="CommentText"/>
    <w:link w:val="CommentSubjectChar"/>
    <w:uiPriority w:val="99"/>
    <w:semiHidden/>
    <w:unhideWhenUsed/>
    <w:rsid w:val="00E22F89"/>
    <w:rPr>
      <w:b/>
      <w:bCs/>
      <w:sz w:val="20"/>
      <w:szCs w:val="20"/>
    </w:rPr>
  </w:style>
  <w:style w:type="character" w:customStyle="1" w:styleId="DocumentMapChar">
    <w:name w:val="Document Map Char"/>
    <w:basedOn w:val="DefaultParagraphFont"/>
    <w:link w:val="DocumentMap"/>
    <w:uiPriority w:val="99"/>
    <w:semiHidden/>
    <w:rsid w:val="00E22F89"/>
    <w:rPr>
      <w:rFonts w:ascii="Lucida Grande" w:hAnsi="Lucida Grande" w:cs="Lucida Grande"/>
      <w:sz w:val="24"/>
      <w:szCs w:val="24"/>
    </w:rPr>
  </w:style>
  <w:style w:type="paragraph" w:styleId="DocumentMap">
    <w:name w:val="Document Map"/>
    <w:basedOn w:val="Normal"/>
    <w:link w:val="DocumentMapChar"/>
    <w:uiPriority w:val="99"/>
    <w:semiHidden/>
    <w:unhideWhenUsed/>
    <w:rsid w:val="00E22F89"/>
    <w:pPr>
      <w:spacing w:after="0" w:line="240" w:lineRule="auto"/>
    </w:pPr>
    <w:rPr>
      <w:rFonts w:ascii="Lucida Grande" w:hAnsi="Lucida Grande" w:cs="Lucida Grande"/>
      <w:sz w:val="24"/>
      <w:szCs w:val="24"/>
    </w:rPr>
  </w:style>
  <w:style w:type="character" w:customStyle="1" w:styleId="BodyTextFirstIndentChar">
    <w:name w:val="Body Text First Indent Char"/>
    <w:basedOn w:val="BodyTextChar"/>
    <w:link w:val="BodyTextFirstIndent"/>
    <w:uiPriority w:val="99"/>
    <w:semiHidden/>
    <w:rsid w:val="00E22F89"/>
  </w:style>
  <w:style w:type="paragraph" w:styleId="BodyTextFirstIndent">
    <w:name w:val="Body Text First Indent"/>
    <w:basedOn w:val="BodyText"/>
    <w:link w:val="BodyTextFirstIndentChar"/>
    <w:uiPriority w:val="99"/>
    <w:semiHidden/>
    <w:unhideWhenUsed/>
    <w:rsid w:val="00E22F89"/>
    <w:pPr>
      <w:spacing w:after="160"/>
      <w:ind w:firstLine="360"/>
    </w:pPr>
  </w:style>
  <w:style w:type="character" w:customStyle="1" w:styleId="HeaderChar">
    <w:name w:val="Header Char"/>
    <w:basedOn w:val="DefaultParagraphFont"/>
    <w:link w:val="Header"/>
    <w:uiPriority w:val="99"/>
    <w:rsid w:val="00E22F89"/>
  </w:style>
  <w:style w:type="paragraph" w:styleId="Header">
    <w:name w:val="header"/>
    <w:basedOn w:val="Normal"/>
    <w:link w:val="HeaderChar"/>
    <w:uiPriority w:val="99"/>
    <w:unhideWhenUsed/>
    <w:rsid w:val="00E22F89"/>
    <w:pPr>
      <w:tabs>
        <w:tab w:val="center" w:pos="4320"/>
        <w:tab w:val="right" w:pos="8640"/>
      </w:tabs>
      <w:spacing w:after="0" w:line="240" w:lineRule="auto"/>
    </w:pPr>
  </w:style>
  <w:style w:type="character" w:styleId="CommentReference">
    <w:name w:val="annotation reference"/>
    <w:basedOn w:val="DefaultParagraphFont"/>
    <w:uiPriority w:val="99"/>
    <w:semiHidden/>
    <w:unhideWhenUsed/>
    <w:rsid w:val="00E22F89"/>
    <w:rPr>
      <w:sz w:val="18"/>
      <w:szCs w:val="18"/>
    </w:rPr>
  </w:style>
  <w:style w:type="paragraph" w:styleId="Bibliography">
    <w:name w:val="Bibliography"/>
    <w:basedOn w:val="Normal"/>
    <w:next w:val="Normal"/>
    <w:uiPriority w:val="37"/>
    <w:unhideWhenUsed/>
    <w:rsid w:val="00F37EF7"/>
    <w:pPr>
      <w:tabs>
        <w:tab w:val="left" w:pos="384"/>
      </w:tabs>
      <w:spacing w:after="240" w:line="240" w:lineRule="auto"/>
      <w:ind w:left="384" w:hanging="384"/>
    </w:pPr>
  </w:style>
  <w:style w:type="character" w:styleId="Hyperlink">
    <w:name w:val="Hyperlink"/>
    <w:basedOn w:val="DefaultParagraphFont"/>
    <w:uiPriority w:val="99"/>
    <w:unhideWhenUsed/>
    <w:rsid w:val="00BA2755"/>
    <w:rPr>
      <w:color w:val="0563C1" w:themeColor="hyperlink"/>
      <w:u w:val="single"/>
    </w:rPr>
  </w:style>
  <w:style w:type="character" w:customStyle="1" w:styleId="UnresolvedMention1">
    <w:name w:val="Unresolved Mention1"/>
    <w:basedOn w:val="DefaultParagraphFont"/>
    <w:uiPriority w:val="99"/>
    <w:semiHidden/>
    <w:unhideWhenUsed/>
    <w:rsid w:val="00BA2755"/>
    <w:rPr>
      <w:color w:val="605E5C"/>
      <w:shd w:val="clear" w:color="auto" w:fill="E1DFDD"/>
    </w:rPr>
  </w:style>
  <w:style w:type="table" w:styleId="TableGrid">
    <w:name w:val="Table Grid"/>
    <w:basedOn w:val="TableNormal"/>
    <w:uiPriority w:val="39"/>
    <w:rsid w:val="00AF7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6367A"/>
  </w:style>
  <w:style w:type="character" w:styleId="LineNumber">
    <w:name w:val="line number"/>
    <w:basedOn w:val="DefaultParagraphFont"/>
    <w:uiPriority w:val="99"/>
    <w:semiHidden/>
    <w:unhideWhenUsed/>
    <w:rsid w:val="0066367A"/>
  </w:style>
  <w:style w:type="character" w:customStyle="1" w:styleId="BodyTextChar1">
    <w:name w:val="Body Text Char1"/>
    <w:basedOn w:val="DefaultParagraphFont"/>
    <w:uiPriority w:val="99"/>
    <w:semiHidden/>
    <w:rsid w:val="00DC353E"/>
    <w:rPr>
      <w:sz w:val="22"/>
      <w:szCs w:val="22"/>
    </w:rPr>
  </w:style>
  <w:style w:type="character" w:customStyle="1" w:styleId="BodyTextChar11">
    <w:name w:val="Body Text Char11"/>
    <w:basedOn w:val="DefaultParagraphFont"/>
    <w:uiPriority w:val="99"/>
    <w:semiHidden/>
    <w:rsid w:val="00DC353E"/>
    <w:rPr>
      <w:rFonts w:eastAsia="Times New Roman" w:cs="Times New Roman"/>
      <w:sz w:val="22"/>
      <w:szCs w:val="22"/>
    </w:rPr>
  </w:style>
  <w:style w:type="character" w:customStyle="1" w:styleId="FooterChar1">
    <w:name w:val="Footer Char1"/>
    <w:basedOn w:val="DefaultParagraphFont"/>
    <w:uiPriority w:val="99"/>
    <w:semiHidden/>
    <w:rsid w:val="00DC353E"/>
    <w:rPr>
      <w:sz w:val="22"/>
      <w:szCs w:val="22"/>
    </w:rPr>
  </w:style>
  <w:style w:type="character" w:customStyle="1" w:styleId="FooterChar11">
    <w:name w:val="Footer Char11"/>
    <w:basedOn w:val="DefaultParagraphFont"/>
    <w:uiPriority w:val="99"/>
    <w:semiHidden/>
    <w:rsid w:val="00DC353E"/>
    <w:rPr>
      <w:rFonts w:eastAsia="Times New Roman" w:cs="Times New Roman"/>
      <w:sz w:val="22"/>
      <w:szCs w:val="22"/>
    </w:rPr>
  </w:style>
  <w:style w:type="character" w:customStyle="1" w:styleId="BalloonTextChar1">
    <w:name w:val="Balloon Text Char1"/>
    <w:basedOn w:val="DefaultParagraphFont"/>
    <w:uiPriority w:val="99"/>
    <w:semiHidden/>
    <w:rsid w:val="00DC353E"/>
    <w:rPr>
      <w:rFonts w:ascii="Segoe UI" w:hAnsi="Segoe UI" w:cs="Segoe UI"/>
      <w:sz w:val="18"/>
      <w:szCs w:val="18"/>
    </w:rPr>
  </w:style>
  <w:style w:type="character" w:customStyle="1" w:styleId="BalloonTextChar11">
    <w:name w:val="Balloon Text Char11"/>
    <w:basedOn w:val="DefaultParagraphFont"/>
    <w:uiPriority w:val="99"/>
    <w:semiHidden/>
    <w:rsid w:val="00DC353E"/>
    <w:rPr>
      <w:rFonts w:ascii="Lucida Grande" w:hAnsi="Lucida Grande" w:cs="Lucida Grande"/>
      <w:sz w:val="18"/>
      <w:szCs w:val="18"/>
    </w:rPr>
  </w:style>
  <w:style w:type="character" w:customStyle="1" w:styleId="CommentTextChar1">
    <w:name w:val="Comment Text Char1"/>
    <w:basedOn w:val="DefaultParagraphFont"/>
    <w:uiPriority w:val="99"/>
    <w:semiHidden/>
    <w:rsid w:val="00DC353E"/>
    <w:rPr>
      <w:sz w:val="20"/>
      <w:szCs w:val="20"/>
    </w:rPr>
  </w:style>
  <w:style w:type="character" w:customStyle="1" w:styleId="CommentTextChar11">
    <w:name w:val="Comment Text Char11"/>
    <w:basedOn w:val="DefaultParagraphFont"/>
    <w:uiPriority w:val="99"/>
    <w:semiHidden/>
    <w:rsid w:val="00DC353E"/>
    <w:rPr>
      <w:rFonts w:eastAsia="Times New Roman" w:cs="Times New Roman"/>
    </w:rPr>
  </w:style>
  <w:style w:type="character" w:customStyle="1" w:styleId="CommentSubjectChar1">
    <w:name w:val="Comment Subject Char1"/>
    <w:basedOn w:val="CommentTextChar"/>
    <w:uiPriority w:val="99"/>
    <w:semiHidden/>
    <w:rsid w:val="00DC353E"/>
    <w:rPr>
      <w:rFonts w:cs="Times New Roman"/>
      <w:b/>
      <w:bCs/>
      <w:sz w:val="20"/>
      <w:szCs w:val="20"/>
    </w:rPr>
  </w:style>
  <w:style w:type="character" w:customStyle="1" w:styleId="CommentSubjectChar11">
    <w:name w:val="Comment Subject Char11"/>
    <w:basedOn w:val="CommentTextChar11"/>
    <w:uiPriority w:val="99"/>
    <w:semiHidden/>
    <w:rsid w:val="00DC353E"/>
    <w:rPr>
      <w:rFonts w:eastAsia="Times New Roman" w:cs="Times New Roman"/>
      <w:b/>
      <w:bCs/>
      <w:sz w:val="20"/>
      <w:szCs w:val="20"/>
    </w:rPr>
  </w:style>
  <w:style w:type="character" w:customStyle="1" w:styleId="DocumentMapChar1">
    <w:name w:val="Document Map Char1"/>
    <w:basedOn w:val="DefaultParagraphFont"/>
    <w:uiPriority w:val="99"/>
    <w:semiHidden/>
    <w:rsid w:val="00DC353E"/>
    <w:rPr>
      <w:rFonts w:ascii="Segoe UI" w:hAnsi="Segoe UI" w:cs="Segoe UI"/>
      <w:sz w:val="16"/>
      <w:szCs w:val="16"/>
    </w:rPr>
  </w:style>
  <w:style w:type="character" w:customStyle="1" w:styleId="DocumentMapChar11">
    <w:name w:val="Document Map Char11"/>
    <w:basedOn w:val="DefaultParagraphFont"/>
    <w:uiPriority w:val="99"/>
    <w:semiHidden/>
    <w:rsid w:val="00DC353E"/>
    <w:rPr>
      <w:rFonts w:ascii="Lucida Grande" w:hAnsi="Lucida Grande" w:cs="Lucida Grande"/>
    </w:rPr>
  </w:style>
  <w:style w:type="character" w:customStyle="1" w:styleId="BodyTextFirstIndentChar1">
    <w:name w:val="Body Text First Indent Char1"/>
    <w:basedOn w:val="BodyTextChar"/>
    <w:uiPriority w:val="99"/>
    <w:semiHidden/>
    <w:rsid w:val="00DC353E"/>
    <w:rPr>
      <w:rFonts w:cs="Times New Roman"/>
      <w:sz w:val="22"/>
      <w:szCs w:val="22"/>
    </w:rPr>
  </w:style>
  <w:style w:type="character" w:customStyle="1" w:styleId="BodyTextFirstIndentChar11">
    <w:name w:val="Body Text First Indent Char11"/>
    <w:basedOn w:val="BodyTextChar11"/>
    <w:uiPriority w:val="99"/>
    <w:semiHidden/>
    <w:rsid w:val="00DC353E"/>
    <w:rPr>
      <w:rFonts w:eastAsia="Times New Roman" w:cs="Times New Roman"/>
      <w:sz w:val="22"/>
      <w:szCs w:val="22"/>
    </w:rPr>
  </w:style>
  <w:style w:type="character" w:customStyle="1" w:styleId="HeaderChar1">
    <w:name w:val="Header Char1"/>
    <w:basedOn w:val="DefaultParagraphFont"/>
    <w:uiPriority w:val="99"/>
    <w:semiHidden/>
    <w:rsid w:val="00DC353E"/>
    <w:rPr>
      <w:sz w:val="22"/>
      <w:szCs w:val="22"/>
    </w:rPr>
  </w:style>
  <w:style w:type="character" w:customStyle="1" w:styleId="HeaderChar11">
    <w:name w:val="Header Char11"/>
    <w:basedOn w:val="DefaultParagraphFont"/>
    <w:uiPriority w:val="99"/>
    <w:semiHidden/>
    <w:rsid w:val="00DC353E"/>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044">
      <w:bodyDiv w:val="1"/>
      <w:marLeft w:val="0"/>
      <w:marRight w:val="0"/>
      <w:marTop w:val="0"/>
      <w:marBottom w:val="0"/>
      <w:divBdr>
        <w:top w:val="none" w:sz="0" w:space="0" w:color="auto"/>
        <w:left w:val="none" w:sz="0" w:space="0" w:color="auto"/>
        <w:bottom w:val="none" w:sz="0" w:space="0" w:color="auto"/>
        <w:right w:val="none" w:sz="0" w:space="0" w:color="auto"/>
      </w:divBdr>
    </w:div>
    <w:div w:id="114108236">
      <w:bodyDiv w:val="1"/>
      <w:marLeft w:val="0"/>
      <w:marRight w:val="0"/>
      <w:marTop w:val="0"/>
      <w:marBottom w:val="0"/>
      <w:divBdr>
        <w:top w:val="none" w:sz="0" w:space="0" w:color="auto"/>
        <w:left w:val="none" w:sz="0" w:space="0" w:color="auto"/>
        <w:bottom w:val="none" w:sz="0" w:space="0" w:color="auto"/>
        <w:right w:val="none" w:sz="0" w:space="0" w:color="auto"/>
      </w:divBdr>
    </w:div>
    <w:div w:id="121505880">
      <w:bodyDiv w:val="1"/>
      <w:marLeft w:val="0"/>
      <w:marRight w:val="0"/>
      <w:marTop w:val="0"/>
      <w:marBottom w:val="0"/>
      <w:divBdr>
        <w:top w:val="none" w:sz="0" w:space="0" w:color="auto"/>
        <w:left w:val="none" w:sz="0" w:space="0" w:color="auto"/>
        <w:bottom w:val="none" w:sz="0" w:space="0" w:color="auto"/>
        <w:right w:val="none" w:sz="0" w:space="0" w:color="auto"/>
      </w:divBdr>
    </w:div>
    <w:div w:id="131216546">
      <w:bodyDiv w:val="1"/>
      <w:marLeft w:val="0"/>
      <w:marRight w:val="0"/>
      <w:marTop w:val="0"/>
      <w:marBottom w:val="0"/>
      <w:divBdr>
        <w:top w:val="none" w:sz="0" w:space="0" w:color="auto"/>
        <w:left w:val="none" w:sz="0" w:space="0" w:color="auto"/>
        <w:bottom w:val="none" w:sz="0" w:space="0" w:color="auto"/>
        <w:right w:val="none" w:sz="0" w:space="0" w:color="auto"/>
      </w:divBdr>
    </w:div>
    <w:div w:id="150416248">
      <w:bodyDiv w:val="1"/>
      <w:marLeft w:val="0"/>
      <w:marRight w:val="0"/>
      <w:marTop w:val="0"/>
      <w:marBottom w:val="0"/>
      <w:divBdr>
        <w:top w:val="none" w:sz="0" w:space="0" w:color="auto"/>
        <w:left w:val="none" w:sz="0" w:space="0" w:color="auto"/>
        <w:bottom w:val="none" w:sz="0" w:space="0" w:color="auto"/>
        <w:right w:val="none" w:sz="0" w:space="0" w:color="auto"/>
      </w:divBdr>
    </w:div>
    <w:div w:id="163201947">
      <w:bodyDiv w:val="1"/>
      <w:marLeft w:val="0"/>
      <w:marRight w:val="0"/>
      <w:marTop w:val="0"/>
      <w:marBottom w:val="0"/>
      <w:divBdr>
        <w:top w:val="none" w:sz="0" w:space="0" w:color="auto"/>
        <w:left w:val="none" w:sz="0" w:space="0" w:color="auto"/>
        <w:bottom w:val="none" w:sz="0" w:space="0" w:color="auto"/>
        <w:right w:val="none" w:sz="0" w:space="0" w:color="auto"/>
      </w:divBdr>
    </w:div>
    <w:div w:id="223220976">
      <w:bodyDiv w:val="1"/>
      <w:marLeft w:val="0"/>
      <w:marRight w:val="0"/>
      <w:marTop w:val="0"/>
      <w:marBottom w:val="0"/>
      <w:divBdr>
        <w:top w:val="none" w:sz="0" w:space="0" w:color="auto"/>
        <w:left w:val="none" w:sz="0" w:space="0" w:color="auto"/>
        <w:bottom w:val="none" w:sz="0" w:space="0" w:color="auto"/>
        <w:right w:val="none" w:sz="0" w:space="0" w:color="auto"/>
      </w:divBdr>
    </w:div>
    <w:div w:id="238637075">
      <w:bodyDiv w:val="1"/>
      <w:marLeft w:val="0"/>
      <w:marRight w:val="0"/>
      <w:marTop w:val="0"/>
      <w:marBottom w:val="0"/>
      <w:divBdr>
        <w:top w:val="none" w:sz="0" w:space="0" w:color="auto"/>
        <w:left w:val="none" w:sz="0" w:space="0" w:color="auto"/>
        <w:bottom w:val="none" w:sz="0" w:space="0" w:color="auto"/>
        <w:right w:val="none" w:sz="0" w:space="0" w:color="auto"/>
      </w:divBdr>
    </w:div>
    <w:div w:id="243878923">
      <w:bodyDiv w:val="1"/>
      <w:marLeft w:val="0"/>
      <w:marRight w:val="0"/>
      <w:marTop w:val="0"/>
      <w:marBottom w:val="0"/>
      <w:divBdr>
        <w:top w:val="none" w:sz="0" w:space="0" w:color="auto"/>
        <w:left w:val="none" w:sz="0" w:space="0" w:color="auto"/>
        <w:bottom w:val="none" w:sz="0" w:space="0" w:color="auto"/>
        <w:right w:val="none" w:sz="0" w:space="0" w:color="auto"/>
      </w:divBdr>
    </w:div>
    <w:div w:id="284628627">
      <w:bodyDiv w:val="1"/>
      <w:marLeft w:val="0"/>
      <w:marRight w:val="0"/>
      <w:marTop w:val="0"/>
      <w:marBottom w:val="0"/>
      <w:divBdr>
        <w:top w:val="none" w:sz="0" w:space="0" w:color="auto"/>
        <w:left w:val="none" w:sz="0" w:space="0" w:color="auto"/>
        <w:bottom w:val="none" w:sz="0" w:space="0" w:color="auto"/>
        <w:right w:val="none" w:sz="0" w:space="0" w:color="auto"/>
      </w:divBdr>
    </w:div>
    <w:div w:id="306129407">
      <w:bodyDiv w:val="1"/>
      <w:marLeft w:val="0"/>
      <w:marRight w:val="0"/>
      <w:marTop w:val="0"/>
      <w:marBottom w:val="0"/>
      <w:divBdr>
        <w:top w:val="none" w:sz="0" w:space="0" w:color="auto"/>
        <w:left w:val="none" w:sz="0" w:space="0" w:color="auto"/>
        <w:bottom w:val="none" w:sz="0" w:space="0" w:color="auto"/>
        <w:right w:val="none" w:sz="0" w:space="0" w:color="auto"/>
      </w:divBdr>
    </w:div>
    <w:div w:id="308021390">
      <w:bodyDiv w:val="1"/>
      <w:marLeft w:val="0"/>
      <w:marRight w:val="0"/>
      <w:marTop w:val="0"/>
      <w:marBottom w:val="0"/>
      <w:divBdr>
        <w:top w:val="none" w:sz="0" w:space="0" w:color="auto"/>
        <w:left w:val="none" w:sz="0" w:space="0" w:color="auto"/>
        <w:bottom w:val="none" w:sz="0" w:space="0" w:color="auto"/>
        <w:right w:val="none" w:sz="0" w:space="0" w:color="auto"/>
      </w:divBdr>
    </w:div>
    <w:div w:id="329717728">
      <w:bodyDiv w:val="1"/>
      <w:marLeft w:val="0"/>
      <w:marRight w:val="0"/>
      <w:marTop w:val="0"/>
      <w:marBottom w:val="0"/>
      <w:divBdr>
        <w:top w:val="none" w:sz="0" w:space="0" w:color="auto"/>
        <w:left w:val="none" w:sz="0" w:space="0" w:color="auto"/>
        <w:bottom w:val="none" w:sz="0" w:space="0" w:color="auto"/>
        <w:right w:val="none" w:sz="0" w:space="0" w:color="auto"/>
      </w:divBdr>
    </w:div>
    <w:div w:id="353848680">
      <w:bodyDiv w:val="1"/>
      <w:marLeft w:val="0"/>
      <w:marRight w:val="0"/>
      <w:marTop w:val="0"/>
      <w:marBottom w:val="0"/>
      <w:divBdr>
        <w:top w:val="none" w:sz="0" w:space="0" w:color="auto"/>
        <w:left w:val="none" w:sz="0" w:space="0" w:color="auto"/>
        <w:bottom w:val="none" w:sz="0" w:space="0" w:color="auto"/>
        <w:right w:val="none" w:sz="0" w:space="0" w:color="auto"/>
      </w:divBdr>
    </w:div>
    <w:div w:id="374963861">
      <w:bodyDiv w:val="1"/>
      <w:marLeft w:val="0"/>
      <w:marRight w:val="0"/>
      <w:marTop w:val="0"/>
      <w:marBottom w:val="0"/>
      <w:divBdr>
        <w:top w:val="none" w:sz="0" w:space="0" w:color="auto"/>
        <w:left w:val="none" w:sz="0" w:space="0" w:color="auto"/>
        <w:bottom w:val="none" w:sz="0" w:space="0" w:color="auto"/>
        <w:right w:val="none" w:sz="0" w:space="0" w:color="auto"/>
      </w:divBdr>
    </w:div>
    <w:div w:id="426660069">
      <w:bodyDiv w:val="1"/>
      <w:marLeft w:val="0"/>
      <w:marRight w:val="0"/>
      <w:marTop w:val="0"/>
      <w:marBottom w:val="0"/>
      <w:divBdr>
        <w:top w:val="none" w:sz="0" w:space="0" w:color="auto"/>
        <w:left w:val="none" w:sz="0" w:space="0" w:color="auto"/>
        <w:bottom w:val="none" w:sz="0" w:space="0" w:color="auto"/>
        <w:right w:val="none" w:sz="0" w:space="0" w:color="auto"/>
      </w:divBdr>
    </w:div>
    <w:div w:id="428820841">
      <w:bodyDiv w:val="1"/>
      <w:marLeft w:val="0"/>
      <w:marRight w:val="0"/>
      <w:marTop w:val="0"/>
      <w:marBottom w:val="0"/>
      <w:divBdr>
        <w:top w:val="none" w:sz="0" w:space="0" w:color="auto"/>
        <w:left w:val="none" w:sz="0" w:space="0" w:color="auto"/>
        <w:bottom w:val="none" w:sz="0" w:space="0" w:color="auto"/>
        <w:right w:val="none" w:sz="0" w:space="0" w:color="auto"/>
      </w:divBdr>
    </w:div>
    <w:div w:id="433287950">
      <w:bodyDiv w:val="1"/>
      <w:marLeft w:val="0"/>
      <w:marRight w:val="0"/>
      <w:marTop w:val="0"/>
      <w:marBottom w:val="0"/>
      <w:divBdr>
        <w:top w:val="none" w:sz="0" w:space="0" w:color="auto"/>
        <w:left w:val="none" w:sz="0" w:space="0" w:color="auto"/>
        <w:bottom w:val="none" w:sz="0" w:space="0" w:color="auto"/>
        <w:right w:val="none" w:sz="0" w:space="0" w:color="auto"/>
      </w:divBdr>
    </w:div>
    <w:div w:id="448671720">
      <w:bodyDiv w:val="1"/>
      <w:marLeft w:val="0"/>
      <w:marRight w:val="0"/>
      <w:marTop w:val="0"/>
      <w:marBottom w:val="0"/>
      <w:divBdr>
        <w:top w:val="none" w:sz="0" w:space="0" w:color="auto"/>
        <w:left w:val="none" w:sz="0" w:space="0" w:color="auto"/>
        <w:bottom w:val="none" w:sz="0" w:space="0" w:color="auto"/>
        <w:right w:val="none" w:sz="0" w:space="0" w:color="auto"/>
      </w:divBdr>
    </w:div>
    <w:div w:id="526018604">
      <w:bodyDiv w:val="1"/>
      <w:marLeft w:val="0"/>
      <w:marRight w:val="0"/>
      <w:marTop w:val="0"/>
      <w:marBottom w:val="0"/>
      <w:divBdr>
        <w:top w:val="none" w:sz="0" w:space="0" w:color="auto"/>
        <w:left w:val="none" w:sz="0" w:space="0" w:color="auto"/>
        <w:bottom w:val="none" w:sz="0" w:space="0" w:color="auto"/>
        <w:right w:val="none" w:sz="0" w:space="0" w:color="auto"/>
      </w:divBdr>
    </w:div>
    <w:div w:id="566109868">
      <w:bodyDiv w:val="1"/>
      <w:marLeft w:val="0"/>
      <w:marRight w:val="0"/>
      <w:marTop w:val="0"/>
      <w:marBottom w:val="0"/>
      <w:divBdr>
        <w:top w:val="none" w:sz="0" w:space="0" w:color="auto"/>
        <w:left w:val="none" w:sz="0" w:space="0" w:color="auto"/>
        <w:bottom w:val="none" w:sz="0" w:space="0" w:color="auto"/>
        <w:right w:val="none" w:sz="0" w:space="0" w:color="auto"/>
      </w:divBdr>
    </w:div>
    <w:div w:id="587079789">
      <w:bodyDiv w:val="1"/>
      <w:marLeft w:val="0"/>
      <w:marRight w:val="0"/>
      <w:marTop w:val="0"/>
      <w:marBottom w:val="0"/>
      <w:divBdr>
        <w:top w:val="none" w:sz="0" w:space="0" w:color="auto"/>
        <w:left w:val="none" w:sz="0" w:space="0" w:color="auto"/>
        <w:bottom w:val="none" w:sz="0" w:space="0" w:color="auto"/>
        <w:right w:val="none" w:sz="0" w:space="0" w:color="auto"/>
      </w:divBdr>
    </w:div>
    <w:div w:id="708452421">
      <w:bodyDiv w:val="1"/>
      <w:marLeft w:val="0"/>
      <w:marRight w:val="0"/>
      <w:marTop w:val="0"/>
      <w:marBottom w:val="0"/>
      <w:divBdr>
        <w:top w:val="none" w:sz="0" w:space="0" w:color="auto"/>
        <w:left w:val="none" w:sz="0" w:space="0" w:color="auto"/>
        <w:bottom w:val="none" w:sz="0" w:space="0" w:color="auto"/>
        <w:right w:val="none" w:sz="0" w:space="0" w:color="auto"/>
      </w:divBdr>
    </w:div>
    <w:div w:id="730419048">
      <w:bodyDiv w:val="1"/>
      <w:marLeft w:val="0"/>
      <w:marRight w:val="0"/>
      <w:marTop w:val="0"/>
      <w:marBottom w:val="0"/>
      <w:divBdr>
        <w:top w:val="none" w:sz="0" w:space="0" w:color="auto"/>
        <w:left w:val="none" w:sz="0" w:space="0" w:color="auto"/>
        <w:bottom w:val="none" w:sz="0" w:space="0" w:color="auto"/>
        <w:right w:val="none" w:sz="0" w:space="0" w:color="auto"/>
      </w:divBdr>
    </w:div>
    <w:div w:id="767045515">
      <w:bodyDiv w:val="1"/>
      <w:marLeft w:val="0"/>
      <w:marRight w:val="0"/>
      <w:marTop w:val="0"/>
      <w:marBottom w:val="0"/>
      <w:divBdr>
        <w:top w:val="none" w:sz="0" w:space="0" w:color="auto"/>
        <w:left w:val="none" w:sz="0" w:space="0" w:color="auto"/>
        <w:bottom w:val="none" w:sz="0" w:space="0" w:color="auto"/>
        <w:right w:val="none" w:sz="0" w:space="0" w:color="auto"/>
      </w:divBdr>
    </w:div>
    <w:div w:id="779682977">
      <w:bodyDiv w:val="1"/>
      <w:marLeft w:val="0"/>
      <w:marRight w:val="0"/>
      <w:marTop w:val="0"/>
      <w:marBottom w:val="0"/>
      <w:divBdr>
        <w:top w:val="none" w:sz="0" w:space="0" w:color="auto"/>
        <w:left w:val="none" w:sz="0" w:space="0" w:color="auto"/>
        <w:bottom w:val="none" w:sz="0" w:space="0" w:color="auto"/>
        <w:right w:val="none" w:sz="0" w:space="0" w:color="auto"/>
      </w:divBdr>
    </w:div>
    <w:div w:id="804587948">
      <w:bodyDiv w:val="1"/>
      <w:marLeft w:val="0"/>
      <w:marRight w:val="0"/>
      <w:marTop w:val="0"/>
      <w:marBottom w:val="0"/>
      <w:divBdr>
        <w:top w:val="none" w:sz="0" w:space="0" w:color="auto"/>
        <w:left w:val="none" w:sz="0" w:space="0" w:color="auto"/>
        <w:bottom w:val="none" w:sz="0" w:space="0" w:color="auto"/>
        <w:right w:val="none" w:sz="0" w:space="0" w:color="auto"/>
      </w:divBdr>
    </w:div>
    <w:div w:id="894698178">
      <w:bodyDiv w:val="1"/>
      <w:marLeft w:val="0"/>
      <w:marRight w:val="0"/>
      <w:marTop w:val="0"/>
      <w:marBottom w:val="0"/>
      <w:divBdr>
        <w:top w:val="none" w:sz="0" w:space="0" w:color="auto"/>
        <w:left w:val="none" w:sz="0" w:space="0" w:color="auto"/>
        <w:bottom w:val="none" w:sz="0" w:space="0" w:color="auto"/>
        <w:right w:val="none" w:sz="0" w:space="0" w:color="auto"/>
      </w:divBdr>
    </w:div>
    <w:div w:id="922297158">
      <w:bodyDiv w:val="1"/>
      <w:marLeft w:val="0"/>
      <w:marRight w:val="0"/>
      <w:marTop w:val="0"/>
      <w:marBottom w:val="0"/>
      <w:divBdr>
        <w:top w:val="none" w:sz="0" w:space="0" w:color="auto"/>
        <w:left w:val="none" w:sz="0" w:space="0" w:color="auto"/>
        <w:bottom w:val="none" w:sz="0" w:space="0" w:color="auto"/>
        <w:right w:val="none" w:sz="0" w:space="0" w:color="auto"/>
      </w:divBdr>
    </w:div>
    <w:div w:id="931667195">
      <w:bodyDiv w:val="1"/>
      <w:marLeft w:val="0"/>
      <w:marRight w:val="0"/>
      <w:marTop w:val="0"/>
      <w:marBottom w:val="0"/>
      <w:divBdr>
        <w:top w:val="none" w:sz="0" w:space="0" w:color="auto"/>
        <w:left w:val="none" w:sz="0" w:space="0" w:color="auto"/>
        <w:bottom w:val="none" w:sz="0" w:space="0" w:color="auto"/>
        <w:right w:val="none" w:sz="0" w:space="0" w:color="auto"/>
      </w:divBdr>
    </w:div>
    <w:div w:id="966204959">
      <w:bodyDiv w:val="1"/>
      <w:marLeft w:val="0"/>
      <w:marRight w:val="0"/>
      <w:marTop w:val="0"/>
      <w:marBottom w:val="0"/>
      <w:divBdr>
        <w:top w:val="none" w:sz="0" w:space="0" w:color="auto"/>
        <w:left w:val="none" w:sz="0" w:space="0" w:color="auto"/>
        <w:bottom w:val="none" w:sz="0" w:space="0" w:color="auto"/>
        <w:right w:val="none" w:sz="0" w:space="0" w:color="auto"/>
      </w:divBdr>
    </w:div>
    <w:div w:id="1060399862">
      <w:bodyDiv w:val="1"/>
      <w:marLeft w:val="0"/>
      <w:marRight w:val="0"/>
      <w:marTop w:val="0"/>
      <w:marBottom w:val="0"/>
      <w:divBdr>
        <w:top w:val="none" w:sz="0" w:space="0" w:color="auto"/>
        <w:left w:val="none" w:sz="0" w:space="0" w:color="auto"/>
        <w:bottom w:val="none" w:sz="0" w:space="0" w:color="auto"/>
        <w:right w:val="none" w:sz="0" w:space="0" w:color="auto"/>
      </w:divBdr>
    </w:div>
    <w:div w:id="1061371302">
      <w:bodyDiv w:val="1"/>
      <w:marLeft w:val="0"/>
      <w:marRight w:val="0"/>
      <w:marTop w:val="0"/>
      <w:marBottom w:val="0"/>
      <w:divBdr>
        <w:top w:val="none" w:sz="0" w:space="0" w:color="auto"/>
        <w:left w:val="none" w:sz="0" w:space="0" w:color="auto"/>
        <w:bottom w:val="none" w:sz="0" w:space="0" w:color="auto"/>
        <w:right w:val="none" w:sz="0" w:space="0" w:color="auto"/>
      </w:divBdr>
    </w:div>
    <w:div w:id="1093160844">
      <w:bodyDiv w:val="1"/>
      <w:marLeft w:val="0"/>
      <w:marRight w:val="0"/>
      <w:marTop w:val="0"/>
      <w:marBottom w:val="0"/>
      <w:divBdr>
        <w:top w:val="none" w:sz="0" w:space="0" w:color="auto"/>
        <w:left w:val="none" w:sz="0" w:space="0" w:color="auto"/>
        <w:bottom w:val="none" w:sz="0" w:space="0" w:color="auto"/>
        <w:right w:val="none" w:sz="0" w:space="0" w:color="auto"/>
      </w:divBdr>
    </w:div>
    <w:div w:id="1125272322">
      <w:bodyDiv w:val="1"/>
      <w:marLeft w:val="0"/>
      <w:marRight w:val="0"/>
      <w:marTop w:val="0"/>
      <w:marBottom w:val="0"/>
      <w:divBdr>
        <w:top w:val="none" w:sz="0" w:space="0" w:color="auto"/>
        <w:left w:val="none" w:sz="0" w:space="0" w:color="auto"/>
        <w:bottom w:val="none" w:sz="0" w:space="0" w:color="auto"/>
        <w:right w:val="none" w:sz="0" w:space="0" w:color="auto"/>
      </w:divBdr>
    </w:div>
    <w:div w:id="1139571781">
      <w:bodyDiv w:val="1"/>
      <w:marLeft w:val="0"/>
      <w:marRight w:val="0"/>
      <w:marTop w:val="0"/>
      <w:marBottom w:val="0"/>
      <w:divBdr>
        <w:top w:val="none" w:sz="0" w:space="0" w:color="auto"/>
        <w:left w:val="none" w:sz="0" w:space="0" w:color="auto"/>
        <w:bottom w:val="none" w:sz="0" w:space="0" w:color="auto"/>
        <w:right w:val="none" w:sz="0" w:space="0" w:color="auto"/>
      </w:divBdr>
    </w:div>
    <w:div w:id="1147864680">
      <w:bodyDiv w:val="1"/>
      <w:marLeft w:val="0"/>
      <w:marRight w:val="0"/>
      <w:marTop w:val="0"/>
      <w:marBottom w:val="0"/>
      <w:divBdr>
        <w:top w:val="none" w:sz="0" w:space="0" w:color="auto"/>
        <w:left w:val="none" w:sz="0" w:space="0" w:color="auto"/>
        <w:bottom w:val="none" w:sz="0" w:space="0" w:color="auto"/>
        <w:right w:val="none" w:sz="0" w:space="0" w:color="auto"/>
      </w:divBdr>
    </w:div>
    <w:div w:id="1177423899">
      <w:bodyDiv w:val="1"/>
      <w:marLeft w:val="0"/>
      <w:marRight w:val="0"/>
      <w:marTop w:val="0"/>
      <w:marBottom w:val="0"/>
      <w:divBdr>
        <w:top w:val="none" w:sz="0" w:space="0" w:color="auto"/>
        <w:left w:val="none" w:sz="0" w:space="0" w:color="auto"/>
        <w:bottom w:val="none" w:sz="0" w:space="0" w:color="auto"/>
        <w:right w:val="none" w:sz="0" w:space="0" w:color="auto"/>
      </w:divBdr>
    </w:div>
    <w:div w:id="1186558221">
      <w:bodyDiv w:val="1"/>
      <w:marLeft w:val="0"/>
      <w:marRight w:val="0"/>
      <w:marTop w:val="0"/>
      <w:marBottom w:val="0"/>
      <w:divBdr>
        <w:top w:val="none" w:sz="0" w:space="0" w:color="auto"/>
        <w:left w:val="none" w:sz="0" w:space="0" w:color="auto"/>
        <w:bottom w:val="none" w:sz="0" w:space="0" w:color="auto"/>
        <w:right w:val="none" w:sz="0" w:space="0" w:color="auto"/>
      </w:divBdr>
    </w:div>
    <w:div w:id="1211573970">
      <w:bodyDiv w:val="1"/>
      <w:marLeft w:val="0"/>
      <w:marRight w:val="0"/>
      <w:marTop w:val="0"/>
      <w:marBottom w:val="0"/>
      <w:divBdr>
        <w:top w:val="none" w:sz="0" w:space="0" w:color="auto"/>
        <w:left w:val="none" w:sz="0" w:space="0" w:color="auto"/>
        <w:bottom w:val="none" w:sz="0" w:space="0" w:color="auto"/>
        <w:right w:val="none" w:sz="0" w:space="0" w:color="auto"/>
      </w:divBdr>
    </w:div>
    <w:div w:id="1263801438">
      <w:bodyDiv w:val="1"/>
      <w:marLeft w:val="0"/>
      <w:marRight w:val="0"/>
      <w:marTop w:val="0"/>
      <w:marBottom w:val="0"/>
      <w:divBdr>
        <w:top w:val="none" w:sz="0" w:space="0" w:color="auto"/>
        <w:left w:val="none" w:sz="0" w:space="0" w:color="auto"/>
        <w:bottom w:val="none" w:sz="0" w:space="0" w:color="auto"/>
        <w:right w:val="none" w:sz="0" w:space="0" w:color="auto"/>
      </w:divBdr>
    </w:div>
    <w:div w:id="1275668260">
      <w:bodyDiv w:val="1"/>
      <w:marLeft w:val="0"/>
      <w:marRight w:val="0"/>
      <w:marTop w:val="0"/>
      <w:marBottom w:val="0"/>
      <w:divBdr>
        <w:top w:val="none" w:sz="0" w:space="0" w:color="auto"/>
        <w:left w:val="none" w:sz="0" w:space="0" w:color="auto"/>
        <w:bottom w:val="none" w:sz="0" w:space="0" w:color="auto"/>
        <w:right w:val="none" w:sz="0" w:space="0" w:color="auto"/>
      </w:divBdr>
    </w:div>
    <w:div w:id="1297107692">
      <w:bodyDiv w:val="1"/>
      <w:marLeft w:val="0"/>
      <w:marRight w:val="0"/>
      <w:marTop w:val="0"/>
      <w:marBottom w:val="0"/>
      <w:divBdr>
        <w:top w:val="none" w:sz="0" w:space="0" w:color="auto"/>
        <w:left w:val="none" w:sz="0" w:space="0" w:color="auto"/>
        <w:bottom w:val="none" w:sz="0" w:space="0" w:color="auto"/>
        <w:right w:val="none" w:sz="0" w:space="0" w:color="auto"/>
      </w:divBdr>
    </w:div>
    <w:div w:id="1306013349">
      <w:bodyDiv w:val="1"/>
      <w:marLeft w:val="0"/>
      <w:marRight w:val="0"/>
      <w:marTop w:val="0"/>
      <w:marBottom w:val="0"/>
      <w:divBdr>
        <w:top w:val="none" w:sz="0" w:space="0" w:color="auto"/>
        <w:left w:val="none" w:sz="0" w:space="0" w:color="auto"/>
        <w:bottom w:val="none" w:sz="0" w:space="0" w:color="auto"/>
        <w:right w:val="none" w:sz="0" w:space="0" w:color="auto"/>
      </w:divBdr>
    </w:div>
    <w:div w:id="1379816650">
      <w:bodyDiv w:val="1"/>
      <w:marLeft w:val="0"/>
      <w:marRight w:val="0"/>
      <w:marTop w:val="0"/>
      <w:marBottom w:val="0"/>
      <w:divBdr>
        <w:top w:val="none" w:sz="0" w:space="0" w:color="auto"/>
        <w:left w:val="none" w:sz="0" w:space="0" w:color="auto"/>
        <w:bottom w:val="none" w:sz="0" w:space="0" w:color="auto"/>
        <w:right w:val="none" w:sz="0" w:space="0" w:color="auto"/>
      </w:divBdr>
    </w:div>
    <w:div w:id="1412239596">
      <w:bodyDiv w:val="1"/>
      <w:marLeft w:val="0"/>
      <w:marRight w:val="0"/>
      <w:marTop w:val="0"/>
      <w:marBottom w:val="0"/>
      <w:divBdr>
        <w:top w:val="none" w:sz="0" w:space="0" w:color="auto"/>
        <w:left w:val="none" w:sz="0" w:space="0" w:color="auto"/>
        <w:bottom w:val="none" w:sz="0" w:space="0" w:color="auto"/>
        <w:right w:val="none" w:sz="0" w:space="0" w:color="auto"/>
      </w:divBdr>
    </w:div>
    <w:div w:id="1433936124">
      <w:bodyDiv w:val="1"/>
      <w:marLeft w:val="0"/>
      <w:marRight w:val="0"/>
      <w:marTop w:val="0"/>
      <w:marBottom w:val="0"/>
      <w:divBdr>
        <w:top w:val="none" w:sz="0" w:space="0" w:color="auto"/>
        <w:left w:val="none" w:sz="0" w:space="0" w:color="auto"/>
        <w:bottom w:val="none" w:sz="0" w:space="0" w:color="auto"/>
        <w:right w:val="none" w:sz="0" w:space="0" w:color="auto"/>
      </w:divBdr>
    </w:div>
    <w:div w:id="1437284790">
      <w:bodyDiv w:val="1"/>
      <w:marLeft w:val="0"/>
      <w:marRight w:val="0"/>
      <w:marTop w:val="0"/>
      <w:marBottom w:val="0"/>
      <w:divBdr>
        <w:top w:val="none" w:sz="0" w:space="0" w:color="auto"/>
        <w:left w:val="none" w:sz="0" w:space="0" w:color="auto"/>
        <w:bottom w:val="none" w:sz="0" w:space="0" w:color="auto"/>
        <w:right w:val="none" w:sz="0" w:space="0" w:color="auto"/>
      </w:divBdr>
    </w:div>
    <w:div w:id="1445270913">
      <w:bodyDiv w:val="1"/>
      <w:marLeft w:val="0"/>
      <w:marRight w:val="0"/>
      <w:marTop w:val="0"/>
      <w:marBottom w:val="0"/>
      <w:divBdr>
        <w:top w:val="none" w:sz="0" w:space="0" w:color="auto"/>
        <w:left w:val="none" w:sz="0" w:space="0" w:color="auto"/>
        <w:bottom w:val="none" w:sz="0" w:space="0" w:color="auto"/>
        <w:right w:val="none" w:sz="0" w:space="0" w:color="auto"/>
      </w:divBdr>
    </w:div>
    <w:div w:id="1465737021">
      <w:bodyDiv w:val="1"/>
      <w:marLeft w:val="0"/>
      <w:marRight w:val="0"/>
      <w:marTop w:val="0"/>
      <w:marBottom w:val="0"/>
      <w:divBdr>
        <w:top w:val="none" w:sz="0" w:space="0" w:color="auto"/>
        <w:left w:val="none" w:sz="0" w:space="0" w:color="auto"/>
        <w:bottom w:val="none" w:sz="0" w:space="0" w:color="auto"/>
        <w:right w:val="none" w:sz="0" w:space="0" w:color="auto"/>
      </w:divBdr>
    </w:div>
    <w:div w:id="1474758984">
      <w:bodyDiv w:val="1"/>
      <w:marLeft w:val="0"/>
      <w:marRight w:val="0"/>
      <w:marTop w:val="0"/>
      <w:marBottom w:val="0"/>
      <w:divBdr>
        <w:top w:val="none" w:sz="0" w:space="0" w:color="auto"/>
        <w:left w:val="none" w:sz="0" w:space="0" w:color="auto"/>
        <w:bottom w:val="none" w:sz="0" w:space="0" w:color="auto"/>
        <w:right w:val="none" w:sz="0" w:space="0" w:color="auto"/>
      </w:divBdr>
    </w:div>
    <w:div w:id="1510752864">
      <w:bodyDiv w:val="1"/>
      <w:marLeft w:val="0"/>
      <w:marRight w:val="0"/>
      <w:marTop w:val="0"/>
      <w:marBottom w:val="0"/>
      <w:divBdr>
        <w:top w:val="none" w:sz="0" w:space="0" w:color="auto"/>
        <w:left w:val="none" w:sz="0" w:space="0" w:color="auto"/>
        <w:bottom w:val="none" w:sz="0" w:space="0" w:color="auto"/>
        <w:right w:val="none" w:sz="0" w:space="0" w:color="auto"/>
      </w:divBdr>
    </w:div>
    <w:div w:id="1529179644">
      <w:bodyDiv w:val="1"/>
      <w:marLeft w:val="0"/>
      <w:marRight w:val="0"/>
      <w:marTop w:val="0"/>
      <w:marBottom w:val="0"/>
      <w:divBdr>
        <w:top w:val="none" w:sz="0" w:space="0" w:color="auto"/>
        <w:left w:val="none" w:sz="0" w:space="0" w:color="auto"/>
        <w:bottom w:val="none" w:sz="0" w:space="0" w:color="auto"/>
        <w:right w:val="none" w:sz="0" w:space="0" w:color="auto"/>
      </w:divBdr>
    </w:div>
    <w:div w:id="1539052998">
      <w:bodyDiv w:val="1"/>
      <w:marLeft w:val="0"/>
      <w:marRight w:val="0"/>
      <w:marTop w:val="0"/>
      <w:marBottom w:val="0"/>
      <w:divBdr>
        <w:top w:val="none" w:sz="0" w:space="0" w:color="auto"/>
        <w:left w:val="none" w:sz="0" w:space="0" w:color="auto"/>
        <w:bottom w:val="none" w:sz="0" w:space="0" w:color="auto"/>
        <w:right w:val="none" w:sz="0" w:space="0" w:color="auto"/>
      </w:divBdr>
    </w:div>
    <w:div w:id="1610308789">
      <w:bodyDiv w:val="1"/>
      <w:marLeft w:val="0"/>
      <w:marRight w:val="0"/>
      <w:marTop w:val="0"/>
      <w:marBottom w:val="0"/>
      <w:divBdr>
        <w:top w:val="none" w:sz="0" w:space="0" w:color="auto"/>
        <w:left w:val="none" w:sz="0" w:space="0" w:color="auto"/>
        <w:bottom w:val="none" w:sz="0" w:space="0" w:color="auto"/>
        <w:right w:val="none" w:sz="0" w:space="0" w:color="auto"/>
      </w:divBdr>
    </w:div>
    <w:div w:id="1655908552">
      <w:bodyDiv w:val="1"/>
      <w:marLeft w:val="0"/>
      <w:marRight w:val="0"/>
      <w:marTop w:val="0"/>
      <w:marBottom w:val="0"/>
      <w:divBdr>
        <w:top w:val="none" w:sz="0" w:space="0" w:color="auto"/>
        <w:left w:val="none" w:sz="0" w:space="0" w:color="auto"/>
        <w:bottom w:val="none" w:sz="0" w:space="0" w:color="auto"/>
        <w:right w:val="none" w:sz="0" w:space="0" w:color="auto"/>
      </w:divBdr>
    </w:div>
    <w:div w:id="1670669834">
      <w:bodyDiv w:val="1"/>
      <w:marLeft w:val="0"/>
      <w:marRight w:val="0"/>
      <w:marTop w:val="0"/>
      <w:marBottom w:val="0"/>
      <w:divBdr>
        <w:top w:val="none" w:sz="0" w:space="0" w:color="auto"/>
        <w:left w:val="none" w:sz="0" w:space="0" w:color="auto"/>
        <w:bottom w:val="none" w:sz="0" w:space="0" w:color="auto"/>
        <w:right w:val="none" w:sz="0" w:space="0" w:color="auto"/>
      </w:divBdr>
    </w:div>
    <w:div w:id="1689983603">
      <w:bodyDiv w:val="1"/>
      <w:marLeft w:val="0"/>
      <w:marRight w:val="0"/>
      <w:marTop w:val="0"/>
      <w:marBottom w:val="0"/>
      <w:divBdr>
        <w:top w:val="none" w:sz="0" w:space="0" w:color="auto"/>
        <w:left w:val="none" w:sz="0" w:space="0" w:color="auto"/>
        <w:bottom w:val="none" w:sz="0" w:space="0" w:color="auto"/>
        <w:right w:val="none" w:sz="0" w:space="0" w:color="auto"/>
      </w:divBdr>
    </w:div>
    <w:div w:id="1706364808">
      <w:bodyDiv w:val="1"/>
      <w:marLeft w:val="0"/>
      <w:marRight w:val="0"/>
      <w:marTop w:val="0"/>
      <w:marBottom w:val="0"/>
      <w:divBdr>
        <w:top w:val="none" w:sz="0" w:space="0" w:color="auto"/>
        <w:left w:val="none" w:sz="0" w:space="0" w:color="auto"/>
        <w:bottom w:val="none" w:sz="0" w:space="0" w:color="auto"/>
        <w:right w:val="none" w:sz="0" w:space="0" w:color="auto"/>
      </w:divBdr>
    </w:div>
    <w:div w:id="1725134484">
      <w:bodyDiv w:val="1"/>
      <w:marLeft w:val="0"/>
      <w:marRight w:val="0"/>
      <w:marTop w:val="0"/>
      <w:marBottom w:val="0"/>
      <w:divBdr>
        <w:top w:val="none" w:sz="0" w:space="0" w:color="auto"/>
        <w:left w:val="none" w:sz="0" w:space="0" w:color="auto"/>
        <w:bottom w:val="none" w:sz="0" w:space="0" w:color="auto"/>
        <w:right w:val="none" w:sz="0" w:space="0" w:color="auto"/>
      </w:divBdr>
    </w:div>
    <w:div w:id="1755514555">
      <w:bodyDiv w:val="1"/>
      <w:marLeft w:val="0"/>
      <w:marRight w:val="0"/>
      <w:marTop w:val="0"/>
      <w:marBottom w:val="0"/>
      <w:divBdr>
        <w:top w:val="none" w:sz="0" w:space="0" w:color="auto"/>
        <w:left w:val="none" w:sz="0" w:space="0" w:color="auto"/>
        <w:bottom w:val="none" w:sz="0" w:space="0" w:color="auto"/>
        <w:right w:val="none" w:sz="0" w:space="0" w:color="auto"/>
      </w:divBdr>
    </w:div>
    <w:div w:id="1875998612">
      <w:bodyDiv w:val="1"/>
      <w:marLeft w:val="0"/>
      <w:marRight w:val="0"/>
      <w:marTop w:val="0"/>
      <w:marBottom w:val="0"/>
      <w:divBdr>
        <w:top w:val="none" w:sz="0" w:space="0" w:color="auto"/>
        <w:left w:val="none" w:sz="0" w:space="0" w:color="auto"/>
        <w:bottom w:val="none" w:sz="0" w:space="0" w:color="auto"/>
        <w:right w:val="none" w:sz="0" w:space="0" w:color="auto"/>
      </w:divBdr>
    </w:div>
    <w:div w:id="1952055408">
      <w:bodyDiv w:val="1"/>
      <w:marLeft w:val="0"/>
      <w:marRight w:val="0"/>
      <w:marTop w:val="0"/>
      <w:marBottom w:val="0"/>
      <w:divBdr>
        <w:top w:val="none" w:sz="0" w:space="0" w:color="auto"/>
        <w:left w:val="none" w:sz="0" w:space="0" w:color="auto"/>
        <w:bottom w:val="none" w:sz="0" w:space="0" w:color="auto"/>
        <w:right w:val="none" w:sz="0" w:space="0" w:color="auto"/>
      </w:divBdr>
    </w:div>
    <w:div w:id="2043166632">
      <w:bodyDiv w:val="1"/>
      <w:marLeft w:val="0"/>
      <w:marRight w:val="0"/>
      <w:marTop w:val="0"/>
      <w:marBottom w:val="0"/>
      <w:divBdr>
        <w:top w:val="none" w:sz="0" w:space="0" w:color="auto"/>
        <w:left w:val="none" w:sz="0" w:space="0" w:color="auto"/>
        <w:bottom w:val="none" w:sz="0" w:space="0" w:color="auto"/>
        <w:right w:val="none" w:sz="0" w:space="0" w:color="auto"/>
      </w:divBdr>
    </w:div>
    <w:div w:id="2088644989">
      <w:bodyDiv w:val="1"/>
      <w:marLeft w:val="0"/>
      <w:marRight w:val="0"/>
      <w:marTop w:val="0"/>
      <w:marBottom w:val="0"/>
      <w:divBdr>
        <w:top w:val="none" w:sz="0" w:space="0" w:color="auto"/>
        <w:left w:val="none" w:sz="0" w:space="0" w:color="auto"/>
        <w:bottom w:val="none" w:sz="0" w:space="0" w:color="auto"/>
        <w:right w:val="none" w:sz="0" w:space="0" w:color="auto"/>
      </w:divBdr>
    </w:div>
    <w:div w:id="2091585500">
      <w:bodyDiv w:val="1"/>
      <w:marLeft w:val="0"/>
      <w:marRight w:val="0"/>
      <w:marTop w:val="0"/>
      <w:marBottom w:val="0"/>
      <w:divBdr>
        <w:top w:val="none" w:sz="0" w:space="0" w:color="auto"/>
        <w:left w:val="none" w:sz="0" w:space="0" w:color="auto"/>
        <w:bottom w:val="none" w:sz="0" w:space="0" w:color="auto"/>
        <w:right w:val="none" w:sz="0" w:space="0" w:color="auto"/>
      </w:divBdr>
    </w:div>
    <w:div w:id="214580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AAD0-AC8B-0445-9425-A47AE2C6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15559</Words>
  <Characters>88688</Characters>
  <Application>Microsoft Macintosh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Irv</dc:creator>
  <cp:lastModifiedBy>Brian Prendergast</cp:lastModifiedBy>
  <cp:revision>2</cp:revision>
  <cp:lastPrinted>2019-12-01T20:05:00Z</cp:lastPrinted>
  <dcterms:created xsi:type="dcterms:W3CDTF">2020-06-08T03:49:00Z</dcterms:created>
  <dcterms:modified xsi:type="dcterms:W3CDTF">2020-06-08T03:49:00Z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id="WCQmNXnJ"/&gt;&lt;style id="http://www.zotero.org/styles/plos-medicine" hasBibliography="1" bibliographyStyleHasBeenSet="1"/&gt;&lt;prefs&gt;&lt;pref name="fieldType" value="Field"/&gt;&lt;pref name="automaticJournalAbb</vt:lpwstr>
  </property>
  <property fmtid="{D5CDD505-2E9C-101B-9397-08002B2CF9AE}" pid="3" name="ZOTERO_PREF_2">
    <vt:lpwstr>reviations" value="true"/&gt;&lt;/prefs&gt;&lt;/data&gt;</vt:lpwstr>
  </property>
  <property fmtid="{D5CDD505-2E9C-101B-9397-08002B2CF9AE}" pid="4" name="Mendeley Document_1">
    <vt:lpwstr>True</vt:lpwstr>
  </property>
  <property fmtid="{D5CDD505-2E9C-101B-9397-08002B2CF9AE}" pid="5" name="Mendeley Unique User Id_1">
    <vt:lpwstr>b5c09fbd-ef46-3c37-926f-f1bda6e3845c</vt:lpwstr>
  </property>
  <property fmtid="{D5CDD505-2E9C-101B-9397-08002B2CF9AE}" pid="6" name="Mendeley Citation Style_1">
    <vt:lpwstr>http://www.zotero.org/styles/vancouver</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http://www.zotero.org/styles/american-sociological-association</vt:lpwstr>
  </property>
  <property fmtid="{D5CDD505-2E9C-101B-9397-08002B2CF9AE}" pid="10" name="Mendeley Recent Style Name 1_1">
    <vt:lpwstr>American Sociological Association</vt:lpwstr>
  </property>
  <property fmtid="{D5CDD505-2E9C-101B-9397-08002B2CF9AE}" pid="11" name="Mendeley Recent Style Id 2_1">
    <vt:lpwstr>http://www.zotero.org/styles/biology-of-sex-differences</vt:lpwstr>
  </property>
  <property fmtid="{D5CDD505-2E9C-101B-9397-08002B2CF9AE}" pid="12" name="Mendeley Recent Style Name 2_1">
    <vt:lpwstr>Biology of Sex Differences</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http://www.zotero.org/styles/current-biology</vt:lpwstr>
  </property>
  <property fmtid="{D5CDD505-2E9C-101B-9397-08002B2CF9AE}" pid="18" name="Mendeley Recent Style Name 5_1">
    <vt:lpwstr>Current Biology</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http://www.zotero.org/styles/neuroscience-and-biobehavioral-reviews</vt:lpwstr>
  </property>
  <property fmtid="{D5CDD505-2E9C-101B-9397-08002B2CF9AE}" pid="24" name="Mendeley Recent Style Name 8_1">
    <vt:lpwstr>Neuroscience and Biobehavioral Reviews</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