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F8E5F" w14:textId="672DCCFD" w:rsidR="00226358" w:rsidRPr="00442712" w:rsidRDefault="00226358" w:rsidP="00226358">
      <w:pPr>
        <w:jc w:val="center"/>
        <w:rPr>
          <w:b/>
          <w:bCs/>
        </w:rPr>
      </w:pPr>
      <w:bookmarkStart w:id="0" w:name="_Hlk11925340"/>
      <w:r w:rsidRPr="00442712">
        <w:rPr>
          <w:rFonts w:ascii="Arial" w:hAnsi="Arial" w:cs="Arial"/>
          <w:b/>
          <w:bCs/>
          <w:sz w:val="24"/>
          <w:szCs w:val="24"/>
        </w:rPr>
        <w:t>Supplemental Material</w:t>
      </w:r>
    </w:p>
    <w:bookmarkEnd w:id="0"/>
    <w:p w14:paraId="3C88CF84" w14:textId="77777777" w:rsidR="00112FD7" w:rsidRPr="00442712" w:rsidRDefault="00112FD7" w:rsidP="00112FD7">
      <w:pPr>
        <w:spacing w:line="480" w:lineRule="auto"/>
        <w:contextualSpacing/>
        <w:jc w:val="center"/>
        <w:rPr>
          <w:rFonts w:ascii="Arial" w:hAnsi="Arial"/>
          <w:b/>
          <w:sz w:val="24"/>
          <w:szCs w:val="24"/>
        </w:rPr>
      </w:pPr>
      <w:r w:rsidRPr="00442712">
        <w:rPr>
          <w:rFonts w:ascii="Arial" w:hAnsi="Arial"/>
          <w:b/>
          <w:sz w:val="24"/>
          <w:szCs w:val="24"/>
        </w:rPr>
        <w:t>Sex Differences in Soluble Prorenin Receptor in Patients with Type 2 Diabetes</w:t>
      </w:r>
    </w:p>
    <w:p w14:paraId="678DC32F" w14:textId="418804A1" w:rsidR="00112FD7" w:rsidRPr="00442712" w:rsidRDefault="00112FD7" w:rsidP="00112F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712">
        <w:rPr>
          <w:rFonts w:ascii="Arial" w:eastAsia="Times New Roman" w:hAnsi="Arial"/>
          <w:b/>
          <w:sz w:val="24"/>
          <w:szCs w:val="24"/>
          <w:shd w:val="clear" w:color="auto" w:fill="FFFFFF"/>
        </w:rPr>
        <w:t>*Bruna Visniauskas</w:t>
      </w:r>
      <w:r w:rsidRPr="00442712">
        <w:rPr>
          <w:rFonts w:ascii="Arial" w:eastAsia="Times New Roman" w:hAnsi="Arial"/>
          <w:b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b/>
          <w:sz w:val="24"/>
          <w:szCs w:val="24"/>
          <w:shd w:val="clear" w:color="auto" w:fill="FFFFFF"/>
        </w:rPr>
        <w:t>; *Danielle Y. Arita</w:t>
      </w:r>
      <w:r w:rsidRPr="00442712">
        <w:rPr>
          <w:rFonts w:ascii="Arial" w:eastAsia="Times New Roman" w:hAnsi="Arial"/>
          <w:b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b/>
          <w:sz w:val="24"/>
          <w:szCs w:val="24"/>
          <w:shd w:val="clear" w:color="auto" w:fill="FFFFFF"/>
        </w:rPr>
        <w:t xml:space="preserve">, 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Carla B. Rosales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Mohammed A. Feroz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Christina Luffman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Michael J. Accavitti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Gabrielle Dawkins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Jennifer Hong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Andrew C. Curnow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Tina K. Thethi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2,3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John J. Lefante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4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Edgar A. Jaimes</w:t>
      </w:r>
      <w:proofErr w:type="gramStart"/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5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 Franck</w:t>
      </w:r>
      <w:proofErr w:type="gramEnd"/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 xml:space="preserve"> Mauvais-Jarvis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2,6,7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Vivian A. Fonseca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2,6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; Minolfa C. Prieto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  <w:vertAlign w:val="superscript"/>
        </w:rPr>
        <w:t>1,8</w:t>
      </w:r>
    </w:p>
    <w:p w14:paraId="4485BFCF" w14:textId="77777777" w:rsidR="00112FD7" w:rsidRPr="00442712" w:rsidRDefault="00112FD7" w:rsidP="00112FD7">
      <w:pPr>
        <w:spacing w:after="0" w:line="240" w:lineRule="auto"/>
        <w:rPr>
          <w:rFonts w:ascii="Arial" w:hAnsi="Arial"/>
          <w:b/>
          <w:sz w:val="24"/>
          <w:szCs w:val="24"/>
        </w:rPr>
      </w:pPr>
    </w:p>
    <w:p w14:paraId="5A1C4AF4" w14:textId="77777777" w:rsidR="00112FD7" w:rsidRPr="00442712" w:rsidRDefault="00112FD7" w:rsidP="00112FD7">
      <w:pPr>
        <w:spacing w:after="0" w:line="240" w:lineRule="auto"/>
        <w:rPr>
          <w:rFonts w:ascii="Arial" w:eastAsia="Times New Roman" w:hAnsi="Arial"/>
          <w:sz w:val="24"/>
          <w:szCs w:val="24"/>
        </w:rPr>
      </w:pPr>
      <w:r w:rsidRPr="00442712">
        <w:rPr>
          <w:rFonts w:ascii="Arial" w:hAnsi="Arial"/>
          <w:b/>
          <w:sz w:val="24"/>
          <w:szCs w:val="24"/>
        </w:rPr>
        <w:t>(*)</w:t>
      </w:r>
      <w:r w:rsidRPr="00442712">
        <w:rPr>
          <w:rFonts w:ascii="Arial" w:hAnsi="Arial"/>
          <w:sz w:val="24"/>
          <w:szCs w:val="24"/>
          <w:shd w:val="clear" w:color="auto" w:fill="FFFFFF"/>
        </w:rPr>
        <w:t> 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These authors contributed equally to this work as co-first authors</w:t>
      </w:r>
    </w:p>
    <w:p w14:paraId="0A745BEB" w14:textId="77777777" w:rsidR="00112FD7" w:rsidRPr="00442712" w:rsidRDefault="00112FD7" w:rsidP="00112FD7">
      <w:pPr>
        <w:spacing w:line="240" w:lineRule="auto"/>
        <w:contextualSpacing/>
        <w:jc w:val="center"/>
        <w:rPr>
          <w:rFonts w:ascii="Arial" w:hAnsi="Arial"/>
          <w:sz w:val="24"/>
          <w:szCs w:val="24"/>
          <w:vertAlign w:val="superscript"/>
        </w:rPr>
      </w:pPr>
    </w:p>
    <w:p w14:paraId="2CF701B7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vertAlign w:val="superscript"/>
        </w:rPr>
        <w:t>1</w:t>
      </w:r>
      <w:r w:rsidRPr="00442712">
        <w:rPr>
          <w:rFonts w:ascii="Arial" w:hAnsi="Arial"/>
          <w:sz w:val="24"/>
          <w:szCs w:val="24"/>
        </w:rPr>
        <w:t>Department of Physiology, Tulane University School of Medicine, New Orleans, LA, USA.</w:t>
      </w:r>
    </w:p>
    <w:p w14:paraId="1B099DED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vertAlign w:val="superscript"/>
        </w:rPr>
        <w:t>2</w:t>
      </w:r>
      <w:r w:rsidRPr="00442712">
        <w:rPr>
          <w:rFonts w:ascii="Arial" w:hAnsi="Arial"/>
          <w:sz w:val="24"/>
          <w:szCs w:val="24"/>
        </w:rPr>
        <w:t>Department of Medicine, Endocrinology Division, Tulane University School of Medicine, New Orleans, LA, USA.</w:t>
      </w:r>
    </w:p>
    <w:p w14:paraId="5AFC5BC5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vertAlign w:val="superscript"/>
        </w:rPr>
        <w:t>3</w:t>
      </w:r>
      <w:r w:rsidRPr="00442712">
        <w:rPr>
          <w:rFonts w:ascii="Arial" w:hAnsi="Arial"/>
          <w:sz w:val="24"/>
          <w:szCs w:val="24"/>
        </w:rPr>
        <w:t>AdventHealth, Translational Research Institute, Orlando, FL, USA</w:t>
      </w:r>
    </w:p>
    <w:p w14:paraId="1E598A22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vertAlign w:val="superscript"/>
        </w:rPr>
        <w:t>4</w:t>
      </w:r>
      <w:r w:rsidRPr="00442712">
        <w:rPr>
          <w:rFonts w:ascii="Arial" w:hAnsi="Arial"/>
          <w:sz w:val="24"/>
          <w:szCs w:val="24"/>
          <w:shd w:val="clear" w:color="auto" w:fill="FFFFFF"/>
        </w:rPr>
        <w:t>Department of Biostatistics and Data Science</w:t>
      </w:r>
      <w:r w:rsidRPr="00442712">
        <w:rPr>
          <w:rFonts w:ascii="Arial" w:hAnsi="Arial"/>
          <w:sz w:val="24"/>
          <w:szCs w:val="24"/>
        </w:rPr>
        <w:t>, School of Public Health and Tropical Medicine, New Orleans, LA, USA.</w:t>
      </w:r>
    </w:p>
    <w:p w14:paraId="6C14ED9A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shd w:val="clear" w:color="auto" w:fill="FFFFFF"/>
          <w:vertAlign w:val="superscript"/>
        </w:rPr>
        <w:t>5</w:t>
      </w:r>
      <w:r w:rsidRPr="00442712">
        <w:rPr>
          <w:rFonts w:ascii="Arial" w:hAnsi="Arial"/>
          <w:sz w:val="24"/>
          <w:szCs w:val="24"/>
          <w:shd w:val="clear" w:color="auto" w:fill="FFFFFF"/>
        </w:rPr>
        <w:t>Renal Service, Memorial Sloan Kettering Cancer Center, New York, NY, USA.</w:t>
      </w:r>
    </w:p>
    <w:p w14:paraId="79EC1012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shd w:val="clear" w:color="auto" w:fill="FFFFFF"/>
          <w:vertAlign w:val="superscript"/>
        </w:rPr>
        <w:t>6</w:t>
      </w:r>
      <w:r w:rsidRPr="00442712">
        <w:rPr>
          <w:rFonts w:ascii="Arial" w:hAnsi="Arial"/>
          <w:sz w:val="24"/>
          <w:szCs w:val="24"/>
        </w:rPr>
        <w:t>Southeast Louisiana Veterans Healthcare System New Orleans, LA, USA.</w:t>
      </w:r>
    </w:p>
    <w:p w14:paraId="70318EBA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vertAlign w:val="superscript"/>
        </w:rPr>
        <w:t>7</w:t>
      </w:r>
      <w:r w:rsidRPr="00442712">
        <w:rPr>
          <w:rFonts w:ascii="Arial" w:hAnsi="Arial"/>
          <w:sz w:val="24"/>
          <w:szCs w:val="24"/>
        </w:rPr>
        <w:t>Tulane Center of Excellence in Sex-Based Biology &amp; Medicine, New Orleans, LA, USA.</w:t>
      </w:r>
    </w:p>
    <w:p w14:paraId="383D7014" w14:textId="77777777" w:rsidR="00112FD7" w:rsidRPr="00442712" w:rsidRDefault="00112FD7" w:rsidP="00112FD7">
      <w:pPr>
        <w:spacing w:line="240" w:lineRule="auto"/>
        <w:contextualSpacing/>
        <w:jc w:val="both"/>
        <w:rPr>
          <w:rFonts w:ascii="Arial" w:hAnsi="Arial"/>
          <w:sz w:val="24"/>
          <w:szCs w:val="24"/>
        </w:rPr>
      </w:pPr>
      <w:r w:rsidRPr="00442712">
        <w:rPr>
          <w:rFonts w:ascii="Arial" w:hAnsi="Arial"/>
          <w:sz w:val="24"/>
          <w:szCs w:val="24"/>
          <w:vertAlign w:val="superscript"/>
        </w:rPr>
        <w:t>8</w:t>
      </w:r>
      <w:r w:rsidRPr="00442712">
        <w:rPr>
          <w:rFonts w:ascii="Arial" w:hAnsi="Arial"/>
          <w:sz w:val="24"/>
          <w:szCs w:val="24"/>
        </w:rPr>
        <w:t>Tulane Hypertension and Renal Center of Excellence, Tulane University School of Medicine New Orleans, LA, USA.</w:t>
      </w:r>
    </w:p>
    <w:p w14:paraId="3D0FD493" w14:textId="77777777" w:rsidR="00BD1924" w:rsidRPr="00442712" w:rsidRDefault="00BD1924" w:rsidP="00BD1924">
      <w:pPr>
        <w:spacing w:line="480" w:lineRule="auto"/>
        <w:contextualSpacing/>
        <w:jc w:val="both"/>
        <w:rPr>
          <w:rFonts w:ascii="Arial" w:hAnsi="Arial"/>
          <w:b/>
          <w:sz w:val="24"/>
          <w:szCs w:val="24"/>
        </w:rPr>
      </w:pPr>
    </w:p>
    <w:p w14:paraId="235ACF37" w14:textId="77777777" w:rsidR="00BD1924" w:rsidRPr="00442712" w:rsidRDefault="00BD1924" w:rsidP="00BD1924">
      <w:pPr>
        <w:spacing w:after="0" w:line="240" w:lineRule="auto"/>
        <w:rPr>
          <w:rFonts w:ascii="Arial" w:eastAsia="Times New Roman" w:hAnsi="Arial"/>
          <w:sz w:val="24"/>
          <w:szCs w:val="24"/>
        </w:rPr>
      </w:pPr>
      <w:r w:rsidRPr="00442712">
        <w:rPr>
          <w:rFonts w:ascii="Arial" w:hAnsi="Arial"/>
          <w:b/>
          <w:sz w:val="24"/>
          <w:szCs w:val="24"/>
        </w:rPr>
        <w:t>*</w:t>
      </w:r>
      <w:r w:rsidRPr="00442712">
        <w:rPr>
          <w:rFonts w:ascii="Arial" w:hAnsi="Arial"/>
          <w:sz w:val="24"/>
          <w:szCs w:val="24"/>
          <w:shd w:val="clear" w:color="auto" w:fill="FFFFFF"/>
        </w:rPr>
        <w:t> </w:t>
      </w:r>
      <w:r w:rsidRPr="00442712">
        <w:rPr>
          <w:rFonts w:ascii="Arial" w:eastAsia="Times New Roman" w:hAnsi="Arial"/>
          <w:sz w:val="24"/>
          <w:szCs w:val="24"/>
          <w:shd w:val="clear" w:color="auto" w:fill="FFFFFF"/>
        </w:rPr>
        <w:t>These authors contributed equally to this work as co-first authors</w:t>
      </w:r>
    </w:p>
    <w:p w14:paraId="0F0FF377" w14:textId="77777777" w:rsidR="00614730" w:rsidRPr="00442712" w:rsidRDefault="00614730" w:rsidP="00614730">
      <w:pPr>
        <w:spacing w:line="360" w:lineRule="auto"/>
        <w:contextualSpacing/>
        <w:jc w:val="both"/>
        <w:rPr>
          <w:rFonts w:ascii="Arial" w:hAnsi="Arial" w:cs="Arial"/>
          <w:b/>
          <w:i/>
          <w:sz w:val="24"/>
          <w:szCs w:val="24"/>
        </w:rPr>
      </w:pPr>
    </w:p>
    <w:p w14:paraId="7953DA35" w14:textId="20E72B2D" w:rsidR="00614730" w:rsidRPr="00442712" w:rsidRDefault="00614730"/>
    <w:p w14:paraId="5F702401" w14:textId="6C221F37" w:rsidR="00614730" w:rsidRPr="00442712" w:rsidRDefault="00614730"/>
    <w:p w14:paraId="74146D8C" w14:textId="4EBB9BB4" w:rsidR="00614730" w:rsidRPr="00442712" w:rsidRDefault="00614730"/>
    <w:p w14:paraId="0E512E5F" w14:textId="08CF7EB6" w:rsidR="00614730" w:rsidRPr="00442712" w:rsidRDefault="00614730"/>
    <w:p w14:paraId="1B3CCA16" w14:textId="062169CA" w:rsidR="00614730" w:rsidRPr="00442712" w:rsidRDefault="00614730"/>
    <w:p w14:paraId="4AE41BE9" w14:textId="2C0F95F5" w:rsidR="00614730" w:rsidRPr="00442712" w:rsidRDefault="00614730"/>
    <w:p w14:paraId="6CF8A973" w14:textId="1A898BA1" w:rsidR="00614730" w:rsidRPr="00442712" w:rsidRDefault="00614730"/>
    <w:p w14:paraId="29BE53DD" w14:textId="631DF15B" w:rsidR="00614730" w:rsidRPr="00442712" w:rsidRDefault="00614730"/>
    <w:p w14:paraId="0EC11C09" w14:textId="215D2EEF" w:rsidR="00226358" w:rsidRPr="00442712" w:rsidRDefault="00226358"/>
    <w:p w14:paraId="0EDE3A01" w14:textId="7E63EE29" w:rsidR="00226358" w:rsidRPr="00442712" w:rsidRDefault="00226358"/>
    <w:p w14:paraId="5AB484C4" w14:textId="5A56465E" w:rsidR="00226358" w:rsidRPr="00442712" w:rsidRDefault="00226358"/>
    <w:p w14:paraId="3AD664F5" w14:textId="77777777" w:rsidR="00226358" w:rsidRPr="00442712" w:rsidRDefault="00226358"/>
    <w:p w14:paraId="7361FE7C" w14:textId="194D4FFA" w:rsidR="00614730" w:rsidRPr="00442712" w:rsidRDefault="00614730"/>
    <w:p w14:paraId="4601F3A0" w14:textId="53EC17BE" w:rsidR="008F6C25" w:rsidRPr="00442712" w:rsidRDefault="008F6C25"/>
    <w:p w14:paraId="2357ACF7" w14:textId="77777777" w:rsidR="008F6C25" w:rsidRPr="00442712" w:rsidRDefault="008F6C25"/>
    <w:p w14:paraId="20BEB305" w14:textId="77777777" w:rsidR="00614730" w:rsidRPr="00442712" w:rsidRDefault="00614730" w:rsidP="00614730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0048656" w14:textId="77777777" w:rsidR="00614730" w:rsidRPr="00442712" w:rsidRDefault="00614730" w:rsidP="00614730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67812D84" w14:textId="2CC44853" w:rsidR="00614730" w:rsidRPr="00442712" w:rsidRDefault="00614730" w:rsidP="0022635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42712">
        <w:rPr>
          <w:rFonts w:ascii="Arial" w:eastAsia="Times New Roman" w:hAnsi="Arial" w:cs="Arial"/>
          <w:b/>
          <w:sz w:val="24"/>
          <w:szCs w:val="24"/>
        </w:rPr>
        <w:t>Supplementary Figure S1.</w:t>
      </w:r>
      <w:r w:rsidRPr="00442712">
        <w:rPr>
          <w:rFonts w:ascii="Arial" w:eastAsia="Times New Roman" w:hAnsi="Arial" w:cs="Arial"/>
          <w:sz w:val="24"/>
          <w:szCs w:val="24"/>
        </w:rPr>
        <w:t xml:space="preserve"> Renin activity in urine by moderate loss of kidney function, hypertension (HTN) and albumin/creatinine (ACR: urine albumin to creatinine ratio). Data are expressed as mean ± S</w:t>
      </w:r>
      <w:r w:rsidR="00E60ACA" w:rsidRPr="00442712">
        <w:rPr>
          <w:rFonts w:ascii="Arial" w:eastAsia="Times New Roman" w:hAnsi="Arial" w:cs="Arial"/>
          <w:sz w:val="24"/>
          <w:szCs w:val="24"/>
        </w:rPr>
        <w:t>tandard error of the mean (S</w:t>
      </w:r>
      <w:r w:rsidRPr="00442712">
        <w:rPr>
          <w:rFonts w:ascii="Arial" w:eastAsia="Times New Roman" w:hAnsi="Arial" w:cs="Arial"/>
          <w:sz w:val="24"/>
          <w:szCs w:val="24"/>
        </w:rPr>
        <w:t>EM</w:t>
      </w:r>
      <w:r w:rsidR="00E60ACA" w:rsidRPr="00442712">
        <w:rPr>
          <w:rFonts w:ascii="Arial" w:eastAsia="Times New Roman" w:hAnsi="Arial" w:cs="Arial"/>
          <w:sz w:val="24"/>
          <w:szCs w:val="24"/>
        </w:rPr>
        <w:t>)</w:t>
      </w:r>
      <w:r w:rsidRPr="00442712">
        <w:rPr>
          <w:rFonts w:ascii="Arial" w:eastAsia="Times New Roman" w:hAnsi="Arial" w:cs="Arial"/>
          <w:sz w:val="24"/>
          <w:szCs w:val="24"/>
        </w:rPr>
        <w:t>. *</w:t>
      </w:r>
      <w:r w:rsidRPr="00442712">
        <w:rPr>
          <w:rFonts w:ascii="Arial" w:eastAsia="Times New Roman" w:hAnsi="Arial" w:cs="Arial"/>
          <w:i/>
          <w:iCs/>
          <w:sz w:val="24"/>
          <w:szCs w:val="24"/>
        </w:rPr>
        <w:t>P</w:t>
      </w:r>
      <w:r w:rsidRPr="00442712">
        <w:rPr>
          <w:rFonts w:ascii="Arial" w:eastAsia="Times New Roman" w:hAnsi="Arial" w:cs="Arial"/>
          <w:sz w:val="24"/>
          <w:szCs w:val="24"/>
        </w:rPr>
        <w:t xml:space="preserve"> = 0.001 different from control group, † </w:t>
      </w:r>
      <w:r w:rsidRPr="00442712">
        <w:rPr>
          <w:rFonts w:ascii="Arial" w:eastAsia="Times New Roman" w:hAnsi="Arial" w:cs="Arial"/>
          <w:i/>
          <w:iCs/>
          <w:sz w:val="24"/>
          <w:szCs w:val="24"/>
        </w:rPr>
        <w:t>P</w:t>
      </w:r>
      <w:r w:rsidRPr="00442712">
        <w:rPr>
          <w:rFonts w:ascii="Arial" w:eastAsia="Times New Roman" w:hAnsi="Arial" w:cs="Arial"/>
          <w:sz w:val="24"/>
          <w:szCs w:val="24"/>
        </w:rPr>
        <w:t>&lt;0.001 different from group 2 (type 2 diabetes and HTN), ‡ different from group 3 (type 2 diabetes, HTN and ACR).</w:t>
      </w:r>
    </w:p>
    <w:p w14:paraId="61BBFE50" w14:textId="77777777" w:rsidR="00614730" w:rsidRPr="00442712" w:rsidRDefault="00614730" w:rsidP="00614730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2DF6C620" w14:textId="51141EC4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F1B7318" w14:textId="4213D8F6" w:rsidR="00614730" w:rsidRPr="00442712" w:rsidRDefault="00226358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442712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FB17B92" wp14:editId="57912A1B">
            <wp:simplePos x="0" y="0"/>
            <wp:positionH relativeFrom="margin">
              <wp:posOffset>765175</wp:posOffset>
            </wp:positionH>
            <wp:positionV relativeFrom="paragraph">
              <wp:posOffset>8890</wp:posOffset>
            </wp:positionV>
            <wp:extent cx="4520565" cy="38449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0565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B45C6" w14:textId="33B7564E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0507FB1" w14:textId="4ABFF39F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DADF839" w14:textId="16E574C6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61896FF" w14:textId="12F452A9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8658AE1" w14:textId="2404B6D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A8DB634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993A1EA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FB74A40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5A85496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5C1E870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AFF0ABF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54C171C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31F38DB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FD4FF6C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957D894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41A0280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A0183C8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620B418" w14:textId="77777777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C4C9189" w14:textId="6E0AC45A" w:rsidR="00614730" w:rsidRPr="00442712" w:rsidRDefault="00614730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E1B91BB" w14:textId="77777777" w:rsidR="00EB7BCD" w:rsidRPr="00442712" w:rsidRDefault="00EB7BCD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612DAAC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F016E06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7091447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565326B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0EC18A1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63375BC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8B043D9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9F53C44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BB2BF46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B8FB786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D5A87A7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ADA3CDC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B134635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F1FD8EC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1D5C336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6CC818C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E02495B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AB85147" w14:textId="77777777" w:rsidR="00ED0CE9" w:rsidRPr="00442712" w:rsidRDefault="00ED0CE9" w:rsidP="0061473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CC738BA" w14:textId="0A0A6BDF" w:rsidR="00226358" w:rsidRPr="00442712" w:rsidRDefault="006B2BF9" w:rsidP="00614730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2712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8C82580" wp14:editId="4CD8F77E">
            <wp:simplePos x="0" y="0"/>
            <wp:positionH relativeFrom="margin">
              <wp:align>right</wp:align>
            </wp:positionH>
            <wp:positionV relativeFrom="paragraph">
              <wp:posOffset>920750</wp:posOffset>
            </wp:positionV>
            <wp:extent cx="6924675" cy="2284095"/>
            <wp:effectExtent l="0" t="0" r="952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24675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30" w:rsidRPr="00442712">
        <w:rPr>
          <w:rFonts w:ascii="Arial" w:hAnsi="Arial" w:cs="Arial"/>
          <w:b/>
          <w:sz w:val="24"/>
          <w:szCs w:val="24"/>
          <w:u w:val="single"/>
        </w:rPr>
        <w:t>Supplementary Figure S2.</w:t>
      </w:r>
      <w:r w:rsidR="00614730" w:rsidRPr="00442712">
        <w:rPr>
          <w:rFonts w:ascii="Arial" w:hAnsi="Arial" w:cs="Arial"/>
          <w:b/>
          <w:sz w:val="24"/>
          <w:szCs w:val="24"/>
        </w:rPr>
        <w:t xml:space="preserve"> </w:t>
      </w:r>
      <w:r w:rsidR="00614730" w:rsidRPr="00442712">
        <w:rPr>
          <w:rFonts w:ascii="Arial" w:hAnsi="Arial" w:cs="Arial"/>
          <w:sz w:val="24"/>
          <w:szCs w:val="24"/>
        </w:rPr>
        <w:t>(A) Correlation between soluble prorenin receptor (sPRR) levels and urinary angiotensinogen (</w:t>
      </w:r>
      <w:proofErr w:type="spellStart"/>
      <w:r w:rsidR="00614730" w:rsidRPr="00442712">
        <w:rPr>
          <w:rFonts w:ascii="Arial" w:hAnsi="Arial" w:cs="Arial"/>
          <w:sz w:val="24"/>
          <w:szCs w:val="24"/>
        </w:rPr>
        <w:t>uAGT</w:t>
      </w:r>
      <w:proofErr w:type="spellEnd"/>
      <w:r w:rsidR="00614730" w:rsidRPr="00442712">
        <w:rPr>
          <w:rFonts w:ascii="Arial" w:hAnsi="Arial" w:cs="Arial"/>
          <w:sz w:val="24"/>
          <w:szCs w:val="24"/>
        </w:rPr>
        <w:t xml:space="preserve">) excretion (r = 0.05; </w:t>
      </w:r>
      <w:r w:rsidR="00614730" w:rsidRPr="00442712">
        <w:rPr>
          <w:rFonts w:ascii="Arial" w:hAnsi="Arial" w:cs="Arial"/>
          <w:i/>
          <w:sz w:val="24"/>
          <w:szCs w:val="24"/>
        </w:rPr>
        <w:t xml:space="preserve">P </w:t>
      </w:r>
      <w:r w:rsidR="00614730" w:rsidRPr="00442712">
        <w:rPr>
          <w:rFonts w:ascii="Arial" w:hAnsi="Arial" w:cs="Arial"/>
          <w:sz w:val="24"/>
          <w:szCs w:val="24"/>
        </w:rPr>
        <w:t>= 0.42).</w:t>
      </w:r>
      <w:r w:rsidR="001607DF" w:rsidRPr="00442712">
        <w:rPr>
          <w:rFonts w:ascii="Arial" w:eastAsia="Times New Roman" w:hAnsi="Arial" w:cs="Arial"/>
          <w:sz w:val="24"/>
          <w:szCs w:val="24"/>
        </w:rPr>
        <w:t xml:space="preserve"> Data are expressed as mean ± SEM. </w:t>
      </w:r>
      <w:r w:rsidR="00614730" w:rsidRPr="00442712">
        <w:rPr>
          <w:rFonts w:ascii="Arial" w:hAnsi="Arial" w:cs="Arial"/>
          <w:sz w:val="24"/>
          <w:szCs w:val="24"/>
        </w:rPr>
        <w:t>Comparison</w:t>
      </w:r>
      <w:r w:rsidR="00226358" w:rsidRPr="00442712">
        <w:rPr>
          <w:rFonts w:ascii="Arial" w:hAnsi="Arial" w:cs="Arial"/>
          <w:sz w:val="24"/>
          <w:szCs w:val="24"/>
        </w:rPr>
        <w:t>s</w:t>
      </w:r>
      <w:r w:rsidR="00614730" w:rsidRPr="00442712">
        <w:rPr>
          <w:rFonts w:ascii="Arial" w:hAnsi="Arial" w:cs="Arial"/>
          <w:sz w:val="24"/>
          <w:szCs w:val="24"/>
        </w:rPr>
        <w:t xml:space="preserve"> of </w:t>
      </w:r>
      <w:proofErr w:type="spellStart"/>
      <w:r w:rsidR="00614730" w:rsidRPr="00442712">
        <w:rPr>
          <w:rFonts w:ascii="Arial" w:hAnsi="Arial" w:cs="Arial"/>
          <w:sz w:val="24"/>
          <w:szCs w:val="24"/>
        </w:rPr>
        <w:t>uAGT</w:t>
      </w:r>
      <w:proofErr w:type="spellEnd"/>
      <w:r w:rsidR="00614730" w:rsidRPr="00442712">
        <w:rPr>
          <w:rFonts w:ascii="Arial" w:hAnsi="Arial" w:cs="Arial"/>
          <w:sz w:val="24"/>
          <w:szCs w:val="24"/>
        </w:rPr>
        <w:t xml:space="preserve"> between low (≤16 ng/mL) and high (≥19 ng/mL) levels of sPRR in patients with diabetes (B) and by gender (C). (C) *</w:t>
      </w:r>
      <w:r w:rsidR="00614730" w:rsidRPr="00442712">
        <w:rPr>
          <w:rFonts w:ascii="Arial" w:hAnsi="Arial" w:cs="Arial"/>
          <w:i/>
          <w:sz w:val="24"/>
          <w:szCs w:val="24"/>
        </w:rPr>
        <w:t>P</w:t>
      </w:r>
      <w:r w:rsidR="00614730" w:rsidRPr="00442712">
        <w:rPr>
          <w:rFonts w:ascii="Arial" w:hAnsi="Arial" w:cs="Arial"/>
          <w:sz w:val="24"/>
          <w:szCs w:val="24"/>
        </w:rPr>
        <w:t xml:space="preserve"> &lt; 0.02. (D) Men </w:t>
      </w:r>
      <w:r w:rsidR="00614730" w:rsidRPr="00442712">
        <w:rPr>
          <w:rFonts w:ascii="Arial" w:hAnsi="Arial" w:cs="Arial"/>
          <w:i/>
          <w:sz w:val="24"/>
          <w:szCs w:val="24"/>
        </w:rPr>
        <w:t>P</w:t>
      </w:r>
      <w:r w:rsidR="00614730" w:rsidRPr="00442712">
        <w:rPr>
          <w:rFonts w:ascii="Arial" w:hAnsi="Arial" w:cs="Arial"/>
          <w:sz w:val="24"/>
          <w:szCs w:val="24"/>
        </w:rPr>
        <w:t xml:space="preserve"> = 0.03 and Women </w:t>
      </w:r>
      <w:r w:rsidR="00614730" w:rsidRPr="00442712">
        <w:rPr>
          <w:rFonts w:ascii="Arial" w:hAnsi="Arial" w:cs="Arial"/>
          <w:i/>
          <w:sz w:val="24"/>
          <w:szCs w:val="24"/>
        </w:rPr>
        <w:t>P</w:t>
      </w:r>
      <w:r w:rsidR="00614730" w:rsidRPr="00442712">
        <w:rPr>
          <w:rFonts w:ascii="Arial" w:hAnsi="Arial" w:cs="Arial"/>
          <w:sz w:val="24"/>
          <w:szCs w:val="24"/>
        </w:rPr>
        <w:t xml:space="preserve"> = 0.73.</w:t>
      </w:r>
    </w:p>
    <w:p w14:paraId="425D0CD1" w14:textId="1B885952" w:rsidR="00EB7BCD" w:rsidRPr="00442712" w:rsidRDefault="00EB7BCD" w:rsidP="006147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4641B7" w14:textId="38A416C6" w:rsidR="00614730" w:rsidRPr="00442712" w:rsidRDefault="00614730" w:rsidP="006147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FF47CC" w14:textId="77777777" w:rsidR="00614730" w:rsidRPr="00442712" w:rsidRDefault="00614730"/>
    <w:sectPr w:rsidR="00614730" w:rsidRPr="00442712" w:rsidSect="002263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Q0NLE0tzQ3sDQxsjBQ0lEKTi0uzszPAykwqwUAAvLg7iwAAAA="/>
  </w:docVars>
  <w:rsids>
    <w:rsidRoot w:val="00614730"/>
    <w:rsid w:val="00112FD7"/>
    <w:rsid w:val="001607DF"/>
    <w:rsid w:val="001F75BE"/>
    <w:rsid w:val="00226358"/>
    <w:rsid w:val="003269B2"/>
    <w:rsid w:val="00401F60"/>
    <w:rsid w:val="00442712"/>
    <w:rsid w:val="005F6E85"/>
    <w:rsid w:val="00614730"/>
    <w:rsid w:val="006B2BF9"/>
    <w:rsid w:val="007029F9"/>
    <w:rsid w:val="00766A2D"/>
    <w:rsid w:val="008109D0"/>
    <w:rsid w:val="008B7A3E"/>
    <w:rsid w:val="008F6C25"/>
    <w:rsid w:val="009D351D"/>
    <w:rsid w:val="00B57803"/>
    <w:rsid w:val="00BD1924"/>
    <w:rsid w:val="00BF7FD9"/>
    <w:rsid w:val="00D604CD"/>
    <w:rsid w:val="00DD6EAC"/>
    <w:rsid w:val="00E44A40"/>
    <w:rsid w:val="00E60ACA"/>
    <w:rsid w:val="00EB7BCD"/>
    <w:rsid w:val="00ED0CE9"/>
    <w:rsid w:val="00F7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F105"/>
  <w15:chartTrackingRefBased/>
  <w15:docId w15:val="{D4D0FF87-177E-4B09-A726-A2E02D6E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73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30"/>
    <w:rPr>
      <w:color w:val="0000FF"/>
      <w:u w:val="single"/>
    </w:rPr>
  </w:style>
  <w:style w:type="table" w:styleId="TableGrid">
    <w:name w:val="Table Grid"/>
    <w:basedOn w:val="TableNormal"/>
    <w:uiPriority w:val="59"/>
    <w:rsid w:val="00614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Visniauskas, Bruna</dc:creator>
  <cp:keywords/>
  <dc:description/>
  <cp:lastModifiedBy>Visniauskas, Bruna</cp:lastModifiedBy>
  <cp:revision>4</cp:revision>
  <cp:lastPrinted>2021-03-17T13:58:00Z</cp:lastPrinted>
  <dcterms:created xsi:type="dcterms:W3CDTF">2021-03-23T19:09:00Z</dcterms:created>
  <dcterms:modified xsi:type="dcterms:W3CDTF">2021-03-23T19:10:00Z</dcterms:modified>
</cp:coreProperties>
</file>