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9B9" w:rsidRDefault="000349B9" w:rsidP="000349B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Title:</w:t>
      </w:r>
      <w:r>
        <w:rPr>
          <w:rFonts w:cstheme="minorHAnsi"/>
          <w:sz w:val="24"/>
          <w:szCs w:val="24"/>
        </w:rPr>
        <w:t xml:space="preserve"> Age and sex dependency of myocardial infarction markers: A detailed study on the different age-classes and genders in Tehran </w:t>
      </w:r>
      <w:proofErr w:type="spellStart"/>
      <w:r>
        <w:rPr>
          <w:rFonts w:cstheme="minorHAnsi"/>
          <w:sz w:val="24"/>
          <w:szCs w:val="24"/>
        </w:rPr>
        <w:t>Cardiometabolic</w:t>
      </w:r>
      <w:proofErr w:type="spellEnd"/>
      <w:r>
        <w:rPr>
          <w:rFonts w:cstheme="minorHAnsi"/>
          <w:sz w:val="24"/>
          <w:szCs w:val="24"/>
        </w:rPr>
        <w:t xml:space="preserve"> Genetic Study (TCGS)</w:t>
      </w:r>
    </w:p>
    <w:p w:rsidR="000349B9" w:rsidRDefault="000349B9">
      <w:bookmarkStart w:id="0" w:name="_GoBack"/>
      <w:bookmarkEnd w:id="0"/>
    </w:p>
    <w:tbl>
      <w:tblPr>
        <w:tblW w:w="12506" w:type="dxa"/>
        <w:tblLook w:val="04A0" w:firstRow="1" w:lastRow="0" w:firstColumn="1" w:lastColumn="0" w:noHBand="0" w:noVBand="1"/>
      </w:tblPr>
      <w:tblGrid>
        <w:gridCol w:w="11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764E83" w:rsidRPr="00764E83" w:rsidTr="000349B9">
        <w:trPr>
          <w:trHeight w:val="1212"/>
        </w:trPr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 xml:space="preserve"> rs9365171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rs9346833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rs783149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rs7770628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rs7761377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rs7761293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rs7756317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rs7449650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rs6930542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rs6926458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rs6415084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rs1367211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rs1321196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rs13202636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rs11751605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rs10945682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rs1084651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rs9365171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0.406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0.673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0.069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0.328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0.635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0.634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0.617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0.328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0.009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0.629</w:t>
            </w:r>
          </w:p>
        </w:tc>
        <w:tc>
          <w:tcPr>
            <w:tcW w:w="6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rs9346833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0.668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0.122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rs783149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0.057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0.925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rs7770628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0.406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0.679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rs7761377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0.057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0.679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0.743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rs7761293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0.025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rs7756317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0.011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rs7449650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0.024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rs6930542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rs6926458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0.328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0.208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0.548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0.999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rs6415084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0.635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0.208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0.384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0.208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rs1367211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0.634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0.668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0.486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0.743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0.738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0.049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rs1321196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0.617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0.467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0.548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0.384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0.548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0.062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rs13202636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0.328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0.552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0.999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0.208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0.548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0.565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0.039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rs11751605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0.025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rs10945682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0.446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0.646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0.564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0.395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0.738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0.565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0.062</w:t>
            </w:r>
          </w:p>
        </w:tc>
      </w:tr>
      <w:tr w:rsidR="00764E83" w:rsidRPr="00764E83" w:rsidTr="000349B9">
        <w:trPr>
          <w:trHeight w:val="348"/>
        </w:trPr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rs1084651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0.122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0.925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0.011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0.049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0.039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0.062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E83" w:rsidRPr="00764E83" w:rsidRDefault="00764E83" w:rsidP="00764E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64E83">
              <w:rPr>
                <w:rFonts w:ascii="Arial" w:eastAsia="Times New Roman" w:hAnsi="Arial" w:cs="Arial"/>
                <w:sz w:val="18"/>
                <w:szCs w:val="18"/>
              </w:rPr>
              <w:t>0.000</w:t>
            </w:r>
          </w:p>
        </w:tc>
      </w:tr>
    </w:tbl>
    <w:p w:rsidR="00764E83" w:rsidRDefault="00764E83"/>
    <w:p w:rsidR="00AB7BDC" w:rsidRPr="00764E83" w:rsidRDefault="00764E83" w:rsidP="00764E83">
      <w:r>
        <w:rPr>
          <w:b/>
          <w:bCs/>
        </w:rPr>
        <w:t xml:space="preserve">Table S1: The results of r^2 calculation of </w:t>
      </w:r>
      <w:r w:rsidRPr="00764E83">
        <w:rPr>
          <w:b/>
          <w:bCs/>
        </w:rPr>
        <w:t>Linkage disequilibrium (LD) for all investigated SNPs in this study.</w:t>
      </w:r>
    </w:p>
    <w:sectPr w:rsidR="00AB7BDC" w:rsidRPr="00764E83" w:rsidSect="00764E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wMTG3MDS3sLAwNTNX0lEKTi0uzszPAykwrgUAq3gKZywAAAA="/>
  </w:docVars>
  <w:rsids>
    <w:rsidRoot w:val="00764E83"/>
    <w:rsid w:val="000349B9"/>
    <w:rsid w:val="00764E83"/>
    <w:rsid w:val="00AB7BDC"/>
    <w:rsid w:val="00B5734E"/>
    <w:rsid w:val="00E90EEB"/>
    <w:rsid w:val="00F05772"/>
    <w:rsid w:val="00F6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5B8A"/>
  <w15:chartTrackingRefBased/>
  <w15:docId w15:val="{CED35B47-8C24-402F-8CBD-4EBAC0BC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989177290219</dc:creator>
  <cp:keywords/>
  <dc:description/>
  <cp:lastModifiedBy>989177290219</cp:lastModifiedBy>
  <cp:revision>3</cp:revision>
  <dcterms:created xsi:type="dcterms:W3CDTF">2021-05-09T14:39:00Z</dcterms:created>
  <dcterms:modified xsi:type="dcterms:W3CDTF">2021-05-15T11:48:00Z</dcterms:modified>
</cp:coreProperties>
</file>