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0BAB2" w14:textId="14A7B265" w:rsidR="00C76B8D" w:rsidRPr="008A4DE0" w:rsidRDefault="00C76B8D" w:rsidP="00C76B8D">
      <w:pPr>
        <w:spacing w:after="0" w:line="480" w:lineRule="auto"/>
        <w:jc w:val="both"/>
        <w:rPr>
          <w:rFonts w:ascii="Arial" w:hAnsi="Arial" w:cs="Arial"/>
          <w:b/>
          <w:bCs/>
          <w:lang w:val="en-US"/>
        </w:rPr>
      </w:pPr>
      <w:r w:rsidRPr="008A4DE0">
        <w:rPr>
          <w:rFonts w:ascii="Arial" w:hAnsi="Arial" w:cs="Arial"/>
          <w:b/>
          <w:bCs/>
          <w:lang w:val="en-US"/>
        </w:rPr>
        <w:t xml:space="preserve">Supplementary table 1. Non-invasive </w:t>
      </w:r>
      <w:r w:rsidR="00DE2F4B">
        <w:rPr>
          <w:rFonts w:ascii="Arial" w:hAnsi="Arial" w:cs="Arial"/>
          <w:b/>
          <w:bCs/>
          <w:lang w:val="en-US"/>
        </w:rPr>
        <w:t>test</w:t>
      </w:r>
      <w:r w:rsidR="00C95611">
        <w:rPr>
          <w:rFonts w:ascii="Arial" w:hAnsi="Arial" w:cs="Arial"/>
          <w:b/>
          <w:bCs/>
          <w:lang w:val="en-US"/>
        </w:rPr>
        <w:t>s (NITs)</w:t>
      </w:r>
      <w:r w:rsidRPr="008A4DE0">
        <w:rPr>
          <w:rFonts w:ascii="Arial" w:hAnsi="Arial" w:cs="Arial"/>
          <w:b/>
          <w:bCs/>
          <w:lang w:val="en-US"/>
        </w:rPr>
        <w:t xml:space="preserve"> with their associated formulas</w:t>
      </w:r>
    </w:p>
    <w:tbl>
      <w:tblPr>
        <w:tblStyle w:val="TableGrid"/>
        <w:tblW w:w="10343" w:type="dxa"/>
        <w:tblLayout w:type="fixed"/>
        <w:tblLook w:val="0420" w:firstRow="1" w:lastRow="0" w:firstColumn="0" w:lastColumn="0" w:noHBand="0" w:noVBand="1"/>
      </w:tblPr>
      <w:tblGrid>
        <w:gridCol w:w="2846"/>
        <w:gridCol w:w="7497"/>
      </w:tblGrid>
      <w:tr w:rsidR="00C76B8D" w:rsidRPr="006E52AF" w14:paraId="71063CA2" w14:textId="77777777" w:rsidTr="00D46FBC">
        <w:trPr>
          <w:trHeight w:val="710"/>
        </w:trPr>
        <w:tc>
          <w:tcPr>
            <w:tcW w:w="2846" w:type="dxa"/>
            <w:vAlign w:val="center"/>
          </w:tcPr>
          <w:p w14:paraId="29A727F1" w14:textId="77777777" w:rsidR="00C76B8D" w:rsidRPr="00B45BEE" w:rsidRDefault="00C76B8D" w:rsidP="00777435">
            <w:pPr>
              <w:autoSpaceDE w:val="0"/>
              <w:autoSpaceDN w:val="0"/>
              <w:jc w:val="center"/>
              <w:rPr>
                <w:rFonts w:ascii="Arial" w:hAnsi="Arial" w:cs="Arial"/>
                <w:b/>
                <w:bCs/>
              </w:rPr>
            </w:pPr>
            <w:bookmarkStart w:id="0" w:name="_Hlk119445111"/>
            <w:r w:rsidRPr="00B45BEE">
              <w:rPr>
                <w:rFonts w:ascii="Arial" w:hAnsi="Arial" w:cs="Arial"/>
                <w:b/>
                <w:bCs/>
              </w:rPr>
              <w:t>Scores</w:t>
            </w:r>
          </w:p>
        </w:tc>
        <w:tc>
          <w:tcPr>
            <w:tcW w:w="7497" w:type="dxa"/>
            <w:vAlign w:val="center"/>
          </w:tcPr>
          <w:p w14:paraId="0CB403E6" w14:textId="77777777" w:rsidR="00C76B8D" w:rsidRPr="00B45BEE" w:rsidRDefault="00C76B8D" w:rsidP="00777435">
            <w:pPr>
              <w:autoSpaceDE w:val="0"/>
              <w:autoSpaceDN w:val="0"/>
              <w:jc w:val="center"/>
              <w:rPr>
                <w:rFonts w:ascii="Arial" w:hAnsi="Arial" w:cs="Arial"/>
                <w:b/>
                <w:bCs/>
              </w:rPr>
            </w:pPr>
            <w:r w:rsidRPr="00B45BEE">
              <w:rPr>
                <w:rFonts w:ascii="Arial" w:hAnsi="Arial" w:cs="Arial"/>
                <w:b/>
                <w:bCs/>
              </w:rPr>
              <w:t>Formulas</w:t>
            </w:r>
          </w:p>
        </w:tc>
      </w:tr>
      <w:tr w:rsidR="00E95BF1" w:rsidRPr="00984917" w14:paraId="1F0A55C5" w14:textId="77777777" w:rsidTr="00D46FBC">
        <w:trPr>
          <w:trHeight w:val="710"/>
        </w:trPr>
        <w:tc>
          <w:tcPr>
            <w:tcW w:w="2846" w:type="dxa"/>
            <w:vAlign w:val="center"/>
          </w:tcPr>
          <w:p w14:paraId="38A80FCA" w14:textId="49C69831" w:rsidR="00E95BF1" w:rsidRPr="00D46FBC" w:rsidRDefault="00E95BF1" w:rsidP="00E95BF1">
            <w:pPr>
              <w:autoSpaceDE w:val="0"/>
              <w:autoSpaceDN w:val="0"/>
              <w:jc w:val="center"/>
              <w:rPr>
                <w:rFonts w:ascii="Cambria Math" w:hAnsi="Cambria Math" w:cs="Arial"/>
                <w:iCs/>
              </w:rPr>
            </w:pPr>
            <w:r w:rsidRPr="00D46FBC">
              <w:rPr>
                <w:rFonts w:ascii="Cambria Math" w:hAnsi="Cambria Math" w:cs="Arial"/>
                <w:iCs/>
              </w:rPr>
              <w:t>FLI</w:t>
            </w:r>
            <w:r>
              <w:rPr>
                <w:rFonts w:ascii="Cambria Math" w:hAnsi="Cambria Math" w:cs="Arial"/>
                <w:iCs/>
              </w:rPr>
              <w:t xml:space="preserve"> </w:t>
            </w:r>
            <w:r>
              <w:rPr>
                <w:rFonts w:ascii="Cambria Math" w:hAnsi="Cambria Math" w:cs="Arial"/>
                <w:iCs/>
              </w:rPr>
              <w:fldChar w:fldCharType="begin"/>
            </w:r>
            <w:r>
              <w:rPr>
                <w:rFonts w:ascii="Cambria Math" w:hAnsi="Cambria Math" w:cs="Arial"/>
                <w:iCs/>
              </w:rPr>
              <w:instrText xml:space="preserve"> ADDIN ZOTERO_ITEM CSL_CITATION {"citationID":"qyjPSYoc","properties":{"formattedCitation":"(1)","plainCitation":"(1)","noteIndex":0},"citationItems":[{"id":1477,"uris":["http://zotero.org/users/9313241/items/2CRL9CX7"],"itemData":{"id":1477,"type":"article-journal","abstract":"BACKGROUND: Fatty liver (FL) is the most frequent liver disease in Western countries. We used data from the Dionysos Nutrition &amp; Liver Study to develop a simple algorithm for the prediction of FL in the general population.\nMETHODS: 216 subjects with and 280 without suspected liver disease were studied. FL was diagnosed by ultrasonography and alcohol intake was assessed using a 7-day diary. Bootstrapped stepwise logistic regression was used to identify potential predictors of FL among 13 variables of interest [gender, age, ethanol intake, alanine transaminase, aspartate transaminase, gamma-glutamyl-transferase (GGT), body mass index (BMI), waist circumference, sum of 4 skinfolds, glucose, insulin, triglycerides, and cholesterol]. Potential predictors were entered into stepwise logistic regression models with the aim of obtaining the most simple and accurate algorithm for the prediction of FL.\nRESULTS: An algorithm based on BMI, waist circumference, triglycerides and GGT had an accuracy of 0.84 (95%CI 0.81-0.87) in detecting FL. We used this algorithm to develop the \"fatty liver index\" (FLI), which varies between 0 and 100. A FLI &lt; 30 (negative likelihood ratio = 0.2) rules out and a FLI &gt; or = 60 (positive likelihood ratio = 4.3) rules in fatty liver.\nCONCLUSION: FLI is simple to obtain and may help physicians select subjects for liver ultrasonography and intensified lifestyle counseling, and researchers to select patients for epidemiologic studies. Validation of FLI in external populations is needed before it can be employed for these purposes.","container-title":"BMC gastroenterology","DOI":"10.1186/1471-230X-6-33","ISSN":"1471-230X","journalAbbreviation":"BMC Gastroenterol","language":"eng","note":"PMID: 17081293\nPMCID: PMC1636651","page":"33","source":"PubMed","title":"The Fatty Liver Index: a simple and accurate predictor of hepatic steatosis in the general population","title-short":"The Fatty Liver Index","volume":"6","author":[{"family":"Bedogni","given":"Giorgio"},{"family":"Bellentani","given":"Stefano"},{"family":"Miglioli","given":"Lucia"},{"family":"Masutti","given":"Flora"},{"family":"Passalacqua","given":"Marilena"},{"family":"Castiglione","given":"Anna"},{"family":"Tiribelli","given":"Claudio"}],"issued":{"date-parts":[["2006",11,2]]}}}],"schema":"https://github.com/citation-style-language/schema/raw/master/csl-citation.json"} </w:instrText>
            </w:r>
            <w:r>
              <w:rPr>
                <w:rFonts w:ascii="Cambria Math" w:hAnsi="Cambria Math" w:cs="Arial"/>
                <w:iCs/>
              </w:rPr>
              <w:fldChar w:fldCharType="separate"/>
            </w:r>
            <w:r w:rsidRPr="00E95BF1">
              <w:rPr>
                <w:rFonts w:ascii="Cambria Math" w:hAnsi="Cambria Math"/>
              </w:rPr>
              <w:t>(1)</w:t>
            </w:r>
            <w:r>
              <w:rPr>
                <w:rFonts w:ascii="Cambria Math" w:hAnsi="Cambria Math" w:cs="Arial"/>
                <w:iCs/>
              </w:rPr>
              <w:fldChar w:fldCharType="end"/>
            </w:r>
          </w:p>
        </w:tc>
        <w:tc>
          <w:tcPr>
            <w:tcW w:w="7497" w:type="dxa"/>
            <w:vAlign w:val="center"/>
          </w:tcPr>
          <w:p w14:paraId="2272894F" w14:textId="77D1F835" w:rsidR="00E95BF1" w:rsidRDefault="00000000" w:rsidP="00E95BF1">
            <w:pPr>
              <w:autoSpaceDE w:val="0"/>
              <w:autoSpaceDN w:val="0"/>
              <w:jc w:val="center"/>
              <w:rPr>
                <w:rFonts w:ascii="Cambria Math" w:eastAsia="Calibri" w:hAnsi="Cambria Math" w:cs="Arial"/>
                <w:iCs/>
              </w:rPr>
            </w:pPr>
            <m:oMathPara>
              <m:oMath>
                <m:f>
                  <m:fPr>
                    <m:type m:val="lin"/>
                    <m:ctrlPr>
                      <w:rPr>
                        <w:rFonts w:ascii="Cambria Math" w:hAnsi="Cambria Math" w:cs="Arial"/>
                        <w:iCs/>
                      </w:rPr>
                    </m:ctrlPr>
                  </m:fPr>
                  <m:num>
                    <m:sSup>
                      <m:sSupPr>
                        <m:ctrlPr>
                          <w:rPr>
                            <w:rFonts w:ascii="Cambria Math" w:hAnsi="Cambria Math" w:cs="Arial"/>
                            <w:iCs/>
                          </w:rPr>
                        </m:ctrlPr>
                      </m:sSupPr>
                      <m:e>
                        <m:r>
                          <w:rPr>
                            <w:rFonts w:ascii="Cambria Math" w:hAnsi="Cambria Math" w:cs="Arial"/>
                          </w:rPr>
                          <m:t>e</m:t>
                        </m:r>
                      </m:e>
                      <m:sup>
                        <m:r>
                          <w:rPr>
                            <w:rFonts w:ascii="Cambria Math" w:hAnsi="Cambria Math" w:cs="Arial"/>
                          </w:rPr>
                          <m:t>y</m:t>
                        </m:r>
                      </m:sup>
                    </m:sSup>
                  </m:num>
                  <m:den>
                    <m:d>
                      <m:dPr>
                        <m:ctrlPr>
                          <w:rPr>
                            <w:rFonts w:ascii="Cambria Math" w:hAnsi="Cambria Math" w:cs="Arial"/>
                            <w:iCs/>
                          </w:rPr>
                        </m:ctrlPr>
                      </m:dPr>
                      <m:e>
                        <m:r>
                          <m:rPr>
                            <m:sty m:val="p"/>
                          </m:rPr>
                          <w:rPr>
                            <w:rFonts w:ascii="Cambria Math" w:hAnsi="Cambria Math" w:cs="Arial"/>
                          </w:rPr>
                          <m:t>1+</m:t>
                        </m:r>
                        <m:sSup>
                          <m:sSupPr>
                            <m:ctrlPr>
                              <w:rPr>
                                <w:rFonts w:ascii="Cambria Math" w:hAnsi="Cambria Math" w:cs="Arial"/>
                                <w:iCs/>
                              </w:rPr>
                            </m:ctrlPr>
                          </m:sSupPr>
                          <m:e>
                            <m:r>
                              <w:rPr>
                                <w:rFonts w:ascii="Cambria Math" w:hAnsi="Cambria Math" w:cs="Arial"/>
                              </w:rPr>
                              <m:t>e</m:t>
                            </m:r>
                          </m:e>
                          <m:sup>
                            <m:r>
                              <w:rPr>
                                <w:rFonts w:ascii="Cambria Math" w:hAnsi="Cambria Math" w:cs="Arial"/>
                              </w:rPr>
                              <m:t>y</m:t>
                            </m:r>
                          </m:sup>
                        </m:sSup>
                      </m:e>
                    </m:d>
                    <m:r>
                      <m:rPr>
                        <m:sty m:val="p"/>
                      </m:rPr>
                      <w:rPr>
                        <w:rFonts w:ascii="Cambria Math" w:hAnsi="Cambria Math" w:cs="Arial"/>
                      </w:rPr>
                      <m:t>×100</m:t>
                    </m:r>
                  </m:den>
                </m:f>
                <m:r>
                  <m:rPr>
                    <m:sty m:val="p"/>
                  </m:rPr>
                  <w:rPr>
                    <w:rFonts w:ascii="Cambria Math" w:hAnsi="Cambria Math" w:cs="Arial"/>
                  </w:rPr>
                  <m:t xml:space="preserve"> </m:t>
                </m:r>
                <m:r>
                  <m:rPr>
                    <m:sty m:val="p"/>
                  </m:rPr>
                  <w:rPr>
                    <w:rFonts w:ascii="Cambria Math" w:hAnsi="Cambria Math" w:cs="Arial"/>
                  </w:rPr>
                  <w:br/>
                </m:r>
              </m:oMath>
            </m:oMathPara>
            <w:r w:rsidR="00E95BF1" w:rsidRPr="00D46FBC">
              <w:rPr>
                <w:rFonts w:ascii="Cambria Math" w:hAnsi="Cambria Math" w:cs="Arial"/>
                <w:iCs/>
              </w:rPr>
              <w:t>Where y = 0.953 × ln(triglycerides) + 0.139 × BMI, + 0.718 × ln (GGT) + 0.053 × waist circumference – 15.745</w:t>
            </w:r>
          </w:p>
        </w:tc>
      </w:tr>
      <w:tr w:rsidR="00E95BF1" w:rsidRPr="006E52AF" w14:paraId="6D56A9DA" w14:textId="77777777" w:rsidTr="00D46FBC">
        <w:trPr>
          <w:trHeight w:val="710"/>
        </w:trPr>
        <w:tc>
          <w:tcPr>
            <w:tcW w:w="2846" w:type="dxa"/>
            <w:vAlign w:val="center"/>
          </w:tcPr>
          <w:p w14:paraId="48EDC4F7" w14:textId="6AA3AEF3" w:rsidR="00E95BF1" w:rsidRPr="00D46FBC" w:rsidRDefault="00E95BF1" w:rsidP="00E95BF1">
            <w:pPr>
              <w:autoSpaceDE w:val="0"/>
              <w:autoSpaceDN w:val="0"/>
              <w:jc w:val="center"/>
              <w:rPr>
                <w:rFonts w:ascii="Cambria Math" w:hAnsi="Cambria Math" w:cs="Arial"/>
                <w:iCs/>
              </w:rPr>
            </w:pPr>
            <w:r w:rsidRPr="00D46FBC">
              <w:rPr>
                <w:rFonts w:ascii="Cambria Math" w:hAnsi="Cambria Math" w:cs="Arial"/>
                <w:iCs/>
              </w:rPr>
              <w:t>AAR</w:t>
            </w:r>
            <w:r>
              <w:rPr>
                <w:rFonts w:ascii="Cambria Math" w:hAnsi="Cambria Math" w:cs="Arial"/>
                <w:iCs/>
              </w:rPr>
              <w:t xml:space="preserve"> </w:t>
            </w:r>
            <w:r>
              <w:rPr>
                <w:rFonts w:ascii="Cambria Math" w:hAnsi="Cambria Math" w:cs="Arial"/>
                <w:iCs/>
              </w:rPr>
              <w:fldChar w:fldCharType="begin"/>
            </w:r>
            <w:r>
              <w:rPr>
                <w:rFonts w:ascii="Cambria Math" w:hAnsi="Cambria Math" w:cs="Arial"/>
                <w:iCs/>
              </w:rPr>
              <w:instrText xml:space="preserve"> ADDIN ZOTERO_ITEM CSL_CITATION {"citationID":"hcyTyzUa","properties":{"formattedCitation":"(2)","plainCitation":"(2)","noteIndex":0},"citationItems":[{"id":1488,"uris":["http://zotero.org/users/9313241/items/BPNUNACD"],"itemData":{"id":1488,"type":"article-journal","abstract":"De Ritis described the ratio between the serum levels of aspartate transaminase (AST) and alanine transaminase (ALT) almost 50 years ago. While initially described as a characteristic of acute viral hepatitis where ALT was usually higher than AST, other authors have subsequently found it useful in alcoholic hepatitis, where AST is usually higher than ALT. These interpretations are far too simplistic however as acute viral hepatitis can have AST greater than ALT, and this can be a sign of fulminant disease, while alcoholic hepatitis can have ALT greater than AST when several days have elapsed since alcohol exposure. The ratio therefore represents the time course and aggressiveness of disease that would be predicted from the relatively short half-life of AST (18 h) compared to ALT (36 h). In chronic viral illnesses such as chronic viral hepatitis and chronic alcoholism as well as non-alcoholic fatty liver disease, an elevated AST/ALT ratio is predictive of long terms complications including fibrosis and cirrhosis. There are methodological issues, particularly whether or not pyridoxal phosphate is used in the transaminase assays, and although this can have specific effects when patient samples are deficient in this vitamin, these method differences generally have mild effects on the usefulness of the assays or the ratio. Ideally laboratories should be using pyridoxal phosphate supplemented assays in alcoholic, elderly and cancer patients who may be pyridoxine deplete. Ideally all laboratories reporting abnormal ALT should also report AST and calculate the De Ritis ratio because it provides useful diagnostic and prognostic information.","container-title":"The Clinical Biochemist. Reviews","ISSN":"0159-8090","issue":"3","journalAbbreviation":"Clin Biochem Rev","language":"eng","note":"PMID: 24353357\nPMCID: PMC3866949","page":"117-130","source":"PubMed","title":"The de ritis ratio: the test of time","title-short":"The de ritis ratio","volume":"34","author":[{"family":"Botros","given":"Mona"},{"family":"Sikaris","given":"Kenneth A."}],"issued":{"date-parts":[["2013",11]]}}}],"schema":"https://github.com/citation-style-language/schema/raw/master/csl-citation.json"} </w:instrText>
            </w:r>
            <w:r>
              <w:rPr>
                <w:rFonts w:ascii="Cambria Math" w:hAnsi="Cambria Math" w:cs="Arial"/>
                <w:iCs/>
              </w:rPr>
              <w:fldChar w:fldCharType="separate"/>
            </w:r>
            <w:r w:rsidRPr="00E95BF1">
              <w:rPr>
                <w:rFonts w:ascii="Cambria Math" w:hAnsi="Cambria Math"/>
              </w:rPr>
              <w:t>(2)</w:t>
            </w:r>
            <w:r>
              <w:rPr>
                <w:rFonts w:ascii="Cambria Math" w:hAnsi="Cambria Math" w:cs="Arial"/>
                <w:iCs/>
              </w:rPr>
              <w:fldChar w:fldCharType="end"/>
            </w:r>
          </w:p>
        </w:tc>
        <w:tc>
          <w:tcPr>
            <w:tcW w:w="7497" w:type="dxa"/>
            <w:vAlign w:val="center"/>
          </w:tcPr>
          <w:p w14:paraId="64AA1E3B" w14:textId="5CEA8320" w:rsidR="00E95BF1" w:rsidRDefault="00000000" w:rsidP="00E95BF1">
            <w:pPr>
              <w:autoSpaceDE w:val="0"/>
              <w:autoSpaceDN w:val="0"/>
              <w:jc w:val="center"/>
              <w:rPr>
                <w:rFonts w:ascii="Arial" w:eastAsia="Calibri" w:hAnsi="Arial" w:cs="Arial"/>
                <w:iCs/>
              </w:rPr>
            </w:pPr>
            <m:oMathPara>
              <m:oMath>
                <m:f>
                  <m:fPr>
                    <m:type m:val="lin"/>
                    <m:ctrlPr>
                      <w:rPr>
                        <w:rFonts w:ascii="Cambria Math" w:hAnsi="Cambria Math" w:cs="Arial"/>
                        <w:iCs/>
                      </w:rPr>
                    </m:ctrlPr>
                  </m:fPr>
                  <m:num>
                    <m:r>
                      <m:rPr>
                        <m:sty m:val="p"/>
                      </m:rPr>
                      <w:rPr>
                        <w:rFonts w:ascii="Cambria Math" w:hAnsi="Cambria Math" w:cs="Arial"/>
                      </w:rPr>
                      <m:t>AST</m:t>
                    </m:r>
                  </m:num>
                  <m:den>
                    <m:r>
                      <m:rPr>
                        <m:sty m:val="p"/>
                      </m:rPr>
                      <w:rPr>
                        <w:rFonts w:ascii="Cambria Math" w:hAnsi="Cambria Math" w:cs="Arial"/>
                      </w:rPr>
                      <m:t>ALT</m:t>
                    </m:r>
                  </m:den>
                </m:f>
              </m:oMath>
            </m:oMathPara>
          </w:p>
        </w:tc>
      </w:tr>
      <w:tr w:rsidR="00E95BF1" w:rsidRPr="006E52AF" w14:paraId="4E09F6E6" w14:textId="77777777" w:rsidTr="00D46FBC">
        <w:trPr>
          <w:trHeight w:val="710"/>
        </w:trPr>
        <w:tc>
          <w:tcPr>
            <w:tcW w:w="2846" w:type="dxa"/>
            <w:vAlign w:val="center"/>
          </w:tcPr>
          <w:p w14:paraId="175107E4" w14:textId="2B76967F" w:rsidR="00E95BF1" w:rsidRPr="00D46FBC" w:rsidRDefault="00E95BF1" w:rsidP="00E95BF1">
            <w:pPr>
              <w:autoSpaceDE w:val="0"/>
              <w:autoSpaceDN w:val="0"/>
              <w:jc w:val="center"/>
              <w:rPr>
                <w:rFonts w:ascii="Cambria Math" w:hAnsi="Cambria Math" w:cs="Arial"/>
                <w:iCs/>
              </w:rPr>
            </w:pPr>
            <w:r w:rsidRPr="00D46FBC">
              <w:rPr>
                <w:rFonts w:ascii="Cambria Math" w:hAnsi="Cambria Math" w:cs="Arial"/>
                <w:iCs/>
              </w:rPr>
              <w:t>FIB-4</w:t>
            </w:r>
            <w:r>
              <w:rPr>
                <w:rFonts w:ascii="Cambria Math" w:hAnsi="Cambria Math" w:cs="Arial"/>
                <w:iCs/>
              </w:rPr>
              <w:t xml:space="preserve"> </w:t>
            </w:r>
            <w:r>
              <w:rPr>
                <w:rFonts w:ascii="Cambria Math" w:hAnsi="Cambria Math" w:cs="Arial"/>
                <w:iCs/>
              </w:rPr>
              <w:fldChar w:fldCharType="begin"/>
            </w:r>
            <w:r>
              <w:rPr>
                <w:rFonts w:ascii="Cambria Math" w:hAnsi="Cambria Math" w:cs="Arial"/>
                <w:iCs/>
              </w:rPr>
              <w:instrText xml:space="preserve"> ADDIN ZOTERO_ITEM CSL_CITATION {"citationID":"EAefKT8D","properties":{"formattedCitation":"(3)","plainCitation":"(3)","noteIndex":0},"citationItems":[{"id":345,"uris":["http://zotero.org/users/9313241/items/GD6PUU2E"],"itemData":{"id":345,"type":"article-journal","abstract":"Liver biopsy remains the gold standard in the assessment of severity of liver disease. Noninvasive tests have gained popularity to predict histology in view of the associated risks of biopsy. However, many models include tests not readily available, and there are limited data from patients with HIV/hepatitis C virus (HCV) coinfection. We aimed to develop a model using routine tests to predict liver fibrosis in patients with HIV/HCV coinfection. A retrospective analysis of liver histology was performed in 832 patients. Liver fibrosis was assessed via Ishak score; patients were categorized as 0-1, 2-3, or 4-6 and were randomly assigned to training (n = 555) or validation (n = 277) sets. Multivariate logistic regression analysis revealed that platelet count (PLT), age, AST, and INR were significantly associated with fibrosis. Additional analysis revealed PLT, age, AST, and ALT as an alternative model. Based on this, a simple index (FIB-4) was developed: age ([yr] x AST [U/L]) / ((PLT [10(9)/L]) x (ALT [U/L])(1/2)). The AUROC of the index was 0.765 for differentiation between Ishak stage 0-3 and 4-6. At a cutoff of &lt;1.45 in the validation set, the negative predictive value to exclude advanced fibrosis (stage 4-6) was 90% with a sensitivity of 70%. A cutoff of &gt;3.25 had a positive predictive value of 65% and a specificity of 97%. Using these cutoffs, 87% of the 198 patients with FIB-4 values outside 1.45-3.25 would be correctly classified, and liver biopsy could be avoided in 71% of the validation group. In conclusion, noninvasive tests can accurately predict hepatic fibrosis and may reduce the need for liver biopsy in the majority of HIV/HCV-coinfected patients.","container-title":"Hepatology (Baltimore, Md.)","DOI":"10.1002/hep.21178","ISSN":"0270-9139","issue":"6","journalAbbreviation":"Hepatology","language":"eng","note":"PMID: 16729309","page":"1317-1325","source":"PubMed","title":"Development of a simple noninvasive index to predict significant fibrosis in patients with HIV/HCV coinfection","volume":"43","author":[{"family":"Sterling","given":"Richard K."},{"family":"Lissen","given":"Eduardo"},{"family":"Clumeck","given":"Nathan"},{"family":"Sola","given":"Ricard"},{"family":"Correa","given":"Mendes Cassia"},{"family":"Montaner","given":"Julio"},{"family":"S Sulkowski","given":"Mark"},{"family":"Torriani","given":"Francesca J."},{"family":"Dieterich","given":"Doug T."},{"family":"Thomas","given":"David L."},{"family":"Messinger","given":"Diethelm"},{"family":"Nelson","given":"Mark"},{"literal":"APRICOT Clinical Investigators"}],"issued":{"date-parts":[["2006",6]]}}}],"schema":"https://github.com/citation-style-language/schema/raw/master/csl-citation.json"} </w:instrText>
            </w:r>
            <w:r>
              <w:rPr>
                <w:rFonts w:ascii="Cambria Math" w:hAnsi="Cambria Math" w:cs="Arial"/>
                <w:iCs/>
              </w:rPr>
              <w:fldChar w:fldCharType="separate"/>
            </w:r>
            <w:r w:rsidRPr="00E95BF1">
              <w:rPr>
                <w:rFonts w:ascii="Cambria Math" w:hAnsi="Cambria Math"/>
              </w:rPr>
              <w:t>(3)</w:t>
            </w:r>
            <w:r>
              <w:rPr>
                <w:rFonts w:ascii="Cambria Math" w:hAnsi="Cambria Math" w:cs="Arial"/>
                <w:iCs/>
              </w:rPr>
              <w:fldChar w:fldCharType="end"/>
            </w:r>
          </w:p>
        </w:tc>
        <w:tc>
          <w:tcPr>
            <w:tcW w:w="7497" w:type="dxa"/>
            <w:vAlign w:val="center"/>
          </w:tcPr>
          <w:p w14:paraId="1AA8852E" w14:textId="61D10636" w:rsidR="00E95BF1" w:rsidRPr="00CC55BE" w:rsidRDefault="00000000" w:rsidP="00E95BF1">
            <w:pPr>
              <w:autoSpaceDE w:val="0"/>
              <w:autoSpaceDN w:val="0"/>
              <w:jc w:val="center"/>
              <w:rPr>
                <w:rFonts w:ascii="Arial" w:hAnsi="Arial" w:cs="Arial"/>
                <w:iCs/>
              </w:rPr>
            </w:pPr>
            <m:oMathPara>
              <m:oMathParaPr>
                <m:jc m:val="center"/>
              </m:oMathParaPr>
              <m:oMath>
                <m:f>
                  <m:fPr>
                    <m:ctrlPr>
                      <w:rPr>
                        <w:rFonts w:ascii="Cambria Math" w:hAnsi="Cambria Math" w:cs="Arial"/>
                        <w:iCs/>
                      </w:rPr>
                    </m:ctrlPr>
                  </m:fPr>
                  <m:num>
                    <m:r>
                      <m:rPr>
                        <m:sty m:val="p"/>
                      </m:rPr>
                      <w:rPr>
                        <w:rFonts w:ascii="Cambria Math" w:hAnsi="Cambria Math" w:cs="Arial"/>
                      </w:rPr>
                      <m:t>Age×AST</m:t>
                    </m:r>
                  </m:num>
                  <m:den>
                    <m:r>
                      <m:rPr>
                        <m:sty m:val="p"/>
                      </m:rPr>
                      <w:rPr>
                        <w:rFonts w:ascii="Cambria Math" w:hAnsi="Cambria Math" w:cs="Arial"/>
                      </w:rPr>
                      <m:t xml:space="preserve">Platelet Count × </m:t>
                    </m:r>
                    <m:rad>
                      <m:radPr>
                        <m:degHide m:val="1"/>
                        <m:ctrlPr>
                          <w:rPr>
                            <w:rFonts w:ascii="Cambria Math" w:hAnsi="Cambria Math" w:cs="Arial"/>
                            <w:iCs/>
                          </w:rPr>
                        </m:ctrlPr>
                      </m:radPr>
                      <m:deg/>
                      <m:e>
                        <m:r>
                          <m:rPr>
                            <m:sty m:val="p"/>
                          </m:rPr>
                          <w:rPr>
                            <w:rFonts w:ascii="Cambria Math" w:hAnsi="Cambria Math" w:cs="Arial"/>
                          </w:rPr>
                          <m:t xml:space="preserve">ALT </m:t>
                        </m:r>
                      </m:e>
                    </m:rad>
                  </m:den>
                </m:f>
              </m:oMath>
            </m:oMathPara>
          </w:p>
        </w:tc>
      </w:tr>
      <w:tr w:rsidR="00E95BF1" w:rsidRPr="000E2A2C" w14:paraId="68A99EA4" w14:textId="77777777" w:rsidTr="00D46FBC">
        <w:trPr>
          <w:trHeight w:val="710"/>
        </w:trPr>
        <w:tc>
          <w:tcPr>
            <w:tcW w:w="2846" w:type="dxa"/>
            <w:vAlign w:val="center"/>
          </w:tcPr>
          <w:p w14:paraId="6F51B071" w14:textId="4467BEAA" w:rsidR="00E95BF1" w:rsidRPr="00D46FBC" w:rsidRDefault="00E95BF1" w:rsidP="00E95BF1">
            <w:pPr>
              <w:autoSpaceDE w:val="0"/>
              <w:autoSpaceDN w:val="0"/>
              <w:jc w:val="center"/>
              <w:rPr>
                <w:rFonts w:ascii="Cambria Math" w:hAnsi="Cambria Math" w:cs="Arial"/>
                <w:iCs/>
              </w:rPr>
            </w:pPr>
            <w:r w:rsidRPr="00D46FBC">
              <w:rPr>
                <w:rFonts w:ascii="Cambria Math" w:hAnsi="Cambria Math" w:cs="Arial"/>
                <w:iCs/>
              </w:rPr>
              <w:t>mFIB-4</w:t>
            </w:r>
            <w:r>
              <w:rPr>
                <w:rFonts w:ascii="Cambria Math" w:hAnsi="Cambria Math" w:cs="Arial"/>
                <w:iCs/>
              </w:rPr>
              <w:t xml:space="preserve"> </w:t>
            </w:r>
            <w:r>
              <w:rPr>
                <w:rFonts w:ascii="Cambria Math" w:hAnsi="Cambria Math" w:cs="Arial"/>
                <w:iCs/>
              </w:rPr>
              <w:fldChar w:fldCharType="begin"/>
            </w:r>
            <w:r>
              <w:rPr>
                <w:rFonts w:ascii="Cambria Math" w:hAnsi="Cambria Math" w:cs="Arial"/>
                <w:iCs/>
              </w:rPr>
              <w:instrText xml:space="preserve"> ADDIN ZOTERO_ITEM CSL_CITATION {"citationID":"Afib8cN0","properties":{"formattedCitation":"(4)","plainCitation":"(4)","noteIndex":0},"citationItems":[{"id":339,"uris":["http://zotero.org/users/9313241/items/C7VH3CQC"],"itemData":{"id":339,"type":"article-journal","abstract":"We developed an optimal noninvasive index comprising routine laboratory parameters for predicting cirrhosis in chronic hepatitis B (CHB) and chronic hepatitis C (CHC) patients. This study included 992 CHB patients and 1,284 CHC patients who received liver biopsy. We developed the new index, named modified Fibrosis-4 (mFIB-4) according to four independent variables of the model: age, aspartate aminotransferase (AST), alanine aminotransferase (ALT), and platelet count. The formula of the mFIB-4 index is 10 × Age(years) × AST(U/L)/Platelet count(109/L) × AST(U/L). For predicting cirrhosis, the bootstrap areas under the receiver operating characteristic curve for platelet count, AST/ALT ratio (AAR), AAR/platelet ratio index (AARPRI), AST/platelet ratio index (APRI), FIB-4, Pohl score, age-platelet (AP) index, Lok index, fibrosis quotient (FibroQ), and mFIB-4 were 0.7680, 0.7400, 0.8070, 0.6090, 0.7690, 0.6990, 0.7850, 0.7960, 0.8110, and 0.8070 in CHB patients, and 0.8170, 0.7210, 0.8400, 0.7310, 0.8310, 0.6730, 0.8220, 0.8440, 0.8570, and 0.8480 in CHC patients, respectively. FibroQ and mFIB-4 exhibited the highest diagnostic performance levels for liver cirrhosis in CHB and CHC despite the inclusion of the international normalised ratio in the formulation of FibroQ. Thus, mFIB-4 is a simple, inexpensive, and readily available method for assessing the liver fibrosis stage of Asian patients with CHB or CHC.","container-title":"Scientific Reports","DOI":"10.1038/s41598-017-03589-w","ISSN":"2045-2322","issue":"1","journalAbbreviation":"Sci Rep","language":"eng","note":"PMID: 28607450\nPMCID: PMC5468237","page":"3259","source":"PubMed","title":"New noninvasive index for predicting liver fibrosis in Asian patients with chronic viral hepatitis","volume":"7","author":[{"family":"Wang","given":"Hung-Wei"},{"family":"Peng","given":"Cheng-Yuan"},{"family":"Lai","given":"Hsueh-Chou"},{"family":"Su","given":"Wen-Pang"},{"family":"Lin","given":"Chia-Hsin"},{"family":"Chuang","given":"Po-Heng"},{"family":"Chen","given":"Sheng-Hung"},{"family":"Chen","given":"Ching-Hsiang"},{"family":"Hsu","given":"Wei-Fan"},{"family":"Huang","given":"Guan-Tarn"}],"issued":{"date-parts":[["2017",6,12]]}}}],"schema":"https://github.com/citation-style-language/schema/raw/master/csl-citation.json"} </w:instrText>
            </w:r>
            <w:r>
              <w:rPr>
                <w:rFonts w:ascii="Cambria Math" w:hAnsi="Cambria Math" w:cs="Arial"/>
                <w:iCs/>
              </w:rPr>
              <w:fldChar w:fldCharType="separate"/>
            </w:r>
            <w:r w:rsidRPr="00E95BF1">
              <w:rPr>
                <w:rFonts w:ascii="Cambria Math" w:hAnsi="Cambria Math"/>
              </w:rPr>
              <w:t>(4)</w:t>
            </w:r>
            <w:r>
              <w:rPr>
                <w:rFonts w:ascii="Cambria Math" w:hAnsi="Cambria Math" w:cs="Arial"/>
                <w:iCs/>
              </w:rPr>
              <w:fldChar w:fldCharType="end"/>
            </w:r>
          </w:p>
        </w:tc>
        <w:tc>
          <w:tcPr>
            <w:tcW w:w="7497" w:type="dxa"/>
            <w:vAlign w:val="center"/>
          </w:tcPr>
          <w:p w14:paraId="2BEAC58E" w14:textId="296436A3" w:rsidR="00E95BF1" w:rsidRPr="000E2A2C" w:rsidRDefault="00000000" w:rsidP="00E95BF1">
            <w:pPr>
              <w:autoSpaceDE w:val="0"/>
              <w:autoSpaceDN w:val="0"/>
              <w:jc w:val="center"/>
              <w:rPr>
                <w:rFonts w:ascii="Cambria Math" w:hAnsi="Cambria Math" w:cs="Arial"/>
              </w:rPr>
            </w:pPr>
            <m:oMathPara>
              <m:oMath>
                <m:f>
                  <m:fPr>
                    <m:ctrlPr>
                      <w:rPr>
                        <w:rFonts w:ascii="Cambria Math" w:hAnsi="Cambria Math" w:cs="Arial"/>
                      </w:rPr>
                    </m:ctrlPr>
                  </m:fPr>
                  <m:num>
                    <m:r>
                      <m:rPr>
                        <m:sty m:val="p"/>
                      </m:rPr>
                      <w:rPr>
                        <w:rFonts w:ascii="Cambria Math" w:hAnsi="Cambria Math" w:cs="Arial"/>
                      </w:rPr>
                      <m:t>10 ×Age×AST</m:t>
                    </m:r>
                  </m:num>
                  <m:den>
                    <m:r>
                      <m:rPr>
                        <m:sty m:val="p"/>
                      </m:rPr>
                      <w:rPr>
                        <w:rFonts w:ascii="Cambria Math" w:hAnsi="Cambria Math" w:cs="Arial"/>
                      </w:rPr>
                      <m:t>Platelet Count × ALT</m:t>
                    </m:r>
                  </m:den>
                </m:f>
              </m:oMath>
            </m:oMathPara>
          </w:p>
        </w:tc>
      </w:tr>
      <w:tr w:rsidR="00E95BF1" w:rsidRPr="00984917" w14:paraId="2E2B4F3C" w14:textId="77777777" w:rsidTr="00D46FBC">
        <w:trPr>
          <w:trHeight w:val="710"/>
        </w:trPr>
        <w:tc>
          <w:tcPr>
            <w:tcW w:w="2846" w:type="dxa"/>
            <w:vAlign w:val="center"/>
          </w:tcPr>
          <w:p w14:paraId="3F78DE49" w14:textId="0F5A4791" w:rsidR="00E95BF1" w:rsidRPr="00D46FBC" w:rsidRDefault="00E95BF1" w:rsidP="00E95BF1">
            <w:pPr>
              <w:autoSpaceDE w:val="0"/>
              <w:autoSpaceDN w:val="0"/>
              <w:jc w:val="center"/>
              <w:rPr>
                <w:rFonts w:ascii="Cambria Math" w:hAnsi="Cambria Math" w:cs="Arial"/>
                <w:iCs/>
              </w:rPr>
            </w:pPr>
            <w:r w:rsidRPr="00D46FBC">
              <w:rPr>
                <w:rFonts w:ascii="Cambria Math" w:hAnsi="Cambria Math" w:cs="Arial"/>
                <w:iCs/>
              </w:rPr>
              <w:t>FORNS</w:t>
            </w:r>
            <w:r>
              <w:rPr>
                <w:rFonts w:ascii="Cambria Math" w:hAnsi="Cambria Math" w:cs="Arial"/>
                <w:iCs/>
              </w:rPr>
              <w:t xml:space="preserve"> </w:t>
            </w:r>
            <w:r>
              <w:rPr>
                <w:rFonts w:ascii="Cambria Math" w:hAnsi="Cambria Math" w:cs="Arial"/>
                <w:iCs/>
              </w:rPr>
              <w:fldChar w:fldCharType="begin"/>
            </w:r>
            <w:r>
              <w:rPr>
                <w:rFonts w:ascii="Cambria Math" w:hAnsi="Cambria Math" w:cs="Arial"/>
                <w:iCs/>
              </w:rPr>
              <w:instrText xml:space="preserve"> ADDIN ZOTERO_ITEM CSL_CITATION {"citationID":"dvBkKfRz","properties":{"formattedCitation":"(5)","plainCitation":"(5)","noteIndex":0},"citationItems":[{"id":1298,"uris":["http://zotero.org/users/9313241/items/FCEBWARW"],"itemData":{"id":1298,"type":"article-journal","abstract":"Information on the stage of liver fibrosis is essential in managing chronic hepatitis C (CHC) patients. However, most models for predicting liver fibrosis are complicated and separate formulas are needed to predict significant fibrosis and cirrhosis. The aim of our study was to construct one simple model consisting of routine laboratory data to predict both significant fibrosis and cirrhosis among patients with CHC. Consecutive treatment-naive CHC patients who underwent liver biopsy over a 25-month period were divided into 2 sequential cohorts: training set (n = 192) and validation set (n = 78). The best model for predicting both significant fibrosis (Ishak score &gt; or = 3) and cirrhosis in the training set included platelets, aspartate aminotransferase (AST), and alkaline phosphatase with an area under ROC curves (AUC) of 0.82 and 0.92, respectively. A novel index, AST to platelet ratio index (APRI), was developed to amplify the opposing effects of liver fibrosis on AST and platelet count. The AUC of APRI for predicting significant fibrosis and cirrhosis were 0.80 and 0.89, respectively, in the training set. Using optimized cut-off values, significant fibrosis could be predicted accurately in 51% and cirrhosis in 81% of patients. The AUC of APRI for predicting significant fibrosis and cirrhosis in the validation set were 0.88 and 0.94, respectively. In conclusion, our study showed that a simple index using readily available laboratory results can identify CHC patients with significant fibrosis and cirrhosis with a high degree of accuracy. Application of this index may decrease the need for staging liver biopsy specimens among CHC patients.","container-title":"Hepatology (Baltimore, Md.)","DOI":"10.1053/jhep.2003.50346","ISSN":"0270-9139","issue":"2","journalAbbreviation":"Hepatology","language":"eng","note":"PMID: 12883497","page":"518-526","source":"PubMed","title":"A simple noninvasive index can predict both significant fibrosis and cirrhosis in patients with chronic hepatitis C","volume":"38","author":[{"family":"Wai","given":"Chun-Tao"},{"family":"Greenson","given":"Joel K."},{"family":"Fontana","given":"Robert J."},{"family":"Kalbfleisch","given":"John D."},{"family":"Marrero","given":"Jorge A."},{"family":"Conjeevaram","given":"Hari S."},{"family":"Lok","given":"Anna S.-F."}],"issued":{"date-parts":[["2003",8]]}}}],"schema":"https://github.com/citation-style-language/schema/raw/master/csl-citation.json"} </w:instrText>
            </w:r>
            <w:r>
              <w:rPr>
                <w:rFonts w:ascii="Cambria Math" w:hAnsi="Cambria Math" w:cs="Arial"/>
                <w:iCs/>
              </w:rPr>
              <w:fldChar w:fldCharType="separate"/>
            </w:r>
            <w:r w:rsidRPr="00E95BF1">
              <w:rPr>
                <w:rFonts w:ascii="Cambria Math" w:hAnsi="Cambria Math"/>
              </w:rPr>
              <w:t>(5)</w:t>
            </w:r>
            <w:r>
              <w:rPr>
                <w:rFonts w:ascii="Cambria Math" w:hAnsi="Cambria Math" w:cs="Arial"/>
                <w:iCs/>
              </w:rPr>
              <w:fldChar w:fldCharType="end"/>
            </w:r>
          </w:p>
        </w:tc>
        <w:tc>
          <w:tcPr>
            <w:tcW w:w="7497" w:type="dxa"/>
            <w:vAlign w:val="center"/>
          </w:tcPr>
          <w:p w14:paraId="1AF46DF7" w14:textId="40CD1A5F" w:rsidR="00E95BF1" w:rsidRPr="000E2A2C" w:rsidRDefault="00E95BF1" w:rsidP="00E95BF1">
            <w:pPr>
              <w:spacing w:line="360" w:lineRule="auto"/>
              <w:jc w:val="center"/>
              <w:rPr>
                <w:rFonts w:ascii="Cambria Math" w:hAnsi="Cambria Math" w:cs="Arial"/>
              </w:rPr>
            </w:pPr>
            <m:oMath>
              <m:r>
                <m:rPr>
                  <m:sty m:val="p"/>
                </m:rPr>
                <w:rPr>
                  <w:rFonts w:ascii="Cambria Math" w:hAnsi="Cambria Math" w:cs="Arial"/>
                </w:rPr>
                <m:t>7.811 - 3.131 × </m:t>
              </m:r>
              <m:r>
                <w:rPr>
                  <w:rFonts w:ascii="Cambria Math" w:hAnsi="Cambria Math" w:cs="Arial"/>
                </w:rPr>
                <m:t>ln</m:t>
              </m:r>
              <m:d>
                <m:dPr>
                  <m:ctrlPr>
                    <w:rPr>
                      <w:rFonts w:ascii="Cambria Math" w:hAnsi="Cambria Math" w:cs="Arial"/>
                    </w:rPr>
                  </m:ctrlPr>
                </m:dPr>
                <m:e>
                  <m:r>
                    <w:rPr>
                      <w:rFonts w:ascii="Cambria Math" w:hAnsi="Cambria Math" w:cs="Arial"/>
                    </w:rPr>
                    <m:t>platelet</m:t>
                  </m:r>
                  <m:r>
                    <m:rPr>
                      <m:sty m:val="p"/>
                    </m:rPr>
                    <w:rPr>
                      <w:rFonts w:ascii="Cambria Math" w:hAnsi="Cambria Math" w:cs="Arial"/>
                    </w:rPr>
                    <m:t xml:space="preserve"> </m:t>
                  </m:r>
                  <m:r>
                    <w:rPr>
                      <w:rFonts w:ascii="Cambria Math" w:hAnsi="Cambria Math" w:cs="Arial"/>
                    </w:rPr>
                    <m:t>count</m:t>
                  </m:r>
                </m:e>
              </m:d>
              <m:r>
                <m:rPr>
                  <m:sty m:val="p"/>
                </m:rPr>
                <w:rPr>
                  <w:rFonts w:ascii="Cambria Math" w:hAnsi="Cambria Math" w:cs="Arial"/>
                </w:rPr>
                <m:t xml:space="preserve"> + 0.781 </m:t>
              </m:r>
              <m:r>
                <w:rPr>
                  <w:rFonts w:ascii="Cambria Math" w:hAnsi="Cambria Math" w:cs="Arial"/>
                </w:rPr>
                <m:t>ln</m:t>
              </m:r>
              <m:d>
                <m:dPr>
                  <m:ctrlPr>
                    <w:rPr>
                      <w:rFonts w:ascii="Cambria Math" w:hAnsi="Cambria Math" w:cs="Arial"/>
                    </w:rPr>
                  </m:ctrlPr>
                </m:dPr>
                <m:e>
                  <m:r>
                    <w:rPr>
                      <w:rFonts w:ascii="Cambria Math" w:hAnsi="Cambria Math" w:cs="Arial"/>
                    </w:rPr>
                    <m:t>GGT</m:t>
                  </m:r>
                </m:e>
              </m:d>
              <m:r>
                <m:rPr>
                  <m:sty m:val="p"/>
                </m:rPr>
                <w:rPr>
                  <w:rFonts w:ascii="Cambria Math" w:hAnsi="Cambria Math" w:cs="Arial"/>
                </w:rPr>
                <m:t xml:space="preserve"> +3.467 × </m:t>
              </m:r>
              <m:r>
                <w:rPr>
                  <w:rFonts w:ascii="Cambria Math" w:hAnsi="Cambria Math" w:cs="Arial"/>
                </w:rPr>
                <m:t>ln</m:t>
              </m:r>
              <m:r>
                <m:rPr>
                  <m:sty m:val="p"/>
                </m:rPr>
                <w:rPr>
                  <w:rFonts w:ascii="Cambria Math" w:hAnsi="Cambria Math" w:cs="Arial"/>
                </w:rPr>
                <m:t>(</m:t>
              </m:r>
              <m:r>
                <w:rPr>
                  <w:rFonts w:ascii="Cambria Math" w:hAnsi="Cambria Math" w:cs="Arial"/>
                </w:rPr>
                <m:t>age</m:t>
              </m:r>
              <m:r>
                <m:rPr>
                  <m:sty m:val="p"/>
                </m:rPr>
                <w:rPr>
                  <w:rFonts w:ascii="Cambria Math" w:hAnsi="Cambria Math" w:cs="Arial"/>
                </w:rPr>
                <m:t>) - 0.014  (</m:t>
              </m:r>
              <m:r>
                <w:rPr>
                  <w:rFonts w:ascii="Cambria Math" w:hAnsi="Cambria Math" w:cs="Arial"/>
                </w:rPr>
                <m:t>total</m:t>
              </m:r>
              <m:r>
                <m:rPr>
                  <m:sty m:val="p"/>
                </m:rPr>
                <w:rPr>
                  <w:rFonts w:ascii="Cambria Math" w:hAnsi="Cambria Math" w:cs="Arial"/>
                </w:rPr>
                <m:t xml:space="preserve"> </m:t>
              </m:r>
              <m:r>
                <w:rPr>
                  <w:rFonts w:ascii="Cambria Math" w:hAnsi="Cambria Math" w:cs="Arial"/>
                </w:rPr>
                <m:t>cholesterol</m:t>
              </m:r>
              <m:r>
                <m:rPr>
                  <m:sty m:val="p"/>
                </m:rPr>
                <w:rPr>
                  <w:rFonts w:ascii="Cambria Math" w:hAnsi="Cambria Math" w:cs="Arial"/>
                </w:rPr>
                <m:t>)</m:t>
              </m:r>
            </m:oMath>
            <w:r w:rsidRPr="000E2A2C">
              <w:rPr>
                <w:rFonts w:ascii="Cambria Math" w:hAnsi="Cambria Math" w:cs="Arial"/>
              </w:rPr>
              <w:t xml:space="preserve"> </w:t>
            </w:r>
            <m:oMath>
              <m:r>
                <m:rPr>
                  <m:sty m:val="p"/>
                </m:rPr>
                <w:rPr>
                  <w:rFonts w:ascii="Cambria Math" w:hAnsi="Cambria Math" w:cs="Arial"/>
                </w:rPr>
                <m:t> </m:t>
              </m:r>
            </m:oMath>
          </w:p>
        </w:tc>
      </w:tr>
      <w:tr w:rsidR="00E95BF1" w:rsidRPr="006E52AF" w14:paraId="3A072A33" w14:textId="77777777" w:rsidTr="00D46FBC">
        <w:trPr>
          <w:trHeight w:val="710"/>
        </w:trPr>
        <w:tc>
          <w:tcPr>
            <w:tcW w:w="2846" w:type="dxa"/>
            <w:vAlign w:val="center"/>
          </w:tcPr>
          <w:p w14:paraId="4E37F369" w14:textId="2BBB1B0D" w:rsidR="00E95BF1" w:rsidRPr="00D46FBC" w:rsidRDefault="00E95BF1" w:rsidP="00E95BF1">
            <w:pPr>
              <w:autoSpaceDE w:val="0"/>
              <w:autoSpaceDN w:val="0"/>
              <w:jc w:val="center"/>
              <w:rPr>
                <w:rFonts w:ascii="Cambria Math" w:hAnsi="Cambria Math" w:cs="Arial"/>
                <w:iCs/>
              </w:rPr>
            </w:pPr>
            <w:r w:rsidRPr="00D46FBC">
              <w:rPr>
                <w:rFonts w:ascii="Cambria Math" w:hAnsi="Cambria Math" w:cs="Arial"/>
                <w:iCs/>
              </w:rPr>
              <w:t>APRI</w:t>
            </w:r>
            <w:r>
              <w:rPr>
                <w:rFonts w:ascii="Cambria Math" w:hAnsi="Cambria Math" w:cs="Arial"/>
                <w:iCs/>
              </w:rPr>
              <w:t xml:space="preserve"> </w:t>
            </w:r>
            <w:r>
              <w:rPr>
                <w:rFonts w:ascii="Cambria Math" w:hAnsi="Cambria Math" w:cs="Arial"/>
                <w:iCs/>
              </w:rPr>
              <w:fldChar w:fldCharType="begin"/>
            </w:r>
            <w:r>
              <w:rPr>
                <w:rFonts w:ascii="Cambria Math" w:hAnsi="Cambria Math" w:cs="Arial"/>
                <w:iCs/>
              </w:rPr>
              <w:instrText xml:space="preserve"> ADDIN ZOTERO_ITEM CSL_CITATION {"citationID":"GenuSmvT","properties":{"formattedCitation":"(6)","plainCitation":"(6)","noteIndex":0},"citationItems":[{"id":520,"uris":["http://zotero.org/users/9313241/items/DXKQVKU8"],"itemData":{"id":520,"type":"article-journal","abstract":"The aspartate aminotransferase-to-platelet ratio index (APRI), a tool with limited expense and widespread availability, is a promising noninvasive alternative to liver biopsy for detecting hepatic fibrosis. The objective of this study was to update the 2007 meta-analysis to systematically assess the accuracy of APRI in predicting significant fibrosis, severe fibrosis, and cirrhosis stage in hepatitis C virus (HCV) monoinfected and HCV / human immunodeficiency virus (HIV) coinfected individuals. Studies comparing APRI versus biopsy in HCV patients were identified via a thorough literature search. Areas under summary receiver operating characteristic curves (AUROC), sensitivity, specificity, positive predictive value (PPV), and negative predictive value (NPV) were used to examine the APRI accuracy for the diagnosis of significant fibrosis, severe fibrosis, and cirrhosis. Heterogeneity was explored using meta-regression. Twenty-one additional studies were eligible for the update and, in total, 40 studies were included in this review (n = 8,739). The summary AUROC of the APRI for the diagnosis of significant fibrosis, severe fibrosis, and cirrhosis were 0.77, 0.80, and 0.83, respectively. For significant fibrosis, an APRI threshold of 0.7 was 77% sensitive and 72% specific. For severe fibrosis, a threshold of 1.0 was 61% sensitive and 64% specific. For cirrhosis, a threshold of 1.0 was 76% sensitive and 72% specific. Moreover, we found that the APRI was less accurate for the identification of significant fibrosis, severe fibrosis, and cirrhosis in HIV/HCV coinfected patients.\nCONCLUSION: Our large meta-analysis suggests that APRI can identify hepatitis C-related fibrosis with a moderate degree of accuracy. Application of this index may decrease the need for staging liver biopsy specimens among chronic hepatitis C patients.","container-title":"Hepatology (Baltimore, Md.)","DOI":"10.1002/hep.24105","ISSN":"1527-3350","issue":"3","journalAbbreviation":"Hepatology","language":"eng","note":"PMID: 21319189","page":"726-736","source":"PubMed","title":"Performance of the aspartate aminotransferase-to-platelet ratio index for the staging of hepatitis C-related fibrosis: an updated meta-analysis","title-short":"Performance of the aspartate aminotransferase-to-platelet ratio index for the staging of hepatitis C-related fibrosis","volume":"53","author":[{"family":"Lin","given":"Zhong-Hua"},{"family":"Xin","given":"Yong-Ning"},{"family":"Dong","given":"Quan-Jiang"},{"family":"Wang","given":"Qing"},{"family":"Jiang","given":"Xiang-Jun"},{"family":"Zhan","given":"Shu-Hui"},{"family":"Sun","given":"Ying"},{"family":"Xuan","given":"Shi-Ying"}],"issued":{"date-parts":[["2011",3]]}}}],"schema":"https://github.com/citation-style-language/schema/raw/master/csl-citation.json"} </w:instrText>
            </w:r>
            <w:r>
              <w:rPr>
                <w:rFonts w:ascii="Cambria Math" w:hAnsi="Cambria Math" w:cs="Arial"/>
                <w:iCs/>
              </w:rPr>
              <w:fldChar w:fldCharType="separate"/>
            </w:r>
            <w:r w:rsidRPr="00E95BF1">
              <w:rPr>
                <w:rFonts w:ascii="Cambria Math" w:hAnsi="Cambria Math"/>
              </w:rPr>
              <w:t>(6)</w:t>
            </w:r>
            <w:r>
              <w:rPr>
                <w:rFonts w:ascii="Cambria Math" w:hAnsi="Cambria Math" w:cs="Arial"/>
                <w:iCs/>
              </w:rPr>
              <w:fldChar w:fldCharType="end"/>
            </w:r>
          </w:p>
        </w:tc>
        <w:tc>
          <w:tcPr>
            <w:tcW w:w="7497" w:type="dxa"/>
            <w:vAlign w:val="center"/>
          </w:tcPr>
          <w:p w14:paraId="5381EA52" w14:textId="4D6BDC79" w:rsidR="00E95BF1" w:rsidRPr="00CC55BE" w:rsidRDefault="00000000" w:rsidP="00E95BF1">
            <w:pPr>
              <w:autoSpaceDE w:val="0"/>
              <w:autoSpaceDN w:val="0"/>
              <w:jc w:val="center"/>
              <w:rPr>
                <w:rFonts w:ascii="Arial" w:hAnsi="Arial" w:cs="Arial"/>
                <w:iCs/>
              </w:rPr>
            </w:pPr>
            <m:oMathPara>
              <m:oMath>
                <m:f>
                  <m:fPr>
                    <m:ctrlPr>
                      <w:rPr>
                        <w:rFonts w:ascii="Cambria Math" w:hAnsi="Cambria Math" w:cs="Arial"/>
                        <w:iCs/>
                      </w:rPr>
                    </m:ctrlPr>
                  </m:fPr>
                  <m:num>
                    <m:f>
                      <m:fPr>
                        <m:type m:val="lin"/>
                        <m:ctrlPr>
                          <w:rPr>
                            <w:rFonts w:ascii="Cambria Math" w:hAnsi="Cambria Math" w:cs="Arial"/>
                            <w:iCs/>
                          </w:rPr>
                        </m:ctrlPr>
                      </m:fPr>
                      <m:num>
                        <m:r>
                          <m:rPr>
                            <m:sty m:val="p"/>
                          </m:rPr>
                          <w:rPr>
                            <w:rFonts w:ascii="Cambria Math" w:hAnsi="Cambria Math" w:cs="Arial"/>
                          </w:rPr>
                          <m:t>AST</m:t>
                        </m:r>
                      </m:num>
                      <m:den>
                        <m:r>
                          <w:rPr>
                            <w:rFonts w:ascii="Cambria Math" w:hAnsi="Cambria Math" w:cs="Arial"/>
                          </w:rPr>
                          <m:t>ULN of normal value</m:t>
                        </m:r>
                      </m:den>
                    </m:f>
                    <m:r>
                      <w:rPr>
                        <w:rFonts w:ascii="Cambria Math" w:hAnsi="Cambria Math" w:cs="Arial"/>
                      </w:rPr>
                      <m:t xml:space="preserve"> </m:t>
                    </m:r>
                    <m:r>
                      <m:rPr>
                        <m:sty m:val="p"/>
                      </m:rPr>
                      <w:rPr>
                        <w:rFonts w:ascii="Cambria Math" w:hAnsi="Cambria Math" w:cs="Arial"/>
                      </w:rPr>
                      <m:t>×100</m:t>
                    </m:r>
                  </m:num>
                  <m:den>
                    <m:r>
                      <m:rPr>
                        <m:sty m:val="p"/>
                      </m:rPr>
                      <w:rPr>
                        <w:rFonts w:ascii="Cambria Math" w:hAnsi="Cambria Math" w:cs="Arial"/>
                      </w:rPr>
                      <m:t>Platelet Count</m:t>
                    </m:r>
                  </m:den>
                </m:f>
              </m:oMath>
            </m:oMathPara>
          </w:p>
        </w:tc>
      </w:tr>
      <w:tr w:rsidR="00E95BF1" w:rsidRPr="00984917" w14:paraId="186242A7" w14:textId="77777777" w:rsidTr="00D46FBC">
        <w:trPr>
          <w:trHeight w:val="710"/>
        </w:trPr>
        <w:tc>
          <w:tcPr>
            <w:tcW w:w="2846" w:type="dxa"/>
            <w:vAlign w:val="center"/>
          </w:tcPr>
          <w:p w14:paraId="01615A77" w14:textId="514D4564" w:rsidR="00E95BF1" w:rsidRPr="00D46FBC" w:rsidRDefault="00E95BF1" w:rsidP="00E95BF1">
            <w:pPr>
              <w:autoSpaceDE w:val="0"/>
              <w:autoSpaceDN w:val="0"/>
              <w:jc w:val="center"/>
              <w:rPr>
                <w:rFonts w:ascii="Cambria Math" w:hAnsi="Cambria Math" w:cs="Arial"/>
                <w:iCs/>
              </w:rPr>
            </w:pPr>
            <w:r>
              <w:rPr>
                <w:rFonts w:ascii="Cambria Math" w:hAnsi="Cambria Math" w:cs="Arial"/>
                <w:iCs/>
              </w:rPr>
              <w:t>m</w:t>
            </w:r>
            <w:r w:rsidR="006B18D7">
              <w:rPr>
                <w:rFonts w:ascii="Cambria Math" w:hAnsi="Cambria Math" w:cs="Arial"/>
                <w:iCs/>
              </w:rPr>
              <w:t>-</w:t>
            </w:r>
            <w:r>
              <w:rPr>
                <w:rFonts w:ascii="Cambria Math" w:hAnsi="Cambria Math" w:cs="Arial"/>
                <w:iCs/>
              </w:rPr>
              <w:t>APRI</w:t>
            </w:r>
            <w:r w:rsidR="006B18D7">
              <w:rPr>
                <w:rFonts w:ascii="Cambria Math" w:hAnsi="Cambria Math" w:cs="Arial"/>
                <w:iCs/>
              </w:rPr>
              <w:t xml:space="preserve"> (7)</w:t>
            </w:r>
          </w:p>
        </w:tc>
        <w:tc>
          <w:tcPr>
            <w:tcW w:w="7497" w:type="dxa"/>
            <w:vAlign w:val="center"/>
          </w:tcPr>
          <w:p w14:paraId="0ED83B29" w14:textId="0D0724D4" w:rsidR="00E95BF1" w:rsidRDefault="001B5829" w:rsidP="00E95BF1">
            <w:pPr>
              <w:autoSpaceDE w:val="0"/>
              <w:autoSpaceDN w:val="0"/>
              <w:jc w:val="center"/>
              <w:rPr>
                <w:rFonts w:ascii="Cambria Math" w:eastAsia="Calibri" w:hAnsi="Cambria Math" w:cs="Arial"/>
                <w:iCs/>
              </w:rPr>
            </w:pPr>
            <w:r>
              <w:rPr>
                <w:rFonts w:ascii="Cambria Math" w:eastAsia="Calibri" w:hAnsi="Cambria Math" w:cs="Arial"/>
                <w:iCs/>
              </w:rPr>
              <w:t>[Age*(AST/40)/(Albumin*Platelet Count)]*100</w:t>
            </w:r>
          </w:p>
        </w:tc>
      </w:tr>
      <w:tr w:rsidR="00E95BF1" w:rsidRPr="00255F08" w14:paraId="0F41D4F9" w14:textId="77777777" w:rsidTr="00D46FBC">
        <w:trPr>
          <w:trHeight w:val="710"/>
        </w:trPr>
        <w:tc>
          <w:tcPr>
            <w:tcW w:w="2846" w:type="dxa"/>
            <w:vAlign w:val="center"/>
          </w:tcPr>
          <w:p w14:paraId="58FE66F1" w14:textId="75E02824" w:rsidR="00E95BF1" w:rsidRPr="00D46FBC" w:rsidRDefault="00E95BF1" w:rsidP="00E95BF1">
            <w:pPr>
              <w:autoSpaceDE w:val="0"/>
              <w:autoSpaceDN w:val="0"/>
              <w:jc w:val="center"/>
              <w:rPr>
                <w:rFonts w:ascii="Cambria Math" w:hAnsi="Cambria Math" w:cs="Arial"/>
                <w:iCs/>
              </w:rPr>
            </w:pPr>
            <w:r w:rsidRPr="00D46FBC">
              <w:rPr>
                <w:rFonts w:ascii="Cambria Math" w:hAnsi="Cambria Math" w:cs="Arial"/>
                <w:iCs/>
              </w:rPr>
              <w:t>AARPRI</w:t>
            </w:r>
            <w:r>
              <w:rPr>
                <w:rFonts w:ascii="Cambria Math" w:hAnsi="Cambria Math" w:cs="Arial"/>
                <w:iCs/>
              </w:rPr>
              <w:t xml:space="preserve"> </w:t>
            </w:r>
            <w:r>
              <w:rPr>
                <w:rFonts w:ascii="Cambria Math" w:hAnsi="Cambria Math" w:cs="Arial"/>
                <w:iCs/>
              </w:rPr>
              <w:fldChar w:fldCharType="begin"/>
            </w:r>
            <w:r>
              <w:rPr>
                <w:rFonts w:ascii="Cambria Math" w:hAnsi="Cambria Math" w:cs="Arial"/>
                <w:iCs/>
              </w:rPr>
              <w:instrText xml:space="preserve"> ADDIN ZOTERO_ITEM CSL_CITATION {"citationID":"6N0mUXFQ","properties":{"formattedCitation":"(7)","plainCitation":"(7)","noteIndex":0},"citationItems":[{"id":954,"uris":["http://zotero.org/users/9313241/items/HDDPH94N"],"itemData":{"id":954,"type":"article-journal","abstract":"Several noninvasive indices have been proposed for predicting liver cirrhosis (LC), particularly in chronic hepatitis C (CHC). In this study, noninvasive indices for predicting LC and hepatocellular carcinoma (HCC) were compared. A total of 119 chronic hepatitis B (CHB) patients and 240 CHC patients were evaluated in a hospital-based setting using various predictors for pathologic LC such as aspartate aminotransferase/alanine aminotransferase (AST/ALT) ratio (AAR), AAR-to-platelet ratio index (AARPRI), AST-to-platelet ratio index (APRI), age-platelet (AP) index, and platelet counts. In addition, these indices were used to predict LC [based on ultrasound (US)] in a community-based population of 201 patients with endemic hepatitis C virus (HCV). These indices were evaluated for their ability to predict HCC in CHB and CHC patients (n = 200). In CHB patients, the diagnostic performance of all indices was inadequate for predicting LC (areas under receiver operating characteristic curves &lt; 0.7). Thrombocytopenia consistently demonstrated comparable accuracy to AARPRI ≥ 0.7 in CHB and AP index ≥ 7.0 in CHC patients. The best cut-off values for APRI, AARPRI, and AP index in predicting LC in CHC were 1.3, 0.8, and 7.0, respectively. The best cut-off values for APRI, AARPRI, and AP index in predicting LC (based on US) were 1.0, 1.2, and 8.0, respectively, in a HCV endemic community. An AAR &gt; 1.4 might be a useful tool to identify candidates at high risk for HCC. In conclusion, platelet count was both consistent and accurate in predicting LC. An AAR &gt; 1.4 is proposed as a possible surrogate marker for identifying patients at high risk for developing HCC.","container-title":"The Kaohsiung Journal of Medical Sciences","DOI":"10.1016/j.kjms.2012.11.007","ISSN":"2410-8650","issue":"7","journalAbbreviation":"Kaohsiung J Med Sci","language":"eng","note":"PMID: 23768703","page":"385-395","source":"PubMed","title":"Comparisons of noninvasive indices based on daily practice parameters for predicting liver cirrhosis in chronic hepatitis B and hepatitis C patients in hospital and community populations","volume":"29","author":[{"family":"Tseng","given":"Po-Lin"},{"family":"Wang","given":"Jing-Houng"},{"family":"Hung","given":"Chao-Hung"},{"family":"Tung","given":"Hung-Da"},{"family":"Chen","given":"Tsung-Ming"},{"family":"Huang","given":"Wu-Shiung"},{"family":"Liu","given":"Shiann-Long"},{"family":"Hu","given":"Tsung-Hui"},{"family":"Lee","given":"Chuan-Mo"},{"family":"Lu","given":"Sheng-Nan"}],"issued":{"date-parts":[["2013",7]]}}}],"schema":"https://github.com/citation-style-language/schema/raw/master/csl-citation.json"} </w:instrText>
            </w:r>
            <w:r>
              <w:rPr>
                <w:rFonts w:ascii="Cambria Math" w:hAnsi="Cambria Math" w:cs="Arial"/>
                <w:iCs/>
              </w:rPr>
              <w:fldChar w:fldCharType="separate"/>
            </w:r>
            <w:r w:rsidRPr="00E95BF1">
              <w:rPr>
                <w:rFonts w:ascii="Cambria Math" w:hAnsi="Cambria Math"/>
              </w:rPr>
              <w:t>(</w:t>
            </w:r>
            <w:r w:rsidR="006B18D7">
              <w:rPr>
                <w:rFonts w:ascii="Cambria Math" w:hAnsi="Cambria Math"/>
              </w:rPr>
              <w:t>8</w:t>
            </w:r>
            <w:r w:rsidRPr="00E95BF1">
              <w:rPr>
                <w:rFonts w:ascii="Cambria Math" w:hAnsi="Cambria Math"/>
              </w:rPr>
              <w:t>)</w:t>
            </w:r>
            <w:r>
              <w:rPr>
                <w:rFonts w:ascii="Cambria Math" w:hAnsi="Cambria Math" w:cs="Arial"/>
                <w:iCs/>
              </w:rPr>
              <w:fldChar w:fldCharType="end"/>
            </w:r>
          </w:p>
        </w:tc>
        <w:tc>
          <w:tcPr>
            <w:tcW w:w="7497" w:type="dxa"/>
            <w:vAlign w:val="center"/>
          </w:tcPr>
          <w:p w14:paraId="32C01DBE" w14:textId="5597C3F4" w:rsidR="00E95BF1" w:rsidRDefault="00000000" w:rsidP="00E95BF1">
            <w:pPr>
              <w:autoSpaceDE w:val="0"/>
              <w:autoSpaceDN w:val="0"/>
              <w:jc w:val="center"/>
              <w:rPr>
                <w:rFonts w:ascii="Arial" w:eastAsia="Calibri" w:hAnsi="Arial" w:cs="Arial"/>
                <w:iCs/>
              </w:rPr>
            </w:pPr>
            <m:oMathPara>
              <m:oMath>
                <m:f>
                  <m:fPr>
                    <m:ctrlPr>
                      <w:rPr>
                        <w:rFonts w:ascii="Cambria Math" w:hAnsi="Cambria Math" w:cs="Arial"/>
                        <w:iCs/>
                      </w:rPr>
                    </m:ctrlPr>
                  </m:fPr>
                  <m:num>
                    <m:f>
                      <m:fPr>
                        <m:type m:val="lin"/>
                        <m:ctrlPr>
                          <w:rPr>
                            <w:rFonts w:ascii="Cambria Math" w:hAnsi="Cambria Math" w:cs="Arial"/>
                            <w:iCs/>
                          </w:rPr>
                        </m:ctrlPr>
                      </m:fPr>
                      <m:num>
                        <m:r>
                          <m:rPr>
                            <m:sty m:val="p"/>
                          </m:rPr>
                          <w:rPr>
                            <w:rFonts w:ascii="Cambria Math" w:hAnsi="Cambria Math" w:cs="Arial"/>
                          </w:rPr>
                          <m:t>AST</m:t>
                        </m:r>
                      </m:num>
                      <m:den>
                        <m:r>
                          <m:rPr>
                            <m:sty m:val="p"/>
                          </m:rPr>
                          <w:rPr>
                            <w:rFonts w:ascii="Cambria Math" w:hAnsi="Cambria Math" w:cs="Arial"/>
                          </w:rPr>
                          <m:t>ALT</m:t>
                        </m:r>
                      </m:den>
                    </m:f>
                    <m:r>
                      <m:rPr>
                        <m:sty m:val="p"/>
                      </m:rPr>
                      <w:rPr>
                        <w:rFonts w:ascii="Cambria Math" w:hAnsi="Cambria Math" w:cs="Arial"/>
                      </w:rPr>
                      <m:t>× 150</m:t>
                    </m:r>
                  </m:num>
                  <m:den>
                    <m:r>
                      <m:rPr>
                        <m:sty m:val="p"/>
                      </m:rPr>
                      <w:rPr>
                        <w:rFonts w:ascii="Cambria Math" w:hAnsi="Cambria Math" w:cs="Arial"/>
                      </w:rPr>
                      <m:t>Platelet Count</m:t>
                    </m:r>
                  </m:den>
                </m:f>
              </m:oMath>
            </m:oMathPara>
          </w:p>
        </w:tc>
      </w:tr>
      <w:tr w:rsidR="00E95BF1" w:rsidRPr="007D642A" w14:paraId="51872B1A" w14:textId="77777777" w:rsidTr="00D46FBC">
        <w:trPr>
          <w:trHeight w:val="710"/>
        </w:trPr>
        <w:tc>
          <w:tcPr>
            <w:tcW w:w="2846" w:type="dxa"/>
            <w:vAlign w:val="center"/>
          </w:tcPr>
          <w:p w14:paraId="79F55C55" w14:textId="550174BC" w:rsidR="00E95BF1" w:rsidRPr="00D46FBC" w:rsidRDefault="00E95BF1" w:rsidP="00E95BF1">
            <w:pPr>
              <w:autoSpaceDE w:val="0"/>
              <w:autoSpaceDN w:val="0"/>
              <w:jc w:val="center"/>
              <w:rPr>
                <w:rFonts w:ascii="Cambria Math" w:hAnsi="Cambria Math" w:cs="Arial"/>
                <w:iCs/>
              </w:rPr>
            </w:pPr>
            <w:r>
              <w:rPr>
                <w:rFonts w:ascii="Cambria Math" w:hAnsi="Cambria Math" w:cs="Arial"/>
                <w:iCs/>
              </w:rPr>
              <w:t>API</w:t>
            </w:r>
            <w:r w:rsidR="006B1884">
              <w:rPr>
                <w:rFonts w:ascii="Cambria Math" w:hAnsi="Cambria Math" w:cs="Arial"/>
                <w:iCs/>
              </w:rPr>
              <w:t xml:space="preserve"> (9)</w:t>
            </w:r>
          </w:p>
        </w:tc>
        <w:tc>
          <w:tcPr>
            <w:tcW w:w="7497" w:type="dxa"/>
            <w:vAlign w:val="center"/>
          </w:tcPr>
          <w:p w14:paraId="362780B6" w14:textId="6073EBA9" w:rsidR="00A671BC" w:rsidRDefault="00A671BC" w:rsidP="00A671BC">
            <w:pPr>
              <w:autoSpaceDE w:val="0"/>
              <w:autoSpaceDN w:val="0"/>
              <w:jc w:val="center"/>
              <w:rPr>
                <w:rFonts w:ascii="Cambria Math" w:hAnsi="Cambria Math" w:cs="Arial"/>
                <w:iCs/>
              </w:rPr>
            </w:pPr>
            <w:r>
              <w:rPr>
                <w:rFonts w:ascii="Cambria Math" w:hAnsi="Cambria Math" w:cs="Arial"/>
                <w:iCs/>
              </w:rPr>
              <w:t>Sum of</w:t>
            </w:r>
          </w:p>
          <w:p w14:paraId="55CD22DE" w14:textId="28ED6424" w:rsidR="00A671BC" w:rsidRPr="00A671BC" w:rsidRDefault="00A671BC" w:rsidP="00A671BC">
            <w:pPr>
              <w:autoSpaceDE w:val="0"/>
              <w:autoSpaceDN w:val="0"/>
              <w:jc w:val="center"/>
              <w:rPr>
                <w:rFonts w:ascii="Cambria Math" w:hAnsi="Cambria Math" w:cs="Arial"/>
                <w:iCs/>
              </w:rPr>
            </w:pPr>
            <w:r w:rsidRPr="00A671BC">
              <w:rPr>
                <w:rFonts w:ascii="Cambria Math" w:hAnsi="Cambria Math" w:cs="Arial"/>
                <w:iCs/>
              </w:rPr>
              <w:t>Age: &lt; 30 = 0, 30-39 = 1, 40-49 = 2, 50-59 = 3, 60-69 = 4, ≥ 70 = 5</w:t>
            </w:r>
          </w:p>
          <w:p w14:paraId="54E4330C" w14:textId="49695158" w:rsidR="00E95BF1" w:rsidRPr="00D46FBC" w:rsidRDefault="00A671BC" w:rsidP="00A671BC">
            <w:pPr>
              <w:autoSpaceDE w:val="0"/>
              <w:autoSpaceDN w:val="0"/>
              <w:jc w:val="center"/>
              <w:rPr>
                <w:rFonts w:ascii="Cambria Math" w:hAnsi="Cambria Math" w:cs="Arial"/>
                <w:iCs/>
              </w:rPr>
            </w:pPr>
            <w:r w:rsidRPr="00A671BC">
              <w:rPr>
                <w:rFonts w:ascii="Cambria Math" w:hAnsi="Cambria Math" w:cs="Arial"/>
                <w:iCs/>
              </w:rPr>
              <w:t>PLT: ≥ 225 = 0, 200-224 = 1, 175-199 = 2, 150-174 = 3, 125-149 = 4, &lt; 125 = 5</w:t>
            </w:r>
          </w:p>
        </w:tc>
      </w:tr>
      <w:tr w:rsidR="00E95BF1" w:rsidRPr="00984917" w14:paraId="46DBDCF4" w14:textId="77777777" w:rsidTr="00D46FBC">
        <w:trPr>
          <w:trHeight w:val="710"/>
        </w:trPr>
        <w:tc>
          <w:tcPr>
            <w:tcW w:w="2846" w:type="dxa"/>
            <w:vAlign w:val="center"/>
          </w:tcPr>
          <w:p w14:paraId="2D6BD086" w14:textId="23F167CD" w:rsidR="00E95BF1" w:rsidRPr="00D46FBC" w:rsidRDefault="00E95BF1" w:rsidP="00E95BF1">
            <w:pPr>
              <w:autoSpaceDE w:val="0"/>
              <w:autoSpaceDN w:val="0"/>
              <w:jc w:val="center"/>
              <w:rPr>
                <w:rFonts w:ascii="Cambria Math" w:hAnsi="Cambria Math" w:cs="Arial"/>
                <w:iCs/>
              </w:rPr>
            </w:pPr>
            <w:r w:rsidRPr="00D46FBC">
              <w:rPr>
                <w:rFonts w:ascii="Cambria Math" w:hAnsi="Cambria Math" w:cs="Arial"/>
                <w:iCs/>
              </w:rPr>
              <w:t>BARD</w:t>
            </w:r>
            <w:r>
              <w:rPr>
                <w:rFonts w:ascii="Cambria Math" w:hAnsi="Cambria Math" w:cs="Arial"/>
                <w:iCs/>
              </w:rPr>
              <w:t xml:space="preserve"> </w:t>
            </w:r>
            <w:r>
              <w:rPr>
                <w:rFonts w:ascii="Cambria Math" w:hAnsi="Cambria Math" w:cs="Arial"/>
                <w:iCs/>
              </w:rPr>
              <w:fldChar w:fldCharType="begin"/>
            </w:r>
            <w:r>
              <w:rPr>
                <w:rFonts w:ascii="Cambria Math" w:hAnsi="Cambria Math" w:cs="Arial"/>
                <w:iCs/>
              </w:rPr>
              <w:instrText xml:space="preserve"> ADDIN ZOTERO_ITEM CSL_CITATION {"citationID":"VYC3gwqB","properties":{"formattedCitation":"(8)","plainCitation":"(8)","noteIndex":0},"citationItems":[{"id":1459,"uris":["http://zotero.org/users/9313241/items/E4TA2GWK"],"itemData":{"id":1459,"type":"article-journal","container-title":"Gut","DOI":"10.1136/gut.2007.146019","ISSN":"0017-5749","issue":"10","journalAbbreviation":"Gut","language":"en","page":"1441-1447","source":"DOI.org (Crossref)","title":"Development and validation of a simple NAFLD clinical scoring system for identifying patients without advanced disease","volume":"57","author":[{"family":"Harrison","given":"S A"},{"family":"Oliver","given":"D"},{"family":"Arnold","given":"H L"},{"family":"Gogia","given":"S"},{"family":"Neuschwander-Tetri","given":"B A"}],"issued":{"date-parts":[["2008",4,29]]}}}],"schema":"https://github.com/citation-style-language/schema/raw/master/csl-citation.json"} </w:instrText>
            </w:r>
            <w:r>
              <w:rPr>
                <w:rFonts w:ascii="Cambria Math" w:hAnsi="Cambria Math" w:cs="Arial"/>
                <w:iCs/>
              </w:rPr>
              <w:fldChar w:fldCharType="separate"/>
            </w:r>
            <w:r w:rsidRPr="00E95BF1">
              <w:rPr>
                <w:rFonts w:ascii="Cambria Math" w:hAnsi="Cambria Math"/>
              </w:rPr>
              <w:t>(</w:t>
            </w:r>
            <w:r w:rsidR="006B1884">
              <w:rPr>
                <w:rFonts w:ascii="Cambria Math" w:hAnsi="Cambria Math"/>
              </w:rPr>
              <w:t>10</w:t>
            </w:r>
            <w:r w:rsidRPr="00E95BF1">
              <w:rPr>
                <w:rFonts w:ascii="Cambria Math" w:hAnsi="Cambria Math"/>
              </w:rPr>
              <w:t>)</w:t>
            </w:r>
            <w:r>
              <w:rPr>
                <w:rFonts w:ascii="Cambria Math" w:hAnsi="Cambria Math" w:cs="Arial"/>
                <w:iCs/>
              </w:rPr>
              <w:fldChar w:fldCharType="end"/>
            </w:r>
          </w:p>
        </w:tc>
        <w:tc>
          <w:tcPr>
            <w:tcW w:w="7497" w:type="dxa"/>
            <w:vAlign w:val="center"/>
          </w:tcPr>
          <w:p w14:paraId="1C2B5EAD" w14:textId="4E86FF6A" w:rsidR="00E95BF1" w:rsidRPr="00D46FBC" w:rsidRDefault="00E95BF1" w:rsidP="00E95BF1">
            <w:pPr>
              <w:autoSpaceDE w:val="0"/>
              <w:autoSpaceDN w:val="0"/>
              <w:jc w:val="center"/>
              <w:rPr>
                <w:rFonts w:ascii="Cambria Math" w:hAnsi="Cambria Math" w:cs="Arial"/>
                <w:iCs/>
              </w:rPr>
            </w:pPr>
            <w:r w:rsidRPr="00D46FBC">
              <w:rPr>
                <w:rFonts w:ascii="Cambria Math" w:hAnsi="Cambria Math" w:cs="Arial"/>
                <w:iCs/>
              </w:rPr>
              <w:t>BMI ≥ 28: No = 0, Yes = 1; AST/ALT ratio: ≥0.8 No = 0, Yes = 2; and Diabetes: No = 0, Yes = 1</w:t>
            </w:r>
          </w:p>
        </w:tc>
      </w:tr>
      <w:tr w:rsidR="00E95BF1" w:rsidRPr="00984917" w14:paraId="1FCE0EEB" w14:textId="77777777" w:rsidTr="00D46FBC">
        <w:trPr>
          <w:trHeight w:val="710"/>
        </w:trPr>
        <w:tc>
          <w:tcPr>
            <w:tcW w:w="2846" w:type="dxa"/>
            <w:vAlign w:val="center"/>
          </w:tcPr>
          <w:p w14:paraId="046F3899" w14:textId="62EB78E4" w:rsidR="00E95BF1" w:rsidRPr="00D46FBC" w:rsidRDefault="00E95BF1" w:rsidP="00E95BF1">
            <w:pPr>
              <w:autoSpaceDE w:val="0"/>
              <w:autoSpaceDN w:val="0"/>
              <w:jc w:val="center"/>
              <w:rPr>
                <w:rFonts w:ascii="Cambria Math" w:hAnsi="Cambria Math" w:cs="Arial"/>
                <w:iCs/>
              </w:rPr>
            </w:pPr>
            <w:r>
              <w:rPr>
                <w:rFonts w:ascii="Cambria Math" w:hAnsi="Cambria Math" w:cs="Arial"/>
                <w:iCs/>
              </w:rPr>
              <w:t>VAI</w:t>
            </w:r>
            <w:r w:rsidR="006B18D7">
              <w:rPr>
                <w:rFonts w:ascii="Cambria Math" w:hAnsi="Cambria Math" w:cs="Arial"/>
                <w:iCs/>
              </w:rPr>
              <w:t xml:space="preserve"> (</w:t>
            </w:r>
            <w:r w:rsidR="006B1884">
              <w:rPr>
                <w:rFonts w:ascii="Cambria Math" w:hAnsi="Cambria Math" w:cs="Arial"/>
                <w:iCs/>
              </w:rPr>
              <w:t>11</w:t>
            </w:r>
            <w:r w:rsidR="006B18D7">
              <w:rPr>
                <w:rFonts w:ascii="Cambria Math" w:hAnsi="Cambria Math" w:cs="Arial"/>
                <w:iCs/>
              </w:rPr>
              <w:t>)</w:t>
            </w:r>
          </w:p>
        </w:tc>
        <w:tc>
          <w:tcPr>
            <w:tcW w:w="7497" w:type="dxa"/>
            <w:vAlign w:val="center"/>
          </w:tcPr>
          <w:p w14:paraId="39DAF3F7" w14:textId="39C9707C" w:rsidR="00E95BF1" w:rsidRPr="00D46FBC" w:rsidRDefault="001B5829" w:rsidP="00E95BF1">
            <w:pPr>
              <w:autoSpaceDE w:val="0"/>
              <w:autoSpaceDN w:val="0"/>
              <w:jc w:val="center"/>
              <w:rPr>
                <w:rFonts w:ascii="Cambria Math" w:hAnsi="Cambria Math" w:cs="Arial"/>
                <w:iCs/>
              </w:rPr>
            </w:pPr>
            <w:r>
              <w:rPr>
                <w:rFonts w:ascii="Cambria Math" w:hAnsi="Cambria Math" w:cs="Arial"/>
                <w:iCs/>
              </w:rPr>
              <w:t>Waist circumference/[39.68+(1.88*BMI)]*(Triglycerides/1.03)*(1.31/HDL cholesterol)</w:t>
            </w:r>
          </w:p>
        </w:tc>
      </w:tr>
      <w:tr w:rsidR="00E95BF1" w:rsidRPr="00984917" w14:paraId="5D2CEFD6" w14:textId="77777777" w:rsidTr="00D46FBC">
        <w:trPr>
          <w:trHeight w:val="710"/>
        </w:trPr>
        <w:tc>
          <w:tcPr>
            <w:tcW w:w="2846" w:type="dxa"/>
            <w:vAlign w:val="center"/>
          </w:tcPr>
          <w:p w14:paraId="51D12FEB" w14:textId="32FA670E" w:rsidR="00E95BF1" w:rsidRPr="00D46FBC" w:rsidRDefault="00E95BF1" w:rsidP="00E95BF1">
            <w:pPr>
              <w:autoSpaceDE w:val="0"/>
              <w:autoSpaceDN w:val="0"/>
              <w:jc w:val="center"/>
              <w:rPr>
                <w:rFonts w:ascii="Cambria Math" w:hAnsi="Cambria Math" w:cs="Arial"/>
                <w:iCs/>
              </w:rPr>
            </w:pPr>
            <w:r w:rsidRPr="00D46FBC">
              <w:rPr>
                <w:rFonts w:ascii="Cambria Math" w:hAnsi="Cambria Math" w:cs="Arial"/>
                <w:iCs/>
              </w:rPr>
              <w:t>NFS</w:t>
            </w:r>
            <w:r>
              <w:rPr>
                <w:rFonts w:ascii="Cambria Math" w:hAnsi="Cambria Math" w:cs="Arial"/>
                <w:iCs/>
              </w:rPr>
              <w:t xml:space="preserve"> </w:t>
            </w:r>
            <w:r>
              <w:rPr>
                <w:rFonts w:ascii="Cambria Math" w:hAnsi="Cambria Math" w:cs="Arial"/>
                <w:iCs/>
              </w:rPr>
              <w:fldChar w:fldCharType="begin"/>
            </w:r>
            <w:r>
              <w:rPr>
                <w:rFonts w:ascii="Cambria Math" w:hAnsi="Cambria Math" w:cs="Arial"/>
                <w:iCs/>
              </w:rPr>
              <w:instrText xml:space="preserve"> ADDIN ZOTERO_ITEM CSL_CITATION {"citationID":"bLKJR5cE","properties":{"formattedCitation":"(9)","plainCitation":"(9)","noteIndex":0},"citationItems":[{"id":1470,"uris":["http://zotero.org/users/9313241/items/VNVZVPK4"],"itemData":{"id":1470,"type":"article-journal","abstract":"Patients with nonalcoholic fatty liver disease (NAFLD) and advanced liver fibrosis are at the highest risk for progressing to end-stage liver disease. We constructed and validated a scoring system consisting of routinely measured and readily available clinical and laboratory data to separate NAFLD patients with and without advanced fibrosis. A total of 733 patients with NAFLD confirmed by liver biopsy were divided into 2 groups to construct (n = 480) and validate (n = 253) a scoring system. Routine demographic, clinical, and laboratory variables were analyzed by multivariate modeling to predict presence or absence of advanced fibrosis. Age, hyperglycemia, body mass index, platelet count, albumin, and AST/ALT ratio were independent indicators of advanced liver fibrosis. A scoring system with these 6 variables had an area under the receiver operating characteristic curve of 0.88 and 0.82 in the estimation and validation groups, respectively. By applying the low cutoff score (-1.455), advanced fibrosis could be excluded with high accuracy (negative predictive value of 93% and 88% in the estimation and validation groups, respectively). By applying the high cutoff score (0.676), the presence of advanced fibrosis could be diagnosed with high accuracy (positive predictive value of 90% and 82% in the estimation and validation groups, respectively). By applying this model, a liver biopsy would have been avoided in 549 (75%) of the 733 patients, with correct prediction in 496 (90%).\nCONCLUSION: a simple scoring system accurately separates patients with NAFLD with and without advanced fibrosis, rendering liver biopsy for identification of advanced fibrosis unnecessary in a substantial proportion of patients.","container-title":"Hepatology (Baltimore, Md.)","DOI":"10.1002/hep.21496","ISSN":"0270-9139","issue":"4","journalAbbreviation":"Hepatology","language":"eng","note":"PMID: 17393509","page":"846-854","source":"PubMed","title":"The NAFLD fibrosis score: a noninvasive system that identifies liver fibrosis in patients with NAFLD","title-short":"The NAFLD fibrosis score","volume":"45","author":[{"family":"Angulo","given":"Paul"},{"family":"Hui","given":"Jason M."},{"family":"Marchesini","given":"Giulio"},{"family":"Bugianesi","given":"Ellisabetta"},{"family":"George","given":"Jacob"},{"family":"Farrell","given":"Geoffrey C."},{"family":"Enders","given":"Felicity"},{"family":"Saksena","given":"Sushma"},{"family":"Burt","given":"Alastair D."},{"family":"Bida","given":"John P."},{"family":"Lindor","given":"Keith"},{"family":"Sanderson","given":"Schuyler O."},{"family":"Lenzi","given":"Marco"},{"family":"Adams","given":"Leon A."},{"family":"Kench","given":"James"},{"family":"Therneau","given":"Terry M."},{"family":"Day","given":"Christopher P."}],"issued":{"date-parts":[["2007",4]]}}}],"schema":"https://github.com/citation-style-language/schema/raw/master/csl-citation.json"} </w:instrText>
            </w:r>
            <w:r>
              <w:rPr>
                <w:rFonts w:ascii="Cambria Math" w:hAnsi="Cambria Math" w:cs="Arial"/>
                <w:iCs/>
              </w:rPr>
              <w:fldChar w:fldCharType="separate"/>
            </w:r>
            <w:r w:rsidRPr="00E95BF1">
              <w:rPr>
                <w:rFonts w:ascii="Cambria Math" w:hAnsi="Cambria Math"/>
              </w:rPr>
              <w:t>(</w:t>
            </w:r>
            <w:r w:rsidR="006B18D7">
              <w:rPr>
                <w:rFonts w:ascii="Cambria Math" w:hAnsi="Cambria Math"/>
              </w:rPr>
              <w:t>1</w:t>
            </w:r>
            <w:r w:rsidR="006B1884">
              <w:rPr>
                <w:rFonts w:ascii="Cambria Math" w:hAnsi="Cambria Math"/>
              </w:rPr>
              <w:t>2</w:t>
            </w:r>
            <w:r w:rsidRPr="00E95BF1">
              <w:rPr>
                <w:rFonts w:ascii="Cambria Math" w:hAnsi="Cambria Math"/>
              </w:rPr>
              <w:t>)</w:t>
            </w:r>
            <w:r>
              <w:rPr>
                <w:rFonts w:ascii="Cambria Math" w:hAnsi="Cambria Math" w:cs="Arial"/>
                <w:iCs/>
              </w:rPr>
              <w:fldChar w:fldCharType="end"/>
            </w:r>
          </w:p>
        </w:tc>
        <w:tc>
          <w:tcPr>
            <w:tcW w:w="7497" w:type="dxa"/>
            <w:vAlign w:val="center"/>
          </w:tcPr>
          <w:p w14:paraId="61282C00" w14:textId="01C1E5A3" w:rsidR="00E95BF1" w:rsidRPr="00D46FBC" w:rsidRDefault="00E95BF1" w:rsidP="00E95BF1">
            <w:pPr>
              <w:autoSpaceDE w:val="0"/>
              <w:autoSpaceDN w:val="0"/>
              <w:jc w:val="center"/>
              <w:rPr>
                <w:rFonts w:ascii="Cambria Math" w:hAnsi="Cambria Math" w:cs="Arial"/>
                <w:iCs/>
              </w:rPr>
            </w:pPr>
            <w:r w:rsidRPr="00D46FBC">
              <w:rPr>
                <w:rFonts w:ascii="Cambria Math" w:hAnsi="Cambria Math" w:cs="Arial"/>
                <w:iCs/>
              </w:rPr>
              <w:t>-1.675 + (0.037</w:t>
            </w:r>
            <m:oMath>
              <m:r>
                <m:rPr>
                  <m:sty m:val="p"/>
                </m:rPr>
                <w:rPr>
                  <w:rFonts w:ascii="Cambria Math" w:hAnsi="Cambria Math" w:cs="Arial"/>
                </w:rPr>
                <m:t>×</m:t>
              </m:r>
            </m:oMath>
            <w:r w:rsidRPr="00D46FBC">
              <w:rPr>
                <w:rFonts w:ascii="Cambria Math" w:hAnsi="Cambria Math" w:cs="Arial"/>
                <w:iCs/>
              </w:rPr>
              <w:t>age) + (0.094</w:t>
            </w:r>
            <m:oMath>
              <m:r>
                <m:rPr>
                  <m:sty m:val="p"/>
                </m:rPr>
                <w:rPr>
                  <w:rFonts w:ascii="Cambria Math" w:hAnsi="Cambria Math" w:cs="Arial"/>
                </w:rPr>
                <m:t>×</m:t>
              </m:r>
            </m:oMath>
            <w:r w:rsidRPr="00D46FBC">
              <w:rPr>
                <w:rFonts w:ascii="Cambria Math" w:hAnsi="Cambria Math" w:cs="Arial"/>
                <w:iCs/>
              </w:rPr>
              <w:t>BMI) + (1.13</w:t>
            </w:r>
            <m:oMath>
              <m:r>
                <m:rPr>
                  <m:sty m:val="p"/>
                </m:rPr>
                <w:rPr>
                  <w:rFonts w:ascii="Cambria Math" w:hAnsi="Cambria Math" w:cs="Arial"/>
                </w:rPr>
                <m:t>×</m:t>
              </m:r>
            </m:oMath>
            <w:r w:rsidRPr="00D46FBC">
              <w:rPr>
                <w:rFonts w:ascii="Cambria Math" w:hAnsi="Cambria Math" w:cs="Arial"/>
                <w:iCs/>
              </w:rPr>
              <w:t>IFG or diabetes [yes = 1, no = 0]) + (0.99</w:t>
            </w:r>
            <m:oMath>
              <m:r>
                <m:rPr>
                  <m:sty m:val="p"/>
                </m:rPr>
                <w:rPr>
                  <w:rFonts w:ascii="Cambria Math" w:hAnsi="Cambria Math" w:cs="Arial"/>
                </w:rPr>
                <m:t>×</m:t>
              </m:r>
            </m:oMath>
            <w:r w:rsidRPr="00D46FBC">
              <w:rPr>
                <w:rFonts w:ascii="Cambria Math" w:hAnsi="Cambria Math" w:cs="Arial"/>
                <w:iCs/>
              </w:rPr>
              <w:t>AAR) – (0.013</w:t>
            </w:r>
            <m:oMath>
              <m:r>
                <m:rPr>
                  <m:sty m:val="p"/>
                </m:rPr>
                <w:rPr>
                  <w:rFonts w:ascii="Cambria Math" w:hAnsi="Cambria Math" w:cs="Arial"/>
                </w:rPr>
                <m:t>×</m:t>
              </m:r>
            </m:oMath>
            <w:r w:rsidRPr="00D46FBC">
              <w:rPr>
                <w:rFonts w:ascii="Cambria Math" w:hAnsi="Cambria Math" w:cs="Arial"/>
                <w:iCs/>
              </w:rPr>
              <w:t xml:space="preserve">platelet count) – (0.66 </w:t>
            </w:r>
            <m:oMath>
              <m:r>
                <m:rPr>
                  <m:sty m:val="p"/>
                </m:rPr>
                <w:rPr>
                  <w:rFonts w:ascii="Cambria Math" w:hAnsi="Cambria Math" w:cs="Arial"/>
                </w:rPr>
                <m:t>×</m:t>
              </m:r>
            </m:oMath>
            <w:r w:rsidRPr="00D46FBC">
              <w:rPr>
                <w:rFonts w:ascii="Cambria Math" w:hAnsi="Cambria Math" w:cs="Arial"/>
                <w:iCs/>
              </w:rPr>
              <w:t>albumin)</w:t>
            </w:r>
          </w:p>
        </w:tc>
      </w:tr>
      <w:tr w:rsidR="00E95BF1" w:rsidRPr="00984917" w14:paraId="1EA681BC" w14:textId="77777777" w:rsidTr="00D46FBC">
        <w:trPr>
          <w:trHeight w:val="710"/>
        </w:trPr>
        <w:tc>
          <w:tcPr>
            <w:tcW w:w="2846" w:type="dxa"/>
            <w:vAlign w:val="center"/>
          </w:tcPr>
          <w:p w14:paraId="7BC31728" w14:textId="5C6B8F08" w:rsidR="00E95BF1" w:rsidRPr="005B162A" w:rsidRDefault="00E95BF1" w:rsidP="00E95BF1">
            <w:pPr>
              <w:spacing w:after="160" w:line="259" w:lineRule="auto"/>
              <w:jc w:val="center"/>
            </w:pPr>
            <w:r w:rsidRPr="005B162A">
              <w:rPr>
                <w:rFonts w:ascii="Cambria Math" w:hAnsi="Cambria Math" w:cs="Arial"/>
                <w:iCs/>
              </w:rPr>
              <w:t>NFS-RIDGE</w:t>
            </w:r>
            <w:r>
              <w:rPr>
                <w:rFonts w:ascii="Open Sans" w:hAnsi="Open Sans" w:cs="Open Sans"/>
                <w:color w:val="767676"/>
                <w:sz w:val="21"/>
                <w:szCs w:val="21"/>
                <w:shd w:val="clear" w:color="auto" w:fill="FFFFFF"/>
              </w:rPr>
              <w:t xml:space="preserve"> </w:t>
            </w:r>
            <w:r>
              <w:rPr>
                <w:rFonts w:ascii="Open Sans" w:hAnsi="Open Sans" w:cs="Open Sans"/>
                <w:color w:val="767676"/>
                <w:sz w:val="21"/>
                <w:szCs w:val="21"/>
                <w:shd w:val="clear" w:color="auto" w:fill="FFFFFF"/>
              </w:rPr>
              <w:fldChar w:fldCharType="begin"/>
            </w:r>
            <w:r>
              <w:rPr>
                <w:rFonts w:ascii="Open Sans" w:hAnsi="Open Sans" w:cs="Open Sans"/>
                <w:color w:val="767676"/>
                <w:sz w:val="21"/>
                <w:szCs w:val="21"/>
                <w:shd w:val="clear" w:color="auto" w:fill="FFFFFF"/>
              </w:rPr>
              <w:instrText xml:space="preserve"> ADDIN ZOTERO_ITEM CSL_CITATION {"citationID":"OSdPrmcu","properties":{"formattedCitation":"(10)","plainCitation":"(10)","noteIndex":0},"citationItems":[{"id":1473,"uris":["http://zotero.org/users/9313241/items/B6IPPZXK"],"itemData":{"id":1473,"type":"article-journal","container-title":"Alimentary Pharmacology &amp; Therapeutics","DOI":"10.1111/apt.14172","ISSN":"02692813","issue":"4","journalAbbreviation":"Aliment Pharmacol Ther","language":"en","page":"447-456","source":"DOI.org (Crossref)","title":"Laboratory parameter-based machine learning model for excluding non-alcoholic fatty liver disease (NAFLD) in the general population","volume":"46","author":[{"family":"Yip","given":"T. C.-F."},{"family":"Ma","given":"A. J."},{"family":"Wong","given":"V. W.-S."},{"family":"Tse","given":"Y.-K."},{"family":"Chan","given":"H. L.-Y."},{"family":"Yuen","given":"P.-C."},{"family":"Wong","given":"G. L.-H."}],"issued":{"date-parts":[["2017",8]]}}}],"schema":"https://github.com/citation-style-language/schema/raw/master/csl-citation.json"} </w:instrText>
            </w:r>
            <w:r>
              <w:rPr>
                <w:rFonts w:ascii="Open Sans" w:hAnsi="Open Sans" w:cs="Open Sans"/>
                <w:color w:val="767676"/>
                <w:sz w:val="21"/>
                <w:szCs w:val="21"/>
                <w:shd w:val="clear" w:color="auto" w:fill="FFFFFF"/>
              </w:rPr>
              <w:fldChar w:fldCharType="separate"/>
            </w:r>
            <w:r w:rsidRPr="00E95BF1">
              <w:rPr>
                <w:rFonts w:ascii="Open Sans" w:hAnsi="Open Sans" w:cs="Open Sans"/>
                <w:sz w:val="21"/>
              </w:rPr>
              <w:t>(</w:t>
            </w:r>
            <w:r w:rsidR="006B18D7">
              <w:rPr>
                <w:rFonts w:ascii="Open Sans" w:hAnsi="Open Sans" w:cs="Open Sans"/>
                <w:sz w:val="21"/>
              </w:rPr>
              <w:t>1</w:t>
            </w:r>
            <w:r w:rsidR="006B1884">
              <w:rPr>
                <w:rFonts w:ascii="Open Sans" w:hAnsi="Open Sans" w:cs="Open Sans"/>
                <w:sz w:val="21"/>
              </w:rPr>
              <w:t>3</w:t>
            </w:r>
            <w:r w:rsidRPr="00E95BF1">
              <w:rPr>
                <w:rFonts w:ascii="Open Sans" w:hAnsi="Open Sans" w:cs="Open Sans"/>
                <w:sz w:val="21"/>
              </w:rPr>
              <w:t>)</w:t>
            </w:r>
            <w:r>
              <w:rPr>
                <w:rFonts w:ascii="Open Sans" w:hAnsi="Open Sans" w:cs="Open Sans"/>
                <w:color w:val="767676"/>
                <w:sz w:val="21"/>
                <w:szCs w:val="21"/>
                <w:shd w:val="clear" w:color="auto" w:fill="FFFFFF"/>
              </w:rPr>
              <w:fldChar w:fldCharType="end"/>
            </w:r>
          </w:p>
        </w:tc>
        <w:tc>
          <w:tcPr>
            <w:tcW w:w="7497" w:type="dxa"/>
            <w:vAlign w:val="center"/>
          </w:tcPr>
          <w:p w14:paraId="065C5145" w14:textId="67EDBE08" w:rsidR="00E95BF1" w:rsidRPr="00D46FBC" w:rsidRDefault="00E95BF1" w:rsidP="00E95BF1">
            <w:pPr>
              <w:autoSpaceDE w:val="0"/>
              <w:autoSpaceDN w:val="0"/>
              <w:jc w:val="center"/>
              <w:rPr>
                <w:rFonts w:ascii="Cambria Math" w:hAnsi="Cambria Math" w:cs="Arial"/>
                <w:iCs/>
              </w:rPr>
            </w:pPr>
            <w:r w:rsidRPr="00D46FBC">
              <w:rPr>
                <w:rFonts w:ascii="Cambria Math" w:hAnsi="Cambria Math" w:cs="Arial"/>
                <w:iCs/>
              </w:rPr>
              <w:t>-0.614+0.007</w:t>
            </w:r>
            <m:oMath>
              <m:r>
                <m:rPr>
                  <m:sty m:val="p"/>
                </m:rPr>
                <w:rPr>
                  <w:rFonts w:ascii="Cambria Math" w:hAnsi="Cambria Math" w:cs="Arial"/>
                </w:rPr>
                <m:t>×</m:t>
              </m:r>
            </m:oMath>
            <w:r w:rsidRPr="00D46FBC">
              <w:rPr>
                <w:rFonts w:ascii="Cambria Math" w:hAnsi="Cambria Math" w:cs="Arial"/>
                <w:iCs/>
              </w:rPr>
              <w:t>ALT- 0.214</w:t>
            </w:r>
            <m:oMath>
              <m:r>
                <m:rPr>
                  <m:sty m:val="p"/>
                </m:rPr>
                <w:rPr>
                  <w:rFonts w:ascii="Cambria Math" w:hAnsi="Cambria Math" w:cs="Arial"/>
                </w:rPr>
                <m:t>×</m:t>
              </m:r>
            </m:oMath>
            <w:r w:rsidRPr="00D46FBC">
              <w:rPr>
                <w:rFonts w:ascii="Cambria Math" w:hAnsi="Cambria Math" w:cs="Arial"/>
                <w:iCs/>
              </w:rPr>
              <w:t>HDL-0.053</w:t>
            </w:r>
            <m:oMath>
              <m:r>
                <m:rPr>
                  <m:sty m:val="p"/>
                </m:rPr>
                <w:rPr>
                  <w:rFonts w:ascii="Cambria Math" w:hAnsi="Cambria Math" w:cs="Arial"/>
                </w:rPr>
                <m:t>×</m:t>
              </m:r>
            </m:oMath>
            <w:r w:rsidRPr="00D46FBC">
              <w:rPr>
                <w:rFonts w:ascii="Cambria Math" w:hAnsi="Cambria Math" w:cs="Arial"/>
                <w:iCs/>
              </w:rPr>
              <w:t>Triglycerides +0.144</w:t>
            </w:r>
            <m:oMath>
              <m:r>
                <m:rPr>
                  <m:sty m:val="p"/>
                </m:rPr>
                <w:rPr>
                  <w:rFonts w:ascii="Cambria Math" w:hAnsi="Cambria Math" w:cs="Arial"/>
                </w:rPr>
                <m:t>×</m:t>
              </m:r>
            </m:oMath>
            <w:r w:rsidRPr="00D46FBC">
              <w:rPr>
                <w:rFonts w:ascii="Cambria Math" w:hAnsi="Cambria Math" w:cs="Arial"/>
                <w:iCs/>
              </w:rPr>
              <w:t>HbA1+0.032</w:t>
            </w:r>
            <m:oMath>
              <m:r>
                <m:rPr>
                  <m:sty m:val="p"/>
                </m:rPr>
                <w:rPr>
                  <w:rFonts w:ascii="Cambria Math" w:hAnsi="Cambria Math" w:cs="Arial"/>
                </w:rPr>
                <m:t>×</m:t>
              </m:r>
            </m:oMath>
            <w:r w:rsidRPr="00D46FBC">
              <w:rPr>
                <w:rFonts w:ascii="Cambria Math" w:hAnsi="Cambria Math" w:cs="Arial"/>
                <w:iCs/>
              </w:rPr>
              <w:t>WBC+0.132</w:t>
            </w:r>
            <m:oMath>
              <m:r>
                <m:rPr>
                  <m:sty m:val="p"/>
                </m:rPr>
                <w:rPr>
                  <w:rFonts w:ascii="Cambria Math" w:hAnsi="Cambria Math" w:cs="Arial"/>
                </w:rPr>
                <m:t>×</m:t>
              </m:r>
            </m:oMath>
            <w:r w:rsidRPr="00D46FBC">
              <w:rPr>
                <w:rFonts w:ascii="Cambria Math" w:hAnsi="Cambria Math" w:cs="Arial"/>
                <w:iCs/>
              </w:rPr>
              <w:t>hypertension</w:t>
            </w:r>
          </w:p>
        </w:tc>
      </w:tr>
      <w:tr w:rsidR="00E95BF1" w:rsidRPr="00984917" w14:paraId="6E227729" w14:textId="77777777" w:rsidTr="00D46FBC">
        <w:trPr>
          <w:trHeight w:val="710"/>
        </w:trPr>
        <w:tc>
          <w:tcPr>
            <w:tcW w:w="2846" w:type="dxa"/>
            <w:vAlign w:val="center"/>
          </w:tcPr>
          <w:p w14:paraId="748E3B44" w14:textId="0F07D83A" w:rsidR="00E95BF1" w:rsidRPr="00D46FBC" w:rsidRDefault="00E95BF1" w:rsidP="00E95BF1">
            <w:pPr>
              <w:shd w:val="clear" w:color="auto" w:fill="FFFFFF"/>
              <w:spacing w:before="100" w:beforeAutospacing="1" w:after="100" w:afterAutospacing="1"/>
              <w:ind w:left="720"/>
              <w:rPr>
                <w:rFonts w:ascii="Cambria Math" w:hAnsi="Cambria Math" w:cs="Arial"/>
                <w:iCs/>
              </w:rPr>
            </w:pPr>
            <w:r w:rsidRPr="00D46FBC">
              <w:rPr>
                <w:rFonts w:ascii="Cambria Math" w:hAnsi="Cambria Math" w:cs="Arial"/>
                <w:iCs/>
              </w:rPr>
              <w:t>NAFLD-</w:t>
            </w:r>
            <w:r>
              <w:rPr>
                <w:rFonts w:ascii="Cambria Math" w:hAnsi="Cambria Math" w:cs="Arial"/>
                <w:iCs/>
              </w:rPr>
              <w:t xml:space="preserve">FAT </w:t>
            </w:r>
            <w:r>
              <w:rPr>
                <w:rFonts w:ascii="Cambria Math" w:hAnsi="Cambria Math" w:cs="Arial"/>
                <w:iCs/>
              </w:rPr>
              <w:fldChar w:fldCharType="begin"/>
            </w:r>
            <w:r>
              <w:rPr>
                <w:rFonts w:ascii="Cambria Math" w:hAnsi="Cambria Math" w:cs="Arial"/>
                <w:iCs/>
              </w:rPr>
              <w:instrText xml:space="preserve"> ADDIN ZOTERO_ITEM CSL_CITATION {"citationID":"h3Jcb7tp","properties":{"formattedCitation":"(11)","plainCitation":"(11)","noteIndex":0},"citationItems":[{"id":1475,"uris":["http://zotero.org/users/9313241/items/LNFPAR3K"],"itemData":{"id":1475,"type":"article-journal","abstract":"BACKGROUND &amp; AIMS: Our aims were to develop a method to accurately predict non-alcoholic fatty liver disease (NAFLD) and liver fat content based on routinely available clinical and laboratory data and to test whether knowledge of the recently discovered genetic variant in the PNPLA3 gene (rs738409) increases accuracy of the prediction.\nMETHODS: Liver fat content was measured using proton magnetic resonance spectroscopy in 470 subjects, who were randomly divided into estimation (two thirds of the subjects, n = 313) and validation (one third of the subjects, n = 157) groups. Multivariate logistic and linear regression analyses were used to create an NAFLD liver fat score to diagnose NAFLD and liver fat equation to estimate liver fat percentage in each individual.\nRESULTS: The presence of the metabolic syndrome and type 2 diabetes, fasting serum (fS) insulin, fS-aspartate aminotransferase (AST), and the AST/alanine aminotransferase ratio were independent predictors of NAFLD. The score had an area under the receiver operating characteristic curve of 0.87 in the estimation and 0.86 in the validation group. The optimal cut-off point of -0.640 predicted increased liver fat content with sensitivity of 86% and specificity of 71%. Addition of the genetic information to the score improved the accuracy of the prediction by only &lt;1%. Using the same variables, we developed a liver fat equation from which liver fat percentage of each individual could be estimated.\nCONCLUSIONS: The NAFLD liver fat score and liver fat equation provide simple and noninvasive tools to predict NAFLD and liver fat content.","container-title":"Gastroenterology","DOI":"10.1053/j.gastro.2009.06.005","ISSN":"1528-0012","issue":"3","journalAbbreviation":"Gastroenterology","language":"eng","note":"PMID: 19524579","page":"865-872","source":"PubMed","title":"Prediction of non-alcoholic fatty liver disease and liver fat using metabolic and genetic factors","volume":"137","author":[{"family":"Kotronen","given":"Anna"},{"family":"Peltonen","given":"Markku"},{"family":"Hakkarainen","given":"Antti"},{"family":"Sevastianova","given":"Ksenia"},{"family":"Bergholm","given":"Robert"},{"family":"Johansson","given":"Lina M."},{"family":"Lundbom","given":"Nina"},{"family":"Rissanen","given":"Aila"},{"family":"Ridderstråle","given":"Martin"},{"family":"Groop","given":"Leif"},{"family":"Orho-Melander","given":"Marju"},{"family":"Yki-Järvinen","given":"Hannele"}],"issued":{"date-parts":[["2009",9]]}}}],"schema":"https://github.com/citation-style-language/schema/raw/master/csl-citation.json"} </w:instrText>
            </w:r>
            <w:r>
              <w:rPr>
                <w:rFonts w:ascii="Cambria Math" w:hAnsi="Cambria Math" w:cs="Arial"/>
                <w:iCs/>
              </w:rPr>
              <w:fldChar w:fldCharType="separate"/>
            </w:r>
            <w:r w:rsidRPr="00E95BF1">
              <w:rPr>
                <w:rFonts w:ascii="Cambria Math" w:hAnsi="Cambria Math"/>
              </w:rPr>
              <w:t>(1</w:t>
            </w:r>
            <w:r w:rsidR="006B1884">
              <w:rPr>
                <w:rFonts w:ascii="Cambria Math" w:hAnsi="Cambria Math"/>
              </w:rPr>
              <w:t>4</w:t>
            </w:r>
            <w:r w:rsidRPr="00E95BF1">
              <w:rPr>
                <w:rFonts w:ascii="Cambria Math" w:hAnsi="Cambria Math"/>
              </w:rPr>
              <w:t>)</w:t>
            </w:r>
            <w:r>
              <w:rPr>
                <w:rFonts w:ascii="Cambria Math" w:hAnsi="Cambria Math" w:cs="Arial"/>
                <w:iCs/>
              </w:rPr>
              <w:fldChar w:fldCharType="end"/>
            </w:r>
          </w:p>
        </w:tc>
        <w:tc>
          <w:tcPr>
            <w:tcW w:w="7497" w:type="dxa"/>
            <w:vAlign w:val="center"/>
          </w:tcPr>
          <w:p w14:paraId="0F84A108" w14:textId="2A378FFA" w:rsidR="00E95BF1" w:rsidRPr="00D46FBC" w:rsidRDefault="00E95BF1" w:rsidP="00E95BF1">
            <w:pPr>
              <w:autoSpaceDE w:val="0"/>
              <w:autoSpaceDN w:val="0"/>
              <w:jc w:val="center"/>
              <w:rPr>
                <w:rFonts w:ascii="Cambria Math" w:hAnsi="Cambria Math" w:cs="Arial"/>
                <w:iCs/>
              </w:rPr>
            </w:pPr>
            <w:r w:rsidRPr="00D46FBC">
              <w:rPr>
                <w:rFonts w:ascii="Cambria Math" w:hAnsi="Cambria Math" w:cs="Arial"/>
                <w:iCs/>
              </w:rPr>
              <w:t>1.18 × metabolic syndrome +0.45× diabetes (2, if yes; 0, if no) +0.15× FSI +0.04× AST −0.94× AAR −2.89</w:t>
            </w:r>
          </w:p>
        </w:tc>
      </w:tr>
      <w:tr w:rsidR="00E95BF1" w:rsidRPr="00984917" w14:paraId="32DD4E2E" w14:textId="77777777" w:rsidTr="00D46FBC">
        <w:trPr>
          <w:trHeight w:val="710"/>
        </w:trPr>
        <w:tc>
          <w:tcPr>
            <w:tcW w:w="2846" w:type="dxa"/>
            <w:vAlign w:val="center"/>
          </w:tcPr>
          <w:p w14:paraId="42FC31C9" w14:textId="595B294A" w:rsidR="00E95BF1" w:rsidRPr="00D46FBC" w:rsidRDefault="00E95BF1" w:rsidP="00E95BF1">
            <w:pPr>
              <w:autoSpaceDE w:val="0"/>
              <w:autoSpaceDN w:val="0"/>
              <w:jc w:val="center"/>
              <w:rPr>
                <w:rFonts w:ascii="Cambria Math" w:hAnsi="Cambria Math" w:cs="Arial"/>
                <w:iCs/>
              </w:rPr>
            </w:pPr>
            <w:r w:rsidRPr="00D46FBC">
              <w:rPr>
                <w:rFonts w:ascii="Cambria Math" w:hAnsi="Cambria Math" w:cs="Arial"/>
                <w:iCs/>
              </w:rPr>
              <w:t>BAAT</w:t>
            </w:r>
            <w:r>
              <w:rPr>
                <w:rFonts w:ascii="Cambria Math" w:hAnsi="Cambria Math" w:cs="Arial"/>
                <w:iCs/>
              </w:rPr>
              <w:t xml:space="preserve"> </w:t>
            </w:r>
            <w:r>
              <w:rPr>
                <w:rFonts w:ascii="Cambria Math" w:hAnsi="Cambria Math" w:cs="Arial"/>
                <w:iCs/>
              </w:rPr>
              <w:fldChar w:fldCharType="begin"/>
            </w:r>
            <w:r>
              <w:rPr>
                <w:rFonts w:ascii="Cambria Math" w:hAnsi="Cambria Math" w:cs="Arial"/>
                <w:iCs/>
              </w:rPr>
              <w:instrText xml:space="preserve"> ADDIN ZOTERO_ITEM CSL_CITATION {"citationID":"bWg61yee","properties":{"formattedCitation":"(12)","plainCitation":"(12)","noteIndex":0},"citationItems":[{"id":1467,"uris":["http://zotero.org/users/9313241/items/43TIDAHF"],"itemData":{"id":1467,"type":"article-journal","abstract":"BACKGROUND &amp; AIMS: A common clinical issue is whether overweight patients with abnormal liver function test results should undergo liver biopsy. Although serious liver injury can occur, its prevalence and risk factors are not well known.\nMETHODS: Ninety-three consecutive patients with abnormal liver function tests (but without overt liver disease), body mass index (BMI) &gt; 25 kg/m(2), and no alcoholic, viral, autoimmune, drug-induced, or genetic liver disease were retrospectively studied. Clinical, biological, and histological variables were tested for association with septal fibrosis or cirrhosis.\nRESULTS: Septal fibrosis was present in 28 patients (30%) including cirrhosis in 10 (11%). Age &gt;/= 50 years (odds ratio [OR], 14.1), BMI &gt;/= 28 kg/m(2) (OR, 5.7), triglycerides &gt;/= 1.7 mmol/L (OR, 5), and alanine aminotransferase (ALT) &gt;/= 2N (OR, 4.6) were independently associated with septal fibrosis. Among histological features, septal fibrosis was strongly associated with necroinflammatory activity (OR, 44). A score combining age, BMI, triglycerides, and ALT had 100% negative predictive value for septal fibrosis when scoring 0 or 1 (100% sensitivity for a specificity of 47%).\nCONCLUSIONS: Septal fibrosis occurs frequently in overweight patients with abnormal liver function tests. A clinicobiological score combining BMI, age, ALT, and triglycerides could improve selection of patients for liver biopsy.","container-title":"Gastroenterology","DOI":"10.1016/s0016-5085(00)70364-7","ISSN":"0016-5085","issue":"6","journalAbbreviation":"Gastroenterology","language":"eng","note":"PMID: 10833486","page":"1117-1123","source":"PubMed","title":"Liver fibrosis in overweight patients","volume":"118","author":[{"family":"Ratziu","given":"V."},{"family":"Giral","given":"P."},{"family":"Charlotte","given":"F."},{"family":"Bruckert","given":"E."},{"family":"Thibault","given":"V."},{"family":"Theodorou","given":"I."},{"family":"Khalil","given":"L."},{"family":"Turpin","given":"G."},{"family":"Opolon","given":"P."},{"family":"Poynard","given":"T."}],"issued":{"date-parts":[["2000",6]]}}}],"schema":"https://github.com/citation-style-language/schema/raw/master/csl-citation.json"} </w:instrText>
            </w:r>
            <w:r>
              <w:rPr>
                <w:rFonts w:ascii="Cambria Math" w:hAnsi="Cambria Math" w:cs="Arial"/>
                <w:iCs/>
              </w:rPr>
              <w:fldChar w:fldCharType="separate"/>
            </w:r>
            <w:r w:rsidRPr="00E95BF1">
              <w:rPr>
                <w:rFonts w:ascii="Cambria Math" w:hAnsi="Cambria Math"/>
              </w:rPr>
              <w:t>(1</w:t>
            </w:r>
            <w:r w:rsidR="006B1884">
              <w:rPr>
                <w:rFonts w:ascii="Cambria Math" w:hAnsi="Cambria Math"/>
              </w:rPr>
              <w:t>5</w:t>
            </w:r>
            <w:r w:rsidRPr="00E95BF1">
              <w:rPr>
                <w:rFonts w:ascii="Cambria Math" w:hAnsi="Cambria Math"/>
              </w:rPr>
              <w:t>)</w:t>
            </w:r>
            <w:r>
              <w:rPr>
                <w:rFonts w:ascii="Cambria Math" w:hAnsi="Cambria Math" w:cs="Arial"/>
                <w:iCs/>
              </w:rPr>
              <w:fldChar w:fldCharType="end"/>
            </w:r>
          </w:p>
        </w:tc>
        <w:tc>
          <w:tcPr>
            <w:tcW w:w="7497" w:type="dxa"/>
            <w:vAlign w:val="center"/>
          </w:tcPr>
          <w:p w14:paraId="600ECD0D" w14:textId="5F3426C7" w:rsidR="00E95BF1" w:rsidRPr="00D46FBC" w:rsidRDefault="00E95BF1" w:rsidP="00E95BF1">
            <w:pPr>
              <w:autoSpaceDE w:val="0"/>
              <w:autoSpaceDN w:val="0"/>
              <w:jc w:val="center"/>
              <w:rPr>
                <w:rFonts w:ascii="Cambria Math" w:hAnsi="Cambria Math" w:cs="Arial"/>
                <w:iCs/>
              </w:rPr>
            </w:pPr>
            <w:r w:rsidRPr="00D46FBC">
              <w:rPr>
                <w:rFonts w:ascii="Cambria Math" w:hAnsi="Cambria Math" w:cs="Arial"/>
                <w:iCs/>
              </w:rPr>
              <w:t>BMI≥28, age≥50, ALT≥2xULN, triglycerides≥1.7 mmol</w:t>
            </w:r>
          </w:p>
        </w:tc>
      </w:tr>
      <w:tr w:rsidR="00E95BF1" w:rsidRPr="00984917" w14:paraId="1BFD7E9C" w14:textId="77777777" w:rsidTr="00D46FBC">
        <w:trPr>
          <w:trHeight w:val="710"/>
        </w:trPr>
        <w:tc>
          <w:tcPr>
            <w:tcW w:w="2846" w:type="dxa"/>
            <w:vAlign w:val="center"/>
          </w:tcPr>
          <w:p w14:paraId="2EB03EBD" w14:textId="004E3238" w:rsidR="00E95BF1" w:rsidRPr="00D46FBC" w:rsidRDefault="00E95BF1" w:rsidP="00E95BF1">
            <w:pPr>
              <w:autoSpaceDE w:val="0"/>
              <w:autoSpaceDN w:val="0"/>
              <w:jc w:val="center"/>
              <w:rPr>
                <w:rFonts w:ascii="Cambria Math" w:hAnsi="Cambria Math" w:cs="Arial"/>
                <w:iCs/>
              </w:rPr>
            </w:pPr>
            <w:r>
              <w:rPr>
                <w:rFonts w:ascii="Cambria Math" w:hAnsi="Cambria Math" w:cs="Arial"/>
                <w:iCs/>
              </w:rPr>
              <w:t>NAFLD-BARD</w:t>
            </w:r>
            <w:r w:rsidR="001F1DA4">
              <w:rPr>
                <w:rFonts w:ascii="Cambria Math" w:hAnsi="Cambria Math" w:cs="Arial"/>
                <w:iCs/>
              </w:rPr>
              <w:t>-LFS (1</w:t>
            </w:r>
            <w:r w:rsidR="006B1884">
              <w:rPr>
                <w:rFonts w:ascii="Cambria Math" w:hAnsi="Cambria Math" w:cs="Arial"/>
                <w:iCs/>
              </w:rPr>
              <w:t>6</w:t>
            </w:r>
            <w:r w:rsidR="001F1DA4">
              <w:rPr>
                <w:rFonts w:ascii="Cambria Math" w:hAnsi="Cambria Math" w:cs="Arial"/>
                <w:iCs/>
              </w:rPr>
              <w:t>)</w:t>
            </w:r>
          </w:p>
        </w:tc>
        <w:tc>
          <w:tcPr>
            <w:tcW w:w="7497" w:type="dxa"/>
            <w:vAlign w:val="center"/>
          </w:tcPr>
          <w:p w14:paraId="3A63A6A9" w14:textId="0D1D00C1" w:rsidR="00E95BF1" w:rsidRPr="00D46FBC" w:rsidRDefault="001F1DA4" w:rsidP="00E95BF1">
            <w:pPr>
              <w:autoSpaceDE w:val="0"/>
              <w:autoSpaceDN w:val="0"/>
              <w:jc w:val="center"/>
              <w:rPr>
                <w:rFonts w:ascii="Cambria Math" w:hAnsi="Cambria Math" w:cs="Arial"/>
                <w:iCs/>
              </w:rPr>
            </w:pPr>
            <w:r>
              <w:rPr>
                <w:rFonts w:ascii="Cambria Math" w:hAnsi="Cambria Math" w:cs="Arial"/>
                <w:iCs/>
              </w:rPr>
              <w:t>[</w:t>
            </w:r>
            <w:r w:rsidRPr="001F1DA4">
              <w:rPr>
                <w:rFonts w:ascii="Cambria Math" w:hAnsi="Cambria Math" w:cs="Arial"/>
                <w:iCs/>
              </w:rPr>
              <w:t>‑2.89 + 1.18 × metabolic syndrome (Yes = 1/No = 0) + 0.45 × Type 2 diabetes mellitus (Yes = 2/No = 0) + 0.15 × fasting serum insulin (mU/L) + 0.04 × fasting AST (U/L) – 0.94 × AST/ALT</w:t>
            </w:r>
            <w:r>
              <w:rPr>
                <w:rFonts w:ascii="Cambria Math" w:hAnsi="Cambria Math" w:cs="Arial"/>
                <w:iCs/>
              </w:rPr>
              <w:t>]</w:t>
            </w:r>
          </w:p>
        </w:tc>
      </w:tr>
      <w:tr w:rsidR="00E95BF1" w:rsidRPr="00984917" w14:paraId="11A7CFDD" w14:textId="77777777" w:rsidTr="00D46FBC">
        <w:trPr>
          <w:trHeight w:val="710"/>
        </w:trPr>
        <w:tc>
          <w:tcPr>
            <w:tcW w:w="2846" w:type="dxa"/>
            <w:vAlign w:val="center"/>
          </w:tcPr>
          <w:p w14:paraId="313FFB03" w14:textId="31080E65" w:rsidR="00E95BF1" w:rsidRPr="00D46FBC" w:rsidRDefault="00E95BF1" w:rsidP="00E95BF1">
            <w:pPr>
              <w:autoSpaceDE w:val="0"/>
              <w:autoSpaceDN w:val="0"/>
              <w:jc w:val="center"/>
              <w:rPr>
                <w:rFonts w:ascii="Cambria Math" w:hAnsi="Cambria Math" w:cs="Arial"/>
                <w:iCs/>
              </w:rPr>
            </w:pPr>
            <w:r>
              <w:rPr>
                <w:rFonts w:ascii="Cambria Math" w:hAnsi="Cambria Math" w:cs="Arial"/>
                <w:iCs/>
              </w:rPr>
              <w:t xml:space="preserve">HEPAMET </w:t>
            </w:r>
            <w:r w:rsidR="00866900">
              <w:rPr>
                <w:rFonts w:ascii="Cambria Math" w:hAnsi="Cambria Math" w:cs="Arial"/>
                <w:iCs/>
              </w:rPr>
              <w:t>(1</w:t>
            </w:r>
            <w:r w:rsidR="006B1884">
              <w:rPr>
                <w:rFonts w:ascii="Cambria Math" w:hAnsi="Cambria Math" w:cs="Arial"/>
                <w:iCs/>
              </w:rPr>
              <w:t>7</w:t>
            </w:r>
            <w:r w:rsidR="00866900">
              <w:rPr>
                <w:rFonts w:ascii="Cambria Math" w:hAnsi="Cambria Math" w:cs="Arial"/>
                <w:iCs/>
              </w:rPr>
              <w:t>)</w:t>
            </w:r>
          </w:p>
        </w:tc>
        <w:tc>
          <w:tcPr>
            <w:tcW w:w="7497" w:type="dxa"/>
            <w:vAlign w:val="center"/>
          </w:tcPr>
          <w:p w14:paraId="7E8D66A5" w14:textId="4CDEC7BC" w:rsidR="00E95BF1" w:rsidRPr="00D46FBC" w:rsidRDefault="00441466" w:rsidP="00E95BF1">
            <w:pPr>
              <w:autoSpaceDE w:val="0"/>
              <w:autoSpaceDN w:val="0"/>
              <w:jc w:val="center"/>
              <w:rPr>
                <w:rFonts w:ascii="Cambria Math" w:hAnsi="Cambria Math" w:cs="Arial"/>
                <w:iCs/>
              </w:rPr>
            </w:pPr>
            <w:r w:rsidRPr="00441466">
              <w:rPr>
                <w:rFonts w:ascii="Cambria Math" w:hAnsi="Cambria Math" w:cs="Arial"/>
                <w:iCs/>
              </w:rPr>
              <w:t>1/ (1+e[5.390−0.986</w:t>
            </w:r>
            <w:r>
              <w:rPr>
                <w:rFonts w:ascii="Cambria Math" w:hAnsi="Cambria Math" w:cs="Arial"/>
                <w:iCs/>
              </w:rPr>
              <w:t xml:space="preserve"> </w:t>
            </w:r>
            <w:r w:rsidRPr="00441466">
              <w:rPr>
                <w:rFonts w:ascii="Cambria Math" w:hAnsi="Cambria Math" w:cs="Arial"/>
                <w:iCs/>
              </w:rPr>
              <w:t>x</w:t>
            </w:r>
            <w:r>
              <w:rPr>
                <w:rFonts w:ascii="Cambria Math" w:hAnsi="Cambria Math" w:cs="Arial"/>
                <w:iCs/>
              </w:rPr>
              <w:t xml:space="preserve"> </w:t>
            </w:r>
            <w:r w:rsidRPr="00441466">
              <w:rPr>
                <w:rFonts w:ascii="Cambria Math" w:hAnsi="Cambria Math" w:cs="Arial"/>
                <w:iCs/>
              </w:rPr>
              <w:t>Age</w:t>
            </w:r>
            <w:r>
              <w:rPr>
                <w:rFonts w:ascii="Cambria Math" w:hAnsi="Cambria Math" w:cs="Arial"/>
                <w:iCs/>
              </w:rPr>
              <w:t xml:space="preserve"> </w:t>
            </w:r>
            <w:r w:rsidRPr="00441466">
              <w:rPr>
                <w:rFonts w:ascii="Cambria Math" w:hAnsi="Cambria Math" w:cs="Arial"/>
                <w:iCs/>
              </w:rPr>
              <w:t>[45-64</w:t>
            </w:r>
            <w:r>
              <w:rPr>
                <w:rFonts w:ascii="Cambria Math" w:hAnsi="Cambria Math" w:cs="Arial"/>
                <w:iCs/>
              </w:rPr>
              <w:t xml:space="preserve"> </w:t>
            </w:r>
            <w:r w:rsidRPr="00441466">
              <w:rPr>
                <w:rFonts w:ascii="Cambria Math" w:hAnsi="Cambria Math" w:cs="Arial"/>
                <w:iCs/>
              </w:rPr>
              <w:t>]−1.719</w:t>
            </w:r>
            <w:r>
              <w:rPr>
                <w:rFonts w:ascii="Cambria Math" w:hAnsi="Cambria Math" w:cs="Arial"/>
                <w:iCs/>
              </w:rPr>
              <w:t xml:space="preserve"> </w:t>
            </w:r>
            <w:r w:rsidRPr="00441466">
              <w:rPr>
                <w:rFonts w:ascii="Cambria Math" w:hAnsi="Cambria Math" w:cs="Arial"/>
                <w:iCs/>
              </w:rPr>
              <w:t>x</w:t>
            </w:r>
            <w:r>
              <w:rPr>
                <w:rFonts w:ascii="Cambria Math" w:hAnsi="Cambria Math" w:cs="Arial"/>
                <w:iCs/>
              </w:rPr>
              <w:t xml:space="preserve"> </w:t>
            </w:r>
            <w:r w:rsidRPr="00441466">
              <w:rPr>
                <w:rFonts w:ascii="Cambria Math" w:hAnsi="Cambria Math" w:cs="Arial"/>
                <w:iCs/>
              </w:rPr>
              <w:t>Age</w:t>
            </w:r>
            <w:r>
              <w:rPr>
                <w:rFonts w:ascii="Cambria Math" w:hAnsi="Cambria Math" w:cs="Arial"/>
                <w:iCs/>
              </w:rPr>
              <w:t xml:space="preserve"> </w:t>
            </w:r>
            <w:r w:rsidRPr="00441466">
              <w:rPr>
                <w:rFonts w:ascii="Cambria Math" w:hAnsi="Cambria Math" w:cs="Arial"/>
                <w:iCs/>
              </w:rPr>
              <w:t>[≥65]+0.875</w:t>
            </w:r>
            <w:r w:rsidR="00866900">
              <w:rPr>
                <w:rFonts w:ascii="Cambria Math" w:hAnsi="Cambria Math" w:cs="Arial"/>
                <w:iCs/>
              </w:rPr>
              <w:t xml:space="preserve"> if Males</w:t>
            </w:r>
            <w:r w:rsidRPr="00441466">
              <w:rPr>
                <w:rFonts w:ascii="Cambria Math" w:hAnsi="Cambria Math" w:cs="Arial"/>
                <w:iCs/>
              </w:rPr>
              <w:t>−0.896</w:t>
            </w:r>
            <w:r w:rsidR="00866900">
              <w:rPr>
                <w:rFonts w:ascii="Cambria Math" w:hAnsi="Cambria Math" w:cs="Arial"/>
                <w:iCs/>
              </w:rPr>
              <w:t xml:space="preserve"> </w:t>
            </w:r>
            <w:r w:rsidRPr="00441466">
              <w:rPr>
                <w:rFonts w:ascii="Cambria Math" w:hAnsi="Cambria Math" w:cs="Arial"/>
                <w:iCs/>
              </w:rPr>
              <w:t>x</w:t>
            </w:r>
            <w:r w:rsidR="00866900">
              <w:rPr>
                <w:rFonts w:ascii="Cambria Math" w:hAnsi="Cambria Math" w:cs="Arial"/>
                <w:iCs/>
              </w:rPr>
              <w:t xml:space="preserve"> </w:t>
            </w:r>
            <w:r w:rsidRPr="00441466">
              <w:rPr>
                <w:rFonts w:ascii="Cambria Math" w:hAnsi="Cambria Math" w:cs="Arial"/>
                <w:iCs/>
              </w:rPr>
              <w:t>AST</w:t>
            </w:r>
            <w:r w:rsidR="00866900">
              <w:rPr>
                <w:rFonts w:ascii="Cambria Math" w:hAnsi="Cambria Math" w:cs="Arial"/>
                <w:iCs/>
              </w:rPr>
              <w:t xml:space="preserve"> </w:t>
            </w:r>
            <w:r w:rsidRPr="00441466">
              <w:rPr>
                <w:rFonts w:ascii="Cambria Math" w:hAnsi="Cambria Math" w:cs="Arial"/>
                <w:iCs/>
              </w:rPr>
              <w:t>[35-69IU/L]−2.126</w:t>
            </w:r>
            <w:r w:rsidR="00866900">
              <w:rPr>
                <w:rFonts w:ascii="Cambria Math" w:hAnsi="Cambria Math" w:cs="Arial"/>
                <w:iCs/>
              </w:rPr>
              <w:t xml:space="preserve"> </w:t>
            </w:r>
            <w:r w:rsidRPr="00441466">
              <w:rPr>
                <w:rFonts w:ascii="Cambria Math" w:hAnsi="Cambria Math" w:cs="Arial"/>
                <w:iCs/>
              </w:rPr>
              <w:t>x</w:t>
            </w:r>
            <w:r w:rsidR="00866900">
              <w:rPr>
                <w:rFonts w:ascii="Cambria Math" w:hAnsi="Cambria Math" w:cs="Arial"/>
                <w:iCs/>
              </w:rPr>
              <w:t xml:space="preserve"> </w:t>
            </w:r>
            <w:r w:rsidRPr="00441466">
              <w:rPr>
                <w:rFonts w:ascii="Cambria Math" w:hAnsi="Cambria Math" w:cs="Arial"/>
                <w:iCs/>
              </w:rPr>
              <w:t>AST</w:t>
            </w:r>
            <w:r w:rsidR="00866900">
              <w:rPr>
                <w:rFonts w:ascii="Cambria Math" w:hAnsi="Cambria Math" w:cs="Arial"/>
                <w:iCs/>
              </w:rPr>
              <w:t xml:space="preserve"> </w:t>
            </w:r>
            <w:r w:rsidRPr="00441466">
              <w:rPr>
                <w:rFonts w:ascii="Cambria Math" w:hAnsi="Cambria Math" w:cs="Arial"/>
                <w:iCs/>
              </w:rPr>
              <w:t>[≥70 IU/L]−0.027</w:t>
            </w:r>
            <w:r w:rsidR="00866900">
              <w:rPr>
                <w:rFonts w:ascii="Cambria Math" w:hAnsi="Cambria Math" w:cs="Arial"/>
                <w:iCs/>
              </w:rPr>
              <w:t xml:space="preserve"> </w:t>
            </w:r>
            <w:r w:rsidRPr="00441466">
              <w:rPr>
                <w:rFonts w:ascii="Cambria Math" w:hAnsi="Cambria Math" w:cs="Arial"/>
                <w:iCs/>
              </w:rPr>
              <w:t>x</w:t>
            </w:r>
            <w:r w:rsidR="00866900">
              <w:rPr>
                <w:rFonts w:ascii="Cambria Math" w:hAnsi="Cambria Math" w:cs="Arial"/>
                <w:iCs/>
              </w:rPr>
              <w:t xml:space="preserve"> </w:t>
            </w:r>
            <w:r w:rsidRPr="00441466">
              <w:rPr>
                <w:rFonts w:ascii="Cambria Math" w:hAnsi="Cambria Math" w:cs="Arial"/>
                <w:iCs/>
              </w:rPr>
              <w:t>Albumin</w:t>
            </w:r>
            <w:r w:rsidR="00866900">
              <w:rPr>
                <w:rFonts w:ascii="Cambria Math" w:hAnsi="Cambria Math" w:cs="Arial"/>
                <w:iCs/>
              </w:rPr>
              <w:t xml:space="preserve"> </w:t>
            </w:r>
            <w:r w:rsidRPr="00441466">
              <w:rPr>
                <w:rFonts w:ascii="Cambria Math" w:hAnsi="Cambria Math" w:cs="Arial"/>
                <w:iCs/>
              </w:rPr>
              <w:t>[4-4.49g/dL]−0.897</w:t>
            </w:r>
            <w:r w:rsidR="00866900">
              <w:rPr>
                <w:rFonts w:ascii="Cambria Math" w:hAnsi="Cambria Math" w:cs="Arial"/>
                <w:iCs/>
              </w:rPr>
              <w:t xml:space="preserve"> </w:t>
            </w:r>
            <w:r w:rsidRPr="00441466">
              <w:rPr>
                <w:rFonts w:ascii="Cambria Math" w:hAnsi="Cambria Math" w:cs="Arial"/>
                <w:iCs/>
              </w:rPr>
              <w:t>x</w:t>
            </w:r>
            <w:r w:rsidR="00866900">
              <w:rPr>
                <w:rFonts w:ascii="Cambria Math" w:hAnsi="Cambria Math" w:cs="Arial"/>
                <w:iCs/>
              </w:rPr>
              <w:t xml:space="preserve"> </w:t>
            </w:r>
            <w:r w:rsidRPr="00441466">
              <w:rPr>
                <w:rFonts w:ascii="Cambria Math" w:hAnsi="Cambria Math" w:cs="Arial"/>
                <w:iCs/>
              </w:rPr>
              <w:t>Albumin</w:t>
            </w:r>
            <w:r w:rsidR="00866900">
              <w:rPr>
                <w:rFonts w:ascii="Cambria Math" w:hAnsi="Cambria Math" w:cs="Arial"/>
                <w:iCs/>
              </w:rPr>
              <w:t xml:space="preserve"> </w:t>
            </w:r>
            <w:r w:rsidRPr="00441466">
              <w:rPr>
                <w:rFonts w:ascii="Cambria Math" w:hAnsi="Cambria Math" w:cs="Arial"/>
                <w:iCs/>
              </w:rPr>
              <w:t>[&lt;4g/dL]− 0.899</w:t>
            </w:r>
            <w:r w:rsidR="00866900">
              <w:rPr>
                <w:rFonts w:ascii="Cambria Math" w:hAnsi="Cambria Math" w:cs="Arial"/>
                <w:iCs/>
              </w:rPr>
              <w:t xml:space="preserve"> </w:t>
            </w:r>
            <w:r w:rsidRPr="00441466">
              <w:rPr>
                <w:rFonts w:ascii="Cambria Math" w:hAnsi="Cambria Math" w:cs="Arial"/>
                <w:iCs/>
              </w:rPr>
              <w:t>x</w:t>
            </w:r>
            <w:r w:rsidR="00866900">
              <w:rPr>
                <w:rFonts w:ascii="Cambria Math" w:hAnsi="Cambria Math" w:cs="Arial"/>
                <w:iCs/>
              </w:rPr>
              <w:t xml:space="preserve"> </w:t>
            </w:r>
            <w:r w:rsidRPr="00441466">
              <w:rPr>
                <w:rFonts w:ascii="Cambria Math" w:hAnsi="Cambria Math" w:cs="Arial"/>
                <w:iCs/>
              </w:rPr>
              <w:t>HOMA</w:t>
            </w:r>
            <w:r w:rsidR="00866900">
              <w:rPr>
                <w:rFonts w:ascii="Cambria Math" w:hAnsi="Cambria Math" w:cs="Arial"/>
                <w:iCs/>
              </w:rPr>
              <w:t xml:space="preserve"> </w:t>
            </w:r>
            <w:r w:rsidRPr="00441466">
              <w:rPr>
                <w:rFonts w:ascii="Cambria Math" w:hAnsi="Cambria Math" w:cs="Arial"/>
                <w:iCs/>
              </w:rPr>
              <w:t>[2-3.99</w:t>
            </w:r>
            <w:r w:rsidR="00866900">
              <w:rPr>
                <w:rFonts w:ascii="Cambria Math" w:hAnsi="Cambria Math" w:cs="Arial"/>
                <w:iCs/>
              </w:rPr>
              <w:t xml:space="preserve"> if no </w:t>
            </w:r>
            <w:r w:rsidRPr="00441466">
              <w:rPr>
                <w:rFonts w:ascii="Cambria Math" w:hAnsi="Cambria Math" w:cs="Arial"/>
                <w:iCs/>
              </w:rPr>
              <w:lastRenderedPageBreak/>
              <w:t>D</w:t>
            </w:r>
            <w:r w:rsidR="00866900">
              <w:rPr>
                <w:rFonts w:ascii="Cambria Math" w:hAnsi="Cambria Math" w:cs="Arial"/>
                <w:iCs/>
              </w:rPr>
              <w:t>M</w:t>
            </w:r>
            <w:r w:rsidRPr="00441466">
              <w:rPr>
                <w:rFonts w:ascii="Cambria Math" w:hAnsi="Cambria Math" w:cs="Arial"/>
                <w:iCs/>
              </w:rPr>
              <w:t>]−1.497</w:t>
            </w:r>
            <w:r w:rsidR="00866900">
              <w:rPr>
                <w:rFonts w:ascii="Cambria Math" w:hAnsi="Cambria Math" w:cs="Arial"/>
                <w:iCs/>
              </w:rPr>
              <w:t xml:space="preserve"> </w:t>
            </w:r>
            <w:r w:rsidRPr="00441466">
              <w:rPr>
                <w:rFonts w:ascii="Cambria Math" w:hAnsi="Cambria Math" w:cs="Arial"/>
                <w:iCs/>
              </w:rPr>
              <w:t>x</w:t>
            </w:r>
            <w:r w:rsidR="00866900">
              <w:rPr>
                <w:rFonts w:ascii="Cambria Math" w:hAnsi="Cambria Math" w:cs="Arial"/>
                <w:iCs/>
              </w:rPr>
              <w:t xml:space="preserve"> </w:t>
            </w:r>
            <w:r w:rsidRPr="00441466">
              <w:rPr>
                <w:rFonts w:ascii="Cambria Math" w:hAnsi="Cambria Math" w:cs="Arial"/>
                <w:iCs/>
              </w:rPr>
              <w:t>HOMA</w:t>
            </w:r>
            <w:r w:rsidR="00866900">
              <w:rPr>
                <w:rFonts w:ascii="Cambria Math" w:hAnsi="Cambria Math" w:cs="Arial"/>
                <w:iCs/>
              </w:rPr>
              <w:t xml:space="preserve"> </w:t>
            </w:r>
            <w:r w:rsidRPr="00441466">
              <w:rPr>
                <w:rFonts w:ascii="Cambria Math" w:hAnsi="Cambria Math" w:cs="Arial"/>
                <w:iCs/>
              </w:rPr>
              <w:t xml:space="preserve">[≥4 </w:t>
            </w:r>
            <w:r w:rsidR="00866900">
              <w:rPr>
                <w:rFonts w:ascii="Cambria Math" w:hAnsi="Cambria Math" w:cs="Arial"/>
                <w:iCs/>
              </w:rPr>
              <w:t>if no DM</w:t>
            </w:r>
            <w:r w:rsidRPr="00441466">
              <w:rPr>
                <w:rFonts w:ascii="Cambria Math" w:hAnsi="Cambria Math" w:cs="Arial"/>
                <w:iCs/>
              </w:rPr>
              <w:t>]−2.184</w:t>
            </w:r>
            <w:r w:rsidR="00866900">
              <w:rPr>
                <w:rFonts w:ascii="Cambria Math" w:hAnsi="Cambria Math" w:cs="Arial"/>
                <w:iCs/>
              </w:rPr>
              <w:t xml:space="preserve"> </w:t>
            </w:r>
            <w:r w:rsidRPr="00441466">
              <w:rPr>
                <w:rFonts w:ascii="Cambria Math" w:hAnsi="Cambria Math" w:cs="Arial"/>
                <w:iCs/>
              </w:rPr>
              <w:t>x</w:t>
            </w:r>
            <w:r w:rsidR="00866900">
              <w:rPr>
                <w:rFonts w:ascii="Cambria Math" w:hAnsi="Cambria Math" w:cs="Arial"/>
                <w:iCs/>
              </w:rPr>
              <w:t xml:space="preserve"> DM</w:t>
            </w:r>
            <w:r w:rsidRPr="00441466">
              <w:rPr>
                <w:rFonts w:ascii="Cambria Math" w:hAnsi="Cambria Math" w:cs="Arial"/>
                <w:iCs/>
              </w:rPr>
              <w:t>−0.882</w:t>
            </w:r>
            <w:r w:rsidR="00866900">
              <w:rPr>
                <w:rFonts w:ascii="Cambria Math" w:hAnsi="Cambria Math" w:cs="Arial"/>
                <w:iCs/>
              </w:rPr>
              <w:t xml:space="preserve"> x Platelet Count </w:t>
            </w:r>
            <w:r w:rsidRPr="00441466">
              <w:rPr>
                <w:rFonts w:ascii="Cambria Math" w:hAnsi="Cambria Math" w:cs="Arial"/>
                <w:iCs/>
              </w:rPr>
              <w:t>x</w:t>
            </w:r>
            <w:r w:rsidR="00866900">
              <w:rPr>
                <w:rFonts w:ascii="Cambria Math" w:hAnsi="Cambria Math" w:cs="Arial"/>
                <w:iCs/>
              </w:rPr>
              <w:t xml:space="preserve"> </w:t>
            </w:r>
            <w:r w:rsidRPr="00441466">
              <w:rPr>
                <w:rFonts w:ascii="Cambria Math" w:hAnsi="Cambria Math" w:cs="Arial"/>
                <w:iCs/>
              </w:rPr>
              <w:t>1.000/mL[155-219]−2.233</w:t>
            </w:r>
            <w:r w:rsidR="00866900">
              <w:rPr>
                <w:rFonts w:ascii="Cambria Math" w:hAnsi="Cambria Math" w:cs="Arial"/>
                <w:iCs/>
              </w:rPr>
              <w:t xml:space="preserve"> </w:t>
            </w:r>
            <w:r w:rsidRPr="00441466">
              <w:rPr>
                <w:rFonts w:ascii="Cambria Math" w:hAnsi="Cambria Math" w:cs="Arial"/>
                <w:iCs/>
              </w:rPr>
              <w:t>x</w:t>
            </w:r>
            <w:r w:rsidR="00866900">
              <w:rPr>
                <w:rFonts w:ascii="Cambria Math" w:hAnsi="Cambria Math" w:cs="Arial"/>
                <w:iCs/>
              </w:rPr>
              <w:t xml:space="preserve"> Platelet Count </w:t>
            </w:r>
            <w:r w:rsidRPr="00441466">
              <w:rPr>
                <w:rFonts w:ascii="Cambria Math" w:hAnsi="Cambria Math" w:cs="Arial"/>
                <w:iCs/>
              </w:rPr>
              <w:t>x</w:t>
            </w:r>
            <w:r w:rsidR="00866900">
              <w:rPr>
                <w:rFonts w:ascii="Cambria Math" w:hAnsi="Cambria Math" w:cs="Arial"/>
                <w:iCs/>
              </w:rPr>
              <w:t xml:space="preserve"> </w:t>
            </w:r>
            <w:r w:rsidRPr="00441466">
              <w:rPr>
                <w:rFonts w:ascii="Cambria Math" w:hAnsi="Cambria Math" w:cs="Arial"/>
                <w:iCs/>
              </w:rPr>
              <w:t xml:space="preserve">1.000/mL[&lt;155]) </w:t>
            </w:r>
          </w:p>
        </w:tc>
      </w:tr>
      <w:tr w:rsidR="00DE2F4B" w:rsidRPr="00984917" w14:paraId="2E007CEC" w14:textId="77777777" w:rsidTr="00D46FBC">
        <w:trPr>
          <w:trHeight w:val="710"/>
        </w:trPr>
        <w:tc>
          <w:tcPr>
            <w:tcW w:w="2846" w:type="dxa"/>
            <w:vAlign w:val="center"/>
          </w:tcPr>
          <w:p w14:paraId="2CDEBDE6" w14:textId="6631E53F" w:rsidR="00DE2F4B" w:rsidRDefault="00DE2F4B" w:rsidP="00DE2F4B">
            <w:pPr>
              <w:autoSpaceDE w:val="0"/>
              <w:autoSpaceDN w:val="0"/>
              <w:jc w:val="center"/>
              <w:rPr>
                <w:rFonts w:ascii="Cambria Math" w:hAnsi="Cambria Math" w:cs="Arial"/>
                <w:iCs/>
              </w:rPr>
            </w:pPr>
            <w:r>
              <w:rPr>
                <w:rFonts w:ascii="Cambria Math" w:hAnsi="Cambria Math" w:cs="Arial"/>
                <w:iCs/>
              </w:rPr>
              <w:lastRenderedPageBreak/>
              <w:t xml:space="preserve">HSI </w:t>
            </w:r>
            <w:r>
              <w:rPr>
                <w:rFonts w:ascii="Cambria Math" w:hAnsi="Cambria Math" w:cs="Arial"/>
                <w:iCs/>
              </w:rPr>
              <w:fldChar w:fldCharType="begin"/>
            </w:r>
            <w:r>
              <w:rPr>
                <w:rFonts w:ascii="Cambria Math" w:hAnsi="Cambria Math" w:cs="Arial"/>
                <w:iCs/>
              </w:rPr>
              <w:instrText xml:space="preserve"> ADDIN ZOTERO_ITEM CSL_CITATION {"citationID":"VetPUwGc","properties":{"formattedCitation":"(13)","plainCitation":"(13)","noteIndex":0},"citationItems":[{"id":1462,"uris":["http://zotero.org/users/9313241/items/YZU8GWUU"],"itemData":{"id":1462,"type":"article-journal","abstract":"BACKGROUND/AIMS: To optimize management of nonalcoholic fatty liver disease (NAFLD), a simple screening tool is necessary. In this study, we aimed to devise a simple index of NAFLD.\nSTUDY: A cross-sectional study with 10,724 health check-up subjects (5362 cases with NAFLD versus age- and sex-matched controls) was conducted. Study subjects were randomly assigned to a derivation cohort or a validation cohort.\nRESULTS: Multivariate analysis indicated that high serum alanine aminotransferase (ALT) to serum aspartate aminotransferase (AST) ratio, high body mass index (BMI), and diabetes mellitus were independent risk factors of NAFLD (all P&lt;0.001). Using these variables, a formula was derived by a logistic regression model: hepatic steatosis index (HSI)= 8 x(ALT/AST ratio)+BMI (+2, if female; +2, if diabetes mellitus). HSI had an area under receiver-operating curve of 0.812 (95% confidence interval, 0.801-0.824). At values of &lt;30.0 or &gt;36.0, HSI ruled out NAFLD with a sensitivity of 93.1%, or detected NAFLD with a specificity of 92.4%, respectively. Of 2692 subjects with HSI &lt;30.0 or &gt;36.0 in the derivation cohort, 2305 (85.6%) were correctly classified. HSI was validated in the subsequent validation cohort.\nCONCLUSION: HSI is a simple, efficient screening tool for NAFLD that may be utilized for selecting individuals for liver ultrasonography and for determining the need for lifestyle modifications.","container-title":"Digestive and Liver Disease: Official Journal of the Italian Society of Gastroenterology and the Italian Association for the Study of the Liver","DOI":"10.1016/j.dld.2009.08.002","ISSN":"1878-3562","issue":"7","journalAbbreviation":"Dig Liver Dis","language":"eng","note":"PMID: 19766548","page":"503-508","source":"PubMed","title":"Hepatic steatosis index: a simple screening tool reflecting nonalcoholic fatty liver disease","title-short":"Hepatic steatosis index","volume":"42","author":[{"family":"Lee","given":"Jeong-Hoon"},{"family":"Kim","given":"Donghee"},{"family":"Kim","given":"Hwa Jung"},{"family":"Lee","given":"Chang-Hoon"},{"family":"Yang","given":"Jong In"},{"family":"Kim","given":"Won"},{"family":"Kim","given":"Yoon Jun"},{"family":"Yoon","given":"Jung-Hwan"},{"family":"Cho","given":"Sang-Heon"},{"family":"Sung","given":"Myung-Whun"},{"family":"Lee","given":"Hyo-Suk"}],"issued":{"date-parts":[["2010",7]]}}}],"schema":"https://github.com/citation-style-language/schema/raw/master/csl-citation.json"} </w:instrText>
            </w:r>
            <w:r>
              <w:rPr>
                <w:rFonts w:ascii="Cambria Math" w:hAnsi="Cambria Math" w:cs="Arial"/>
                <w:iCs/>
              </w:rPr>
              <w:fldChar w:fldCharType="separate"/>
            </w:r>
            <w:r w:rsidRPr="00DE2F4B">
              <w:rPr>
                <w:rFonts w:ascii="Cambria Math" w:hAnsi="Cambria Math"/>
              </w:rPr>
              <w:t>(1</w:t>
            </w:r>
            <w:r w:rsidR="006B1884">
              <w:rPr>
                <w:rFonts w:ascii="Cambria Math" w:hAnsi="Cambria Math"/>
              </w:rPr>
              <w:t>8</w:t>
            </w:r>
            <w:r w:rsidRPr="00DE2F4B">
              <w:rPr>
                <w:rFonts w:ascii="Cambria Math" w:hAnsi="Cambria Math"/>
              </w:rPr>
              <w:t>)</w:t>
            </w:r>
            <w:r>
              <w:rPr>
                <w:rFonts w:ascii="Cambria Math" w:hAnsi="Cambria Math" w:cs="Arial"/>
                <w:iCs/>
              </w:rPr>
              <w:fldChar w:fldCharType="end"/>
            </w:r>
          </w:p>
        </w:tc>
        <w:tc>
          <w:tcPr>
            <w:tcW w:w="7497" w:type="dxa"/>
            <w:vAlign w:val="center"/>
          </w:tcPr>
          <w:p w14:paraId="7827E81C" w14:textId="02C6E73E" w:rsidR="00DE2F4B" w:rsidRPr="00D46FBC" w:rsidRDefault="00DE2F4B" w:rsidP="00DE2F4B">
            <w:pPr>
              <w:autoSpaceDE w:val="0"/>
              <w:autoSpaceDN w:val="0"/>
              <w:jc w:val="center"/>
              <w:rPr>
                <w:rFonts w:ascii="Cambria Math" w:hAnsi="Cambria Math" w:cs="Arial"/>
                <w:iCs/>
              </w:rPr>
            </w:pPr>
            <w:r w:rsidRPr="00D46FBC">
              <w:rPr>
                <w:rFonts w:ascii="Cambria Math" w:hAnsi="Cambria Math" w:cs="Arial"/>
                <w:iCs/>
              </w:rPr>
              <w:t>8 × ALT/AST + BMI (+2, if type 2 diabetes; +2, if female)</w:t>
            </w:r>
          </w:p>
        </w:tc>
      </w:tr>
      <w:bookmarkEnd w:id="0"/>
    </w:tbl>
    <w:p w14:paraId="3E0293E3" w14:textId="77777777" w:rsidR="00DB0CA9" w:rsidRDefault="00DB0CA9" w:rsidP="00635D52">
      <w:pPr>
        <w:spacing w:after="0" w:line="360" w:lineRule="auto"/>
        <w:jc w:val="both"/>
        <w:rPr>
          <w:rFonts w:ascii="Arial" w:hAnsi="Arial" w:cs="Arial"/>
          <w:b/>
          <w:bCs/>
          <w:lang w:val="en-US"/>
        </w:rPr>
      </w:pPr>
    </w:p>
    <w:p w14:paraId="77B06060" w14:textId="77777777" w:rsidR="00AF354A" w:rsidRDefault="00635D52" w:rsidP="00635D52">
      <w:pPr>
        <w:spacing w:after="0" w:line="360" w:lineRule="auto"/>
        <w:jc w:val="both"/>
        <w:rPr>
          <w:rFonts w:ascii="Arial" w:hAnsi="Arial" w:cs="Arial"/>
          <w:lang w:val="en-US"/>
        </w:rPr>
      </w:pPr>
      <w:r w:rsidRPr="00DA5584">
        <w:rPr>
          <w:rFonts w:ascii="Arial" w:hAnsi="Arial" w:cs="Arial"/>
          <w:b/>
          <w:bCs/>
          <w:lang w:val="en-US"/>
        </w:rPr>
        <w:t>Abbreviations:</w:t>
      </w:r>
      <w:r w:rsidRPr="00635D52">
        <w:rPr>
          <w:rFonts w:ascii="Arial" w:hAnsi="Arial" w:cs="Arial"/>
          <w:lang w:val="en-US"/>
        </w:rPr>
        <w:t xml:space="preserve"> </w:t>
      </w:r>
      <w:r w:rsidR="00E95BF1" w:rsidRPr="00DE2F4B">
        <w:rPr>
          <w:rFonts w:ascii="Arial" w:hAnsi="Arial" w:cs="Arial"/>
          <w:kern w:val="2"/>
          <w:szCs w:val="24"/>
          <w:lang w:val="en-US"/>
          <w14:ligatures w14:val="standardContextual"/>
        </w:rPr>
        <w:t xml:space="preserve">FLI, </w:t>
      </w:r>
      <w:r w:rsidR="00E95BF1" w:rsidRPr="00DE2F4B">
        <w:rPr>
          <w:rFonts w:ascii="Arial" w:hAnsi="Arial" w:cs="Arial"/>
          <w:szCs w:val="24"/>
          <w:lang w:val="en-US"/>
        </w:rPr>
        <w:t>Fatty Liver Index</w:t>
      </w:r>
      <w:r w:rsidR="00E95BF1" w:rsidRPr="00DE2F4B">
        <w:rPr>
          <w:rFonts w:ascii="Arial" w:hAnsi="Arial" w:cs="Arial"/>
          <w:kern w:val="2"/>
          <w:szCs w:val="24"/>
          <w:lang w:val="en-US"/>
          <w14:ligatures w14:val="standardContextual"/>
        </w:rPr>
        <w:t xml:space="preserve">; AAR, AST to ALT </w:t>
      </w:r>
      <w:r w:rsidR="00E95BF1" w:rsidRPr="00DE2F4B">
        <w:rPr>
          <w:rFonts w:ascii="Arial" w:hAnsi="Arial" w:cs="Arial"/>
          <w:szCs w:val="24"/>
          <w:lang w:val="en-US"/>
        </w:rPr>
        <w:t>R</w:t>
      </w:r>
      <w:r w:rsidR="00E95BF1" w:rsidRPr="00DE2F4B">
        <w:rPr>
          <w:rFonts w:ascii="Arial" w:hAnsi="Arial" w:cs="Arial"/>
          <w:kern w:val="2"/>
          <w:szCs w:val="24"/>
          <w:lang w:val="en-US"/>
          <w14:ligatures w14:val="standardContextual"/>
        </w:rPr>
        <w:t>atio;</w:t>
      </w:r>
      <w:r w:rsidR="00E95BF1" w:rsidRPr="00DE2F4B">
        <w:rPr>
          <w:rFonts w:ascii="Arial" w:hAnsi="Arial" w:cs="Arial"/>
          <w:szCs w:val="24"/>
          <w:lang w:val="en-US"/>
        </w:rPr>
        <w:t xml:space="preserve"> </w:t>
      </w:r>
      <w:r w:rsidR="00E95BF1" w:rsidRPr="00635D52">
        <w:rPr>
          <w:rFonts w:ascii="Arial" w:hAnsi="Arial" w:cs="Arial"/>
          <w:lang w:val="en-US"/>
        </w:rPr>
        <w:t>FIB-4</w:t>
      </w:r>
      <w:r w:rsidR="00E95BF1">
        <w:rPr>
          <w:rFonts w:ascii="Arial" w:hAnsi="Arial" w:cs="Arial"/>
          <w:lang w:val="en-US"/>
        </w:rPr>
        <w:t xml:space="preserve">, </w:t>
      </w:r>
      <w:r w:rsidR="00E95BF1" w:rsidRPr="00635D52">
        <w:rPr>
          <w:rFonts w:ascii="Arial" w:hAnsi="Arial" w:cs="Arial"/>
          <w:lang w:val="en-US"/>
        </w:rPr>
        <w:t>Fibrosis-4 index;</w:t>
      </w:r>
      <w:r w:rsidR="00E95BF1" w:rsidRPr="00DE2F4B">
        <w:rPr>
          <w:rFonts w:ascii="Arial" w:hAnsi="Arial" w:cs="Arial"/>
          <w:kern w:val="2"/>
          <w:szCs w:val="24"/>
          <w:lang w:val="en-US"/>
          <w14:ligatures w14:val="standardContextual"/>
        </w:rPr>
        <w:t xml:space="preserve"> mFIB-4, modified FIB-4; APRI, AST to </w:t>
      </w:r>
      <w:r w:rsidR="00E95BF1" w:rsidRPr="00DE2F4B">
        <w:rPr>
          <w:rFonts w:ascii="Arial" w:hAnsi="Arial" w:cs="Arial"/>
          <w:szCs w:val="24"/>
          <w:lang w:val="en-US"/>
        </w:rPr>
        <w:t>P</w:t>
      </w:r>
      <w:r w:rsidR="00E95BF1" w:rsidRPr="00DE2F4B">
        <w:rPr>
          <w:rFonts w:ascii="Arial" w:hAnsi="Arial" w:cs="Arial"/>
          <w:kern w:val="2"/>
          <w:szCs w:val="24"/>
          <w:lang w:val="en-US"/>
          <w14:ligatures w14:val="standardContextual"/>
        </w:rPr>
        <w:t xml:space="preserve">latelet </w:t>
      </w:r>
      <w:r w:rsidR="00E95BF1" w:rsidRPr="00DE2F4B">
        <w:rPr>
          <w:rFonts w:ascii="Arial" w:hAnsi="Arial" w:cs="Arial"/>
          <w:szCs w:val="24"/>
          <w:lang w:val="en-US"/>
        </w:rPr>
        <w:t>R</w:t>
      </w:r>
      <w:r w:rsidR="00E95BF1" w:rsidRPr="00DE2F4B">
        <w:rPr>
          <w:rFonts w:ascii="Arial" w:hAnsi="Arial" w:cs="Arial"/>
          <w:kern w:val="2"/>
          <w:szCs w:val="24"/>
          <w:lang w:val="en-US"/>
          <w14:ligatures w14:val="standardContextual"/>
        </w:rPr>
        <w:t xml:space="preserve">atio </w:t>
      </w:r>
      <w:r w:rsidR="00E95BF1" w:rsidRPr="00DE2F4B">
        <w:rPr>
          <w:rFonts w:ascii="Arial" w:hAnsi="Arial" w:cs="Arial"/>
          <w:szCs w:val="24"/>
          <w:lang w:val="en-US"/>
        </w:rPr>
        <w:t>I</w:t>
      </w:r>
      <w:r w:rsidR="00E95BF1" w:rsidRPr="00DE2F4B">
        <w:rPr>
          <w:rFonts w:ascii="Arial" w:hAnsi="Arial" w:cs="Arial"/>
          <w:kern w:val="2"/>
          <w:szCs w:val="24"/>
          <w:lang w:val="en-US"/>
          <w14:ligatures w14:val="standardContextual"/>
        </w:rPr>
        <w:t xml:space="preserve">ndex; mAPRI, modified APRI; AARPRI, (AST to ALT ratio) to Platelet Ratio Index; API, Atherosclerosis Plasma Index; VAI, Visceral Adiposity Index; NFS, </w:t>
      </w:r>
      <w:r w:rsidR="00E95BF1" w:rsidRPr="00635D52">
        <w:rPr>
          <w:rFonts w:ascii="Arial" w:hAnsi="Arial" w:cs="Arial"/>
          <w:lang w:val="en-US"/>
        </w:rPr>
        <w:t xml:space="preserve">NAFLD </w:t>
      </w:r>
      <w:r w:rsidR="00E95BF1">
        <w:rPr>
          <w:rFonts w:ascii="Arial" w:hAnsi="Arial" w:cs="Arial"/>
          <w:lang w:val="en-US"/>
        </w:rPr>
        <w:t>F</w:t>
      </w:r>
      <w:r w:rsidR="00E95BF1" w:rsidRPr="00635D52">
        <w:rPr>
          <w:rFonts w:ascii="Arial" w:hAnsi="Arial" w:cs="Arial"/>
          <w:lang w:val="en-US"/>
        </w:rPr>
        <w:t xml:space="preserve">ibrosis </w:t>
      </w:r>
      <w:r w:rsidR="00E95BF1">
        <w:rPr>
          <w:rFonts w:ascii="Arial" w:hAnsi="Arial" w:cs="Arial"/>
          <w:lang w:val="en-US"/>
        </w:rPr>
        <w:t>S</w:t>
      </w:r>
      <w:r w:rsidR="00E95BF1" w:rsidRPr="00635D52">
        <w:rPr>
          <w:rFonts w:ascii="Arial" w:hAnsi="Arial" w:cs="Arial"/>
          <w:lang w:val="en-US"/>
        </w:rPr>
        <w:t xml:space="preserve">core; </w:t>
      </w:r>
      <w:r w:rsidR="00E95BF1">
        <w:rPr>
          <w:rFonts w:ascii="Arial" w:hAnsi="Arial" w:cs="Arial"/>
          <w:lang w:val="en-US"/>
        </w:rPr>
        <w:t xml:space="preserve">NAFLD-FAT: NAFLD- Liver Fat Score; </w:t>
      </w:r>
      <w:r w:rsidR="00E95BF1" w:rsidRPr="00635D52">
        <w:rPr>
          <w:rFonts w:ascii="Arial" w:hAnsi="Arial" w:cs="Arial"/>
          <w:lang w:val="en-US"/>
        </w:rPr>
        <w:t xml:space="preserve">BAAT: BMI, ALT, </w:t>
      </w:r>
      <w:r w:rsidR="00E95BF1">
        <w:rPr>
          <w:rFonts w:ascii="Arial" w:hAnsi="Arial" w:cs="Arial"/>
          <w:lang w:val="en-US"/>
        </w:rPr>
        <w:t>A</w:t>
      </w:r>
      <w:r w:rsidR="00E95BF1" w:rsidRPr="00635D52">
        <w:rPr>
          <w:rFonts w:ascii="Arial" w:hAnsi="Arial" w:cs="Arial"/>
          <w:lang w:val="en-US"/>
        </w:rPr>
        <w:t xml:space="preserve">ge and </w:t>
      </w:r>
      <w:r w:rsidR="00E95BF1">
        <w:rPr>
          <w:rFonts w:ascii="Arial" w:hAnsi="Arial" w:cs="Arial"/>
          <w:lang w:val="en-US"/>
        </w:rPr>
        <w:t>T</w:t>
      </w:r>
      <w:r w:rsidR="00E95BF1" w:rsidRPr="00635D52">
        <w:rPr>
          <w:rFonts w:ascii="Arial" w:hAnsi="Arial" w:cs="Arial"/>
          <w:lang w:val="en-US"/>
        </w:rPr>
        <w:t>riglycerides</w:t>
      </w:r>
      <w:r w:rsidR="00984917">
        <w:rPr>
          <w:rFonts w:ascii="Arial" w:hAnsi="Arial" w:cs="Arial"/>
          <w:lang w:val="en-US"/>
        </w:rPr>
        <w:t xml:space="preserve">; HSI, Hepatic Steatotic Index. </w:t>
      </w:r>
    </w:p>
    <w:p w14:paraId="758A33D9" w14:textId="77777777" w:rsidR="00984917" w:rsidRDefault="00984917" w:rsidP="00635D52">
      <w:pPr>
        <w:spacing w:after="0" w:line="360" w:lineRule="auto"/>
        <w:jc w:val="both"/>
        <w:rPr>
          <w:rFonts w:ascii="Arial" w:hAnsi="Arial" w:cs="Arial"/>
          <w:lang w:val="en-US"/>
        </w:rPr>
      </w:pPr>
    </w:p>
    <w:p w14:paraId="180EC328" w14:textId="77777777" w:rsidR="00C95611" w:rsidRDefault="00C95611" w:rsidP="00635D52">
      <w:pPr>
        <w:spacing w:after="0" w:line="360" w:lineRule="auto"/>
        <w:jc w:val="both"/>
        <w:rPr>
          <w:rFonts w:ascii="Arial" w:hAnsi="Arial" w:cs="Arial"/>
          <w:lang w:val="en-US"/>
        </w:rPr>
      </w:pPr>
    </w:p>
    <w:p w14:paraId="11FE9C33" w14:textId="49D564EA" w:rsidR="007B3716" w:rsidRPr="00984917" w:rsidRDefault="00DA5584" w:rsidP="00866900">
      <w:pPr>
        <w:spacing w:after="0" w:line="360" w:lineRule="auto"/>
        <w:jc w:val="both"/>
        <w:rPr>
          <w:rFonts w:ascii="Arial" w:hAnsi="Arial" w:cs="Arial"/>
          <w:b/>
          <w:bCs/>
          <w:lang w:val="en-US"/>
        </w:rPr>
      </w:pPr>
      <w:r w:rsidRPr="00984917">
        <w:rPr>
          <w:rFonts w:ascii="Arial" w:hAnsi="Arial" w:cs="Arial"/>
          <w:b/>
          <w:bCs/>
          <w:lang w:val="en-US"/>
        </w:rPr>
        <w:t>References</w:t>
      </w:r>
    </w:p>
    <w:p w14:paraId="4F3E6309" w14:textId="77777777" w:rsidR="00DE2F4B" w:rsidRPr="001F1DA4" w:rsidRDefault="007B3716" w:rsidP="00866900">
      <w:pPr>
        <w:pStyle w:val="Bibliography"/>
        <w:jc w:val="both"/>
        <w:rPr>
          <w:rFonts w:ascii="Segoe UI" w:hAnsi="Segoe UI" w:cs="Segoe UI"/>
          <w:sz w:val="20"/>
          <w:lang w:val="en-US"/>
        </w:rPr>
      </w:pPr>
      <w:r w:rsidRPr="001F1DA4">
        <w:rPr>
          <w:rFonts w:ascii="Segoe UI" w:eastAsia="Times New Roman" w:hAnsi="Segoe UI" w:cs="Segoe UI"/>
          <w:color w:val="212121"/>
          <w:lang w:val="en-US" w:eastAsia="it-IT"/>
        </w:rPr>
        <w:fldChar w:fldCharType="begin"/>
      </w:r>
      <w:r w:rsidR="00DE2F4B" w:rsidRPr="001F1DA4">
        <w:rPr>
          <w:rFonts w:ascii="Segoe UI" w:eastAsia="Times New Roman" w:hAnsi="Segoe UI" w:cs="Segoe UI"/>
          <w:color w:val="212121"/>
          <w:lang w:eastAsia="it-IT"/>
        </w:rPr>
        <w:instrText xml:space="preserve"> ADDIN ZOTERO_BIBL {"uncited":[],"omitted":[],"custom":[]} CSL_BIBLIOGRAPHY </w:instrText>
      </w:r>
      <w:r w:rsidRPr="001F1DA4">
        <w:rPr>
          <w:rFonts w:ascii="Segoe UI" w:eastAsia="Times New Roman" w:hAnsi="Segoe UI" w:cs="Segoe UI"/>
          <w:color w:val="212121"/>
          <w:lang w:val="en-US" w:eastAsia="it-IT"/>
        </w:rPr>
        <w:fldChar w:fldCharType="separate"/>
      </w:r>
      <w:r w:rsidR="00DE2F4B" w:rsidRPr="001F1DA4">
        <w:rPr>
          <w:rFonts w:ascii="Segoe UI" w:hAnsi="Segoe UI" w:cs="Segoe UI"/>
          <w:sz w:val="20"/>
        </w:rPr>
        <w:t>1.</w:t>
      </w:r>
      <w:r w:rsidR="00DE2F4B" w:rsidRPr="001F1DA4">
        <w:rPr>
          <w:rFonts w:ascii="Segoe UI" w:hAnsi="Segoe UI" w:cs="Segoe UI"/>
          <w:sz w:val="20"/>
        </w:rPr>
        <w:tab/>
        <w:t xml:space="preserve">Bedogni G, Bellentani S, Miglioli L, Masutti F, Passalacqua M, Castiglione A, et al. </w:t>
      </w:r>
      <w:r w:rsidR="00DE2F4B" w:rsidRPr="001F1DA4">
        <w:rPr>
          <w:rFonts w:ascii="Segoe UI" w:hAnsi="Segoe UI" w:cs="Segoe UI"/>
          <w:sz w:val="20"/>
          <w:lang w:val="en-US"/>
        </w:rPr>
        <w:t xml:space="preserve">The Fatty Liver Index: a simple and accurate predictor of hepatic steatosis in the general population. BMC Gastroenterol. 2006 Nov 2;6:33. </w:t>
      </w:r>
    </w:p>
    <w:p w14:paraId="276A1EF3" w14:textId="77777777" w:rsidR="00DE2F4B" w:rsidRPr="001F1DA4" w:rsidRDefault="00DE2F4B" w:rsidP="00866900">
      <w:pPr>
        <w:pStyle w:val="Bibliography"/>
        <w:jc w:val="both"/>
        <w:rPr>
          <w:rFonts w:ascii="Segoe UI" w:hAnsi="Segoe UI" w:cs="Segoe UI"/>
          <w:sz w:val="20"/>
          <w:lang w:val="en-US"/>
        </w:rPr>
      </w:pPr>
      <w:r w:rsidRPr="001F1DA4">
        <w:rPr>
          <w:rFonts w:ascii="Segoe UI" w:hAnsi="Segoe UI" w:cs="Segoe UI"/>
          <w:sz w:val="20"/>
          <w:lang w:val="en-US"/>
        </w:rPr>
        <w:t>2.</w:t>
      </w:r>
      <w:r w:rsidRPr="001F1DA4">
        <w:rPr>
          <w:rFonts w:ascii="Segoe UI" w:hAnsi="Segoe UI" w:cs="Segoe UI"/>
          <w:sz w:val="20"/>
          <w:lang w:val="en-US"/>
        </w:rPr>
        <w:tab/>
        <w:t xml:space="preserve">Botros M, Sikaris KA. The de ritis ratio: the test of time. Clin Biochem Rev. 2013 Nov;34(3):117–30. </w:t>
      </w:r>
    </w:p>
    <w:p w14:paraId="2D32101E" w14:textId="77777777" w:rsidR="00DE2F4B" w:rsidRPr="001F1DA4" w:rsidRDefault="00DE2F4B" w:rsidP="00866900">
      <w:pPr>
        <w:pStyle w:val="Bibliography"/>
        <w:jc w:val="both"/>
        <w:rPr>
          <w:rFonts w:ascii="Segoe UI" w:hAnsi="Segoe UI" w:cs="Segoe UI"/>
          <w:sz w:val="20"/>
          <w:lang w:val="en-US"/>
        </w:rPr>
      </w:pPr>
      <w:r w:rsidRPr="001F1DA4">
        <w:rPr>
          <w:rFonts w:ascii="Segoe UI" w:hAnsi="Segoe UI" w:cs="Segoe UI"/>
          <w:sz w:val="20"/>
          <w:lang w:val="en-US"/>
        </w:rPr>
        <w:t>3.</w:t>
      </w:r>
      <w:r w:rsidRPr="001F1DA4">
        <w:rPr>
          <w:rFonts w:ascii="Segoe UI" w:hAnsi="Segoe UI" w:cs="Segoe UI"/>
          <w:sz w:val="20"/>
          <w:lang w:val="en-US"/>
        </w:rPr>
        <w:tab/>
        <w:t xml:space="preserve">Sterling RK, Lissen E, Clumeck N, Sola R, Correa MC, Montaner J, et al. Development of a simple noninvasive index to predict significant fibrosis in patients with HIV/HCV coinfection. Hepatol Baltim Md. 2006 Jun;43(6):1317–25. </w:t>
      </w:r>
    </w:p>
    <w:p w14:paraId="74A11F72" w14:textId="77777777" w:rsidR="00DE2F4B" w:rsidRPr="001F1DA4" w:rsidRDefault="00DE2F4B" w:rsidP="00866900">
      <w:pPr>
        <w:pStyle w:val="Bibliography"/>
        <w:jc w:val="both"/>
        <w:rPr>
          <w:rFonts w:ascii="Segoe UI" w:hAnsi="Segoe UI" w:cs="Segoe UI"/>
          <w:sz w:val="20"/>
          <w:lang w:val="en-US"/>
        </w:rPr>
      </w:pPr>
      <w:r w:rsidRPr="001F1DA4">
        <w:rPr>
          <w:rFonts w:ascii="Segoe UI" w:hAnsi="Segoe UI" w:cs="Segoe UI"/>
          <w:sz w:val="20"/>
          <w:lang w:val="en-US"/>
        </w:rPr>
        <w:t>4.</w:t>
      </w:r>
      <w:r w:rsidRPr="001F1DA4">
        <w:rPr>
          <w:rFonts w:ascii="Segoe UI" w:hAnsi="Segoe UI" w:cs="Segoe UI"/>
          <w:sz w:val="20"/>
          <w:lang w:val="en-US"/>
        </w:rPr>
        <w:tab/>
        <w:t xml:space="preserve">Wang HW, Peng CY, Lai HC, Su WP, Lin CH, Chuang PH, et al. New noninvasive index for predicting liver fibrosis in Asian patients with chronic viral hepatitis. Sci Rep. 2017 Jun 12;7(1):3259. </w:t>
      </w:r>
    </w:p>
    <w:p w14:paraId="64403C5E" w14:textId="77777777" w:rsidR="00DE2F4B" w:rsidRPr="001F1DA4" w:rsidRDefault="00DE2F4B" w:rsidP="00866900">
      <w:pPr>
        <w:pStyle w:val="Bibliography"/>
        <w:jc w:val="both"/>
        <w:rPr>
          <w:rFonts w:ascii="Segoe UI" w:hAnsi="Segoe UI" w:cs="Segoe UI"/>
          <w:sz w:val="20"/>
          <w:lang w:val="en-US"/>
        </w:rPr>
      </w:pPr>
      <w:r w:rsidRPr="001F1DA4">
        <w:rPr>
          <w:rFonts w:ascii="Segoe UI" w:hAnsi="Segoe UI" w:cs="Segoe UI"/>
          <w:sz w:val="20"/>
          <w:lang w:val="en-US"/>
        </w:rPr>
        <w:t>5.</w:t>
      </w:r>
      <w:r w:rsidRPr="001F1DA4">
        <w:rPr>
          <w:rFonts w:ascii="Segoe UI" w:hAnsi="Segoe UI" w:cs="Segoe UI"/>
          <w:sz w:val="20"/>
          <w:lang w:val="en-US"/>
        </w:rPr>
        <w:tab/>
        <w:t xml:space="preserve">Wai CT, Greenson JK, Fontana RJ, Kalbfleisch JD, Marrero JA, Conjeevaram HS, et al. A simple noninvasive index can predict both significant fibrosis and cirrhosis in patients with chronic hepatitis C. Hepatol Baltim Md. 2003 Aug;38(2):518–26. </w:t>
      </w:r>
    </w:p>
    <w:p w14:paraId="4ED8096D" w14:textId="77777777" w:rsidR="001F1DA4" w:rsidRDefault="00DE2F4B" w:rsidP="001F1DA4">
      <w:pPr>
        <w:pStyle w:val="Bibliography"/>
        <w:jc w:val="both"/>
        <w:rPr>
          <w:rFonts w:ascii="Segoe UI" w:hAnsi="Segoe UI" w:cs="Segoe UI"/>
          <w:sz w:val="20"/>
          <w:lang w:val="en-US"/>
        </w:rPr>
      </w:pPr>
      <w:r w:rsidRPr="001F1DA4">
        <w:rPr>
          <w:rFonts w:ascii="Segoe UI" w:hAnsi="Segoe UI" w:cs="Segoe UI"/>
          <w:sz w:val="20"/>
          <w:lang w:val="en-US"/>
        </w:rPr>
        <w:t>6.</w:t>
      </w:r>
      <w:r w:rsidRPr="001F1DA4">
        <w:rPr>
          <w:rFonts w:ascii="Segoe UI" w:hAnsi="Segoe UI" w:cs="Segoe UI"/>
          <w:sz w:val="20"/>
          <w:lang w:val="en-US"/>
        </w:rPr>
        <w:tab/>
        <w:t xml:space="preserve">Lin ZH, Xin YN, Dong QJ, Wang Q, Jiang XJ, Zhan SH, et al. Performance of the aspartate aminotransferase-to-platelet ratio index for the staging of hepatitis C-related fibrosis: an updated meta-analysis. Hepatol Baltim Md. 2011 Mar;53(3):726–36. </w:t>
      </w:r>
    </w:p>
    <w:p w14:paraId="0A43C342" w14:textId="67CD54A8" w:rsidR="006B18D7" w:rsidRPr="001F1DA4" w:rsidRDefault="006B18D7" w:rsidP="001F1DA4">
      <w:pPr>
        <w:pStyle w:val="Bibliography"/>
        <w:jc w:val="both"/>
        <w:rPr>
          <w:rFonts w:ascii="Segoe UI" w:hAnsi="Segoe UI" w:cs="Segoe UI"/>
          <w:sz w:val="20"/>
          <w:lang w:val="en-US"/>
        </w:rPr>
      </w:pPr>
      <w:r w:rsidRPr="001F1DA4">
        <w:rPr>
          <w:lang w:val="en-US"/>
        </w:rPr>
        <w:t xml:space="preserve">7. </w:t>
      </w:r>
      <w:r w:rsidR="001F1DA4">
        <w:rPr>
          <w:lang w:val="en-US"/>
        </w:rPr>
        <w:t xml:space="preserve">  </w:t>
      </w:r>
      <w:r w:rsidRPr="001F1DA4">
        <w:rPr>
          <w:lang w:val="en-US"/>
        </w:rPr>
        <w:t>Huang C, Seah JJ, Tan CK, et al. Modified AST to platelet ratio index improves APRI and better predicts advanced fibrosis and liver cirrhosis in patients with non-alcoholic fatty liver disease. Clin Res Hepatol Gastroenterol. 2021;45(4):101528. doi:10.1016/j.clinre.2020.08.006</w:t>
      </w:r>
    </w:p>
    <w:p w14:paraId="1DAFBFED" w14:textId="77777777" w:rsidR="00A671BC" w:rsidRDefault="006B18D7" w:rsidP="00A671BC">
      <w:pPr>
        <w:pStyle w:val="Bibliography"/>
        <w:jc w:val="both"/>
        <w:rPr>
          <w:rFonts w:ascii="Segoe UI" w:hAnsi="Segoe UI" w:cs="Segoe UI"/>
          <w:sz w:val="20"/>
          <w:lang w:val="en-US"/>
        </w:rPr>
      </w:pPr>
      <w:r w:rsidRPr="001F1DA4">
        <w:rPr>
          <w:rFonts w:ascii="Segoe UI" w:hAnsi="Segoe UI" w:cs="Segoe UI"/>
          <w:sz w:val="20"/>
          <w:lang w:val="en-US"/>
        </w:rPr>
        <w:t>8</w:t>
      </w:r>
      <w:r w:rsidR="00DE2F4B" w:rsidRPr="001F1DA4">
        <w:rPr>
          <w:rFonts w:ascii="Segoe UI" w:hAnsi="Segoe UI" w:cs="Segoe UI"/>
          <w:sz w:val="20"/>
          <w:lang w:val="en-US"/>
        </w:rPr>
        <w:t>.</w:t>
      </w:r>
      <w:r w:rsidR="00DE2F4B" w:rsidRPr="001F1DA4">
        <w:rPr>
          <w:rFonts w:ascii="Segoe UI" w:hAnsi="Segoe UI" w:cs="Segoe UI"/>
          <w:sz w:val="20"/>
          <w:lang w:val="en-US"/>
        </w:rPr>
        <w:tab/>
        <w:t xml:space="preserve">Tseng PL, Wang JH, Hung CH, Tung HD, Chen TM, Huang WS, et al. Comparisons of noninvasive indices based on daily practice parameters for predicting liver cirrhosis in chronic hepatitis B and hepatitis C patients in hospital and community populations. Kaohsiung J Med Sci. 2013 Jul;29(7):385–95. </w:t>
      </w:r>
    </w:p>
    <w:p w14:paraId="261E21BC" w14:textId="48486DF9" w:rsidR="00A671BC" w:rsidRPr="00A671BC" w:rsidRDefault="00A671BC" w:rsidP="00A671BC">
      <w:pPr>
        <w:pStyle w:val="Bibliography"/>
        <w:jc w:val="both"/>
        <w:rPr>
          <w:rFonts w:ascii="Segoe UI" w:hAnsi="Segoe UI" w:cs="Segoe UI"/>
          <w:sz w:val="20"/>
          <w:lang w:val="en-US"/>
        </w:rPr>
      </w:pPr>
      <w:r>
        <w:rPr>
          <w:lang w:val="en-US"/>
        </w:rPr>
        <w:t xml:space="preserve">9. </w:t>
      </w:r>
      <w:r w:rsidRPr="00A671BC">
        <w:rPr>
          <w:lang w:val="en-US"/>
        </w:rPr>
        <w:t>Poynard T, Bedossa P. Age and platelet count: a simple index for predicting the presence of histological lesions in patients with antibodies to hepatitis C virus. METAVIR and CLINIVIR Cooperative Study Groups. J Viral Hepat. 1997;4(3):199-208. doi:10.1046/j.1365-2893.1997.00141.x</w:t>
      </w:r>
    </w:p>
    <w:p w14:paraId="040F1E07" w14:textId="2E6952F6" w:rsidR="00DE2F4B" w:rsidRPr="00984917" w:rsidRDefault="00A671BC" w:rsidP="00866900">
      <w:pPr>
        <w:pStyle w:val="Bibliography"/>
        <w:jc w:val="both"/>
        <w:rPr>
          <w:rFonts w:ascii="Segoe UI" w:hAnsi="Segoe UI" w:cs="Segoe UI"/>
          <w:sz w:val="20"/>
        </w:rPr>
      </w:pPr>
      <w:r>
        <w:rPr>
          <w:rFonts w:ascii="Segoe UI" w:hAnsi="Segoe UI" w:cs="Segoe UI"/>
          <w:sz w:val="20"/>
          <w:lang w:val="en-US"/>
        </w:rPr>
        <w:t>10</w:t>
      </w:r>
      <w:r w:rsidR="00DE2F4B" w:rsidRPr="001F1DA4">
        <w:rPr>
          <w:rFonts w:ascii="Segoe UI" w:hAnsi="Segoe UI" w:cs="Segoe UI"/>
          <w:sz w:val="20"/>
          <w:lang w:val="en-US"/>
        </w:rPr>
        <w:t>.</w:t>
      </w:r>
      <w:r w:rsidR="00DE2F4B" w:rsidRPr="001F1DA4">
        <w:rPr>
          <w:rFonts w:ascii="Segoe UI" w:hAnsi="Segoe UI" w:cs="Segoe UI"/>
          <w:sz w:val="20"/>
          <w:lang w:val="en-US"/>
        </w:rPr>
        <w:tab/>
        <w:t xml:space="preserve">Harrison SA, Oliver D, Arnold HL, Gogia S, Neuschwander-Tetri BA. Development and validation of a simple NAFLD clinical scoring system for identifying patients without advanced disease. </w:t>
      </w:r>
      <w:r w:rsidR="00DE2F4B" w:rsidRPr="00984917">
        <w:rPr>
          <w:rFonts w:ascii="Segoe UI" w:hAnsi="Segoe UI" w:cs="Segoe UI"/>
          <w:sz w:val="20"/>
        </w:rPr>
        <w:t xml:space="preserve">Gut. 2008 Apr 29;57(10):1441–7. </w:t>
      </w:r>
    </w:p>
    <w:p w14:paraId="5DA3ADFC" w14:textId="448113B8" w:rsidR="006B18D7" w:rsidRPr="001F1DA4" w:rsidRDefault="00A671BC" w:rsidP="00866900">
      <w:pPr>
        <w:pStyle w:val="Bibliography"/>
        <w:jc w:val="both"/>
        <w:rPr>
          <w:rFonts w:ascii="Segoe UI" w:hAnsi="Segoe UI" w:cs="Segoe UI"/>
          <w:sz w:val="20"/>
          <w:lang w:val="en-US"/>
        </w:rPr>
      </w:pPr>
      <w:r>
        <w:rPr>
          <w:rFonts w:ascii="Segoe UI" w:hAnsi="Segoe UI" w:cs="Segoe UI"/>
          <w:sz w:val="20"/>
        </w:rPr>
        <w:lastRenderedPageBreak/>
        <w:t>11</w:t>
      </w:r>
      <w:r w:rsidR="00DE2F4B" w:rsidRPr="001F1DA4">
        <w:rPr>
          <w:rFonts w:ascii="Segoe UI" w:hAnsi="Segoe UI" w:cs="Segoe UI"/>
          <w:sz w:val="20"/>
        </w:rPr>
        <w:t>.</w:t>
      </w:r>
      <w:r w:rsidR="00DE2F4B" w:rsidRPr="001F1DA4">
        <w:rPr>
          <w:rFonts w:ascii="Segoe UI" w:hAnsi="Segoe UI" w:cs="Segoe UI"/>
          <w:sz w:val="20"/>
        </w:rPr>
        <w:tab/>
      </w:r>
      <w:r w:rsidR="006B18D7" w:rsidRPr="001F1DA4">
        <w:rPr>
          <w:rFonts w:ascii="Segoe UI" w:hAnsi="Segoe UI" w:cs="Segoe UI"/>
          <w:sz w:val="20"/>
        </w:rPr>
        <w:t xml:space="preserve">Amato MC, Giordano C, Galia M, et al. </w:t>
      </w:r>
      <w:r w:rsidR="006B18D7" w:rsidRPr="001F1DA4">
        <w:rPr>
          <w:rFonts w:ascii="Segoe UI" w:hAnsi="Segoe UI" w:cs="Segoe UI"/>
          <w:sz w:val="20"/>
          <w:lang w:val="en-US"/>
        </w:rPr>
        <w:t>Visceral Adiposity Index: a reliable indicator of visceral fat function associated with cardiometabolic risk. Diabetes Care. 2010;33(4):920-922. doi:10.2337/dc09-1825</w:t>
      </w:r>
    </w:p>
    <w:p w14:paraId="52FFAFFC" w14:textId="0486DF65" w:rsidR="00DE2F4B" w:rsidRPr="001F1DA4" w:rsidRDefault="00A671BC" w:rsidP="00866900">
      <w:pPr>
        <w:pStyle w:val="Bibliography"/>
        <w:jc w:val="both"/>
        <w:rPr>
          <w:rFonts w:ascii="Segoe UI" w:hAnsi="Segoe UI" w:cs="Segoe UI"/>
          <w:sz w:val="20"/>
          <w:lang w:val="en-US"/>
        </w:rPr>
      </w:pPr>
      <w:r>
        <w:rPr>
          <w:rFonts w:ascii="Segoe UI" w:hAnsi="Segoe UI" w:cs="Segoe UI"/>
          <w:sz w:val="20"/>
          <w:lang w:val="en-US"/>
        </w:rPr>
        <w:t>12</w:t>
      </w:r>
      <w:r w:rsidR="006B18D7" w:rsidRPr="001F1DA4">
        <w:rPr>
          <w:rFonts w:ascii="Segoe UI" w:hAnsi="Segoe UI" w:cs="Segoe UI"/>
          <w:sz w:val="20"/>
          <w:lang w:val="en-US"/>
        </w:rPr>
        <w:t xml:space="preserve">. </w:t>
      </w:r>
      <w:r w:rsidR="00DE2F4B" w:rsidRPr="001F1DA4">
        <w:rPr>
          <w:rFonts w:ascii="Segoe UI" w:hAnsi="Segoe UI" w:cs="Segoe UI"/>
          <w:sz w:val="20"/>
          <w:lang w:val="en-US"/>
        </w:rPr>
        <w:t xml:space="preserve">Angulo P, Hui JM, Marchesini G, Bugianesi E, George J, Farrell GC, et al. The NAFLD fibrosis score: a noninvasive system that identifies liver fibrosis in patients with NAFLD. Hepatol Baltim Md. 2007 Apr;45(4):846–54. </w:t>
      </w:r>
    </w:p>
    <w:p w14:paraId="360F2E4A" w14:textId="4B852138" w:rsidR="00DE2F4B" w:rsidRPr="001F1DA4" w:rsidRDefault="00A671BC" w:rsidP="00866900">
      <w:pPr>
        <w:pStyle w:val="Bibliography"/>
        <w:jc w:val="both"/>
        <w:rPr>
          <w:rFonts w:ascii="Segoe UI" w:hAnsi="Segoe UI" w:cs="Segoe UI"/>
          <w:sz w:val="20"/>
          <w:lang w:val="en-US"/>
        </w:rPr>
      </w:pPr>
      <w:r>
        <w:rPr>
          <w:rFonts w:ascii="Segoe UI" w:hAnsi="Segoe UI" w:cs="Segoe UI"/>
          <w:sz w:val="20"/>
          <w:lang w:val="en-US"/>
        </w:rPr>
        <w:t>13</w:t>
      </w:r>
      <w:r w:rsidR="00DE2F4B" w:rsidRPr="001F1DA4">
        <w:rPr>
          <w:rFonts w:ascii="Segoe UI" w:hAnsi="Segoe UI" w:cs="Segoe UI"/>
          <w:sz w:val="20"/>
          <w:lang w:val="en-US"/>
        </w:rPr>
        <w:t>.</w:t>
      </w:r>
      <w:r w:rsidR="00DE2F4B" w:rsidRPr="001F1DA4">
        <w:rPr>
          <w:rFonts w:ascii="Segoe UI" w:hAnsi="Segoe UI" w:cs="Segoe UI"/>
          <w:sz w:val="20"/>
          <w:lang w:val="en-US"/>
        </w:rPr>
        <w:tab/>
        <w:t xml:space="preserve">Yip TCF, Ma AJ, Wong VWS, Tse YK, Chan HLY, Yuen PC, et al. Laboratory parameter-based machine learning model for excluding non-alcoholic fatty liver disease (NAFLD) in the general population. Aliment Pharmacol Ther. 2017 Aug;46(4):447–56. </w:t>
      </w:r>
    </w:p>
    <w:p w14:paraId="7F6F9B41" w14:textId="25516FA0" w:rsidR="00DE2F4B" w:rsidRPr="001F1DA4" w:rsidRDefault="00A671BC" w:rsidP="00866900">
      <w:pPr>
        <w:pStyle w:val="Bibliography"/>
        <w:jc w:val="both"/>
        <w:rPr>
          <w:rFonts w:ascii="Segoe UI" w:hAnsi="Segoe UI" w:cs="Segoe UI"/>
          <w:sz w:val="20"/>
          <w:lang w:val="en-US"/>
        </w:rPr>
      </w:pPr>
      <w:r>
        <w:rPr>
          <w:rFonts w:ascii="Segoe UI" w:hAnsi="Segoe UI" w:cs="Segoe UI"/>
          <w:sz w:val="20"/>
          <w:lang w:val="en-US"/>
        </w:rPr>
        <w:t>14</w:t>
      </w:r>
      <w:r w:rsidR="00DE2F4B" w:rsidRPr="001F1DA4">
        <w:rPr>
          <w:rFonts w:ascii="Segoe UI" w:hAnsi="Segoe UI" w:cs="Segoe UI"/>
          <w:sz w:val="20"/>
          <w:lang w:val="en-US"/>
        </w:rPr>
        <w:t>.</w:t>
      </w:r>
      <w:r w:rsidR="00DE2F4B" w:rsidRPr="001F1DA4">
        <w:rPr>
          <w:rFonts w:ascii="Segoe UI" w:hAnsi="Segoe UI" w:cs="Segoe UI"/>
          <w:sz w:val="20"/>
          <w:lang w:val="en-US"/>
        </w:rPr>
        <w:tab/>
        <w:t xml:space="preserve">Kotronen A, Peltonen M, Hakkarainen A, Sevastianova K, Bergholm R, Johansson LM, et al. Prediction of non-alcoholic fatty liver disease and liver fat using metabolic and genetic factors. Gastroenterology. 2009 Sep;137(3):865–72. </w:t>
      </w:r>
    </w:p>
    <w:p w14:paraId="77A40CAA" w14:textId="2BA131F6" w:rsidR="00DE2F4B" w:rsidRPr="001F1DA4" w:rsidRDefault="00A671BC" w:rsidP="00866900">
      <w:pPr>
        <w:pStyle w:val="Bibliography"/>
        <w:jc w:val="both"/>
        <w:rPr>
          <w:rFonts w:ascii="Segoe UI" w:hAnsi="Segoe UI" w:cs="Segoe UI"/>
          <w:sz w:val="20"/>
          <w:lang w:val="en-US"/>
        </w:rPr>
      </w:pPr>
      <w:r>
        <w:rPr>
          <w:rFonts w:ascii="Segoe UI" w:hAnsi="Segoe UI" w:cs="Segoe UI"/>
          <w:sz w:val="20"/>
          <w:lang w:val="en-US"/>
        </w:rPr>
        <w:t>15</w:t>
      </w:r>
      <w:r w:rsidR="00DE2F4B" w:rsidRPr="001F1DA4">
        <w:rPr>
          <w:rFonts w:ascii="Segoe UI" w:hAnsi="Segoe UI" w:cs="Segoe UI"/>
          <w:sz w:val="20"/>
          <w:lang w:val="en-US"/>
        </w:rPr>
        <w:t>.</w:t>
      </w:r>
      <w:r w:rsidR="00DE2F4B" w:rsidRPr="001F1DA4">
        <w:rPr>
          <w:rFonts w:ascii="Segoe UI" w:hAnsi="Segoe UI" w:cs="Segoe UI"/>
          <w:sz w:val="20"/>
          <w:lang w:val="en-US"/>
        </w:rPr>
        <w:tab/>
        <w:t xml:space="preserve">Ratziu V, Giral P, Charlotte F, Bruckert E, Thibault V, Theodorou I, et al. Liver fibrosis in overweight patients. Gastroenterology. 2000 Jun;118(6):1117–23. </w:t>
      </w:r>
    </w:p>
    <w:p w14:paraId="4A511E4F" w14:textId="6698C14C" w:rsidR="001F1DA4" w:rsidRPr="001F1DA4" w:rsidRDefault="00A671BC" w:rsidP="00866900">
      <w:pPr>
        <w:pStyle w:val="Bibliography"/>
        <w:jc w:val="both"/>
        <w:rPr>
          <w:rFonts w:ascii="Segoe UI" w:hAnsi="Segoe UI" w:cs="Segoe UI"/>
          <w:sz w:val="20"/>
          <w:lang w:val="en-US"/>
        </w:rPr>
      </w:pPr>
      <w:r>
        <w:rPr>
          <w:rFonts w:ascii="Segoe UI" w:hAnsi="Segoe UI" w:cs="Segoe UI"/>
          <w:sz w:val="20"/>
          <w:lang w:val="en-US"/>
        </w:rPr>
        <w:t>16</w:t>
      </w:r>
      <w:r w:rsidR="00DE2F4B" w:rsidRPr="001F1DA4">
        <w:rPr>
          <w:rFonts w:ascii="Segoe UI" w:hAnsi="Segoe UI" w:cs="Segoe UI"/>
          <w:sz w:val="20"/>
          <w:lang w:val="en-US"/>
        </w:rPr>
        <w:t>.</w:t>
      </w:r>
      <w:r w:rsidR="00DE2F4B" w:rsidRPr="001F1DA4">
        <w:rPr>
          <w:rFonts w:ascii="Segoe UI" w:hAnsi="Segoe UI" w:cs="Segoe UI"/>
          <w:sz w:val="20"/>
          <w:lang w:val="en-US"/>
        </w:rPr>
        <w:tab/>
      </w:r>
      <w:r w:rsidR="001F1DA4" w:rsidRPr="001F1DA4">
        <w:rPr>
          <w:rFonts w:ascii="Segoe UI" w:hAnsi="Segoe UI" w:cs="Segoe UI"/>
          <w:sz w:val="20"/>
          <w:lang w:val="en-US"/>
        </w:rPr>
        <w:t>Koneru K, Bhatt V, Kakrani A, Edara M, Reddy VT, Jawade PG. A study of non-alcoholic fatty liver disease-liver fat score in overweight and obese individuals. J Family Med Prim Care. 2022;11(8):4368-4374. doi:10.4103/jfmpc.jfmpc_58_22</w:t>
      </w:r>
    </w:p>
    <w:p w14:paraId="6D83250F" w14:textId="5F7E8033" w:rsidR="00866900" w:rsidRPr="001F1DA4" w:rsidRDefault="00A671BC" w:rsidP="00866900">
      <w:pPr>
        <w:pStyle w:val="Bibliography"/>
        <w:jc w:val="both"/>
        <w:rPr>
          <w:rFonts w:ascii="Segoe UI" w:hAnsi="Segoe UI" w:cs="Segoe UI"/>
          <w:sz w:val="20"/>
          <w:szCs w:val="20"/>
          <w:lang w:val="en-US"/>
        </w:rPr>
      </w:pPr>
      <w:r>
        <w:rPr>
          <w:rFonts w:ascii="Segoe UI" w:hAnsi="Segoe UI" w:cs="Segoe UI"/>
          <w:color w:val="212121"/>
          <w:sz w:val="20"/>
          <w:szCs w:val="20"/>
          <w:shd w:val="clear" w:color="auto" w:fill="FFFFFF"/>
          <w:lang w:val="en-US"/>
        </w:rPr>
        <w:t>17</w:t>
      </w:r>
      <w:r w:rsidR="001F1DA4" w:rsidRPr="001F1DA4">
        <w:rPr>
          <w:rFonts w:ascii="Segoe UI" w:hAnsi="Segoe UI" w:cs="Segoe UI"/>
          <w:color w:val="212121"/>
          <w:sz w:val="20"/>
          <w:szCs w:val="20"/>
          <w:shd w:val="clear" w:color="auto" w:fill="FFFFFF"/>
          <w:lang w:val="en-US"/>
        </w:rPr>
        <w:t xml:space="preserve">. </w:t>
      </w:r>
      <w:r w:rsidR="00866900" w:rsidRPr="001F1DA4">
        <w:rPr>
          <w:rFonts w:ascii="Segoe UI" w:hAnsi="Segoe UI" w:cs="Segoe UI"/>
          <w:color w:val="212121"/>
          <w:sz w:val="20"/>
          <w:szCs w:val="20"/>
          <w:shd w:val="clear" w:color="auto" w:fill="FFFFFF"/>
          <w:lang w:val="en-US"/>
        </w:rPr>
        <w:t>Ampuero J, Pais R, Aller R, et al. Development and Validation of Hepamet Fibrosis Scoring System-A Simple, Noninvasive Test to Identify Patients With Nonalcoholic Fatty Liver Disease With Advanced Fibrosis. </w:t>
      </w:r>
      <w:r w:rsidR="00866900" w:rsidRPr="001F1DA4">
        <w:rPr>
          <w:rFonts w:ascii="Segoe UI" w:hAnsi="Segoe UI" w:cs="Segoe UI"/>
          <w:i/>
          <w:iCs/>
          <w:color w:val="212121"/>
          <w:sz w:val="20"/>
          <w:szCs w:val="20"/>
          <w:shd w:val="clear" w:color="auto" w:fill="FFFFFF"/>
          <w:lang w:val="en-US"/>
        </w:rPr>
        <w:t>Clin Gastroenterol Hepatol</w:t>
      </w:r>
      <w:r w:rsidR="00866900" w:rsidRPr="001F1DA4">
        <w:rPr>
          <w:rFonts w:ascii="Segoe UI" w:hAnsi="Segoe UI" w:cs="Segoe UI"/>
          <w:color w:val="212121"/>
          <w:sz w:val="20"/>
          <w:szCs w:val="20"/>
          <w:shd w:val="clear" w:color="auto" w:fill="FFFFFF"/>
          <w:lang w:val="en-US"/>
        </w:rPr>
        <w:t>. 2020;18(1):216-225.e5. doi:10.1016/j.cgh.2019.05.051</w:t>
      </w:r>
    </w:p>
    <w:p w14:paraId="6B86BFEE" w14:textId="5C5F95B6" w:rsidR="00DE2F4B" w:rsidRPr="001F1DA4" w:rsidRDefault="00A671BC" w:rsidP="00866900">
      <w:pPr>
        <w:pStyle w:val="Bibliography"/>
        <w:jc w:val="both"/>
        <w:rPr>
          <w:rFonts w:ascii="Segoe UI" w:hAnsi="Segoe UI" w:cs="Segoe UI"/>
          <w:sz w:val="20"/>
        </w:rPr>
      </w:pPr>
      <w:r>
        <w:rPr>
          <w:rFonts w:ascii="Segoe UI" w:hAnsi="Segoe UI" w:cs="Segoe UI"/>
          <w:sz w:val="20"/>
          <w:lang w:val="en-US"/>
        </w:rPr>
        <w:t>18</w:t>
      </w:r>
      <w:r w:rsidR="001F1DA4" w:rsidRPr="001F1DA4">
        <w:rPr>
          <w:rFonts w:ascii="Segoe UI" w:hAnsi="Segoe UI" w:cs="Segoe UI"/>
          <w:sz w:val="20"/>
          <w:lang w:val="en-US"/>
        </w:rPr>
        <w:t xml:space="preserve">. </w:t>
      </w:r>
      <w:r w:rsidR="00DE2F4B" w:rsidRPr="001F1DA4">
        <w:rPr>
          <w:rFonts w:ascii="Segoe UI" w:hAnsi="Segoe UI" w:cs="Segoe UI"/>
          <w:sz w:val="20"/>
          <w:lang w:val="en-US"/>
        </w:rPr>
        <w:t xml:space="preserve">Lee JH, Kim D, Kim HJ, Lee CH, Yang JI, Kim W, et al. Hepatic steatosis index: a simple screening tool reflecting nonalcoholic fatty liver disease. </w:t>
      </w:r>
      <w:r w:rsidR="00DE2F4B" w:rsidRPr="00984917">
        <w:rPr>
          <w:rFonts w:ascii="Segoe UI" w:hAnsi="Segoe UI" w:cs="Segoe UI"/>
          <w:sz w:val="20"/>
          <w:lang w:val="en-US"/>
        </w:rPr>
        <w:t xml:space="preserve">Dig Liver Dis Off J Ital Soc Gastroenterol Ital Assoc Study Liver. </w:t>
      </w:r>
      <w:r w:rsidR="00DE2F4B" w:rsidRPr="001F1DA4">
        <w:rPr>
          <w:rFonts w:ascii="Segoe UI" w:hAnsi="Segoe UI" w:cs="Segoe UI"/>
          <w:sz w:val="20"/>
        </w:rPr>
        <w:t xml:space="preserve">2010 Jul;42(7):503–8. </w:t>
      </w:r>
    </w:p>
    <w:p w14:paraId="329FF137" w14:textId="1A586D1E" w:rsidR="00635D52" w:rsidRPr="00DA6696" w:rsidRDefault="007B3716" w:rsidP="00866900">
      <w:pPr>
        <w:shd w:val="clear" w:color="auto" w:fill="FFFFFF"/>
        <w:spacing w:before="100" w:beforeAutospacing="1" w:after="100" w:afterAutospacing="1" w:line="240" w:lineRule="auto"/>
        <w:jc w:val="both"/>
        <w:rPr>
          <w:rFonts w:ascii="Arial" w:eastAsia="Times New Roman" w:hAnsi="Arial" w:cs="Arial"/>
          <w:sz w:val="24"/>
          <w:szCs w:val="24"/>
          <w:lang w:val="en-US" w:eastAsia="it-IT"/>
        </w:rPr>
      </w:pPr>
      <w:r w:rsidRPr="001F1DA4">
        <w:rPr>
          <w:rFonts w:ascii="Segoe UI" w:eastAsia="Times New Roman" w:hAnsi="Segoe UI" w:cs="Segoe UI"/>
          <w:color w:val="212121"/>
          <w:sz w:val="24"/>
          <w:szCs w:val="24"/>
          <w:lang w:val="en-US" w:eastAsia="it-IT"/>
        </w:rPr>
        <w:fldChar w:fldCharType="end"/>
      </w:r>
    </w:p>
    <w:p w14:paraId="108D9077" w14:textId="77777777" w:rsidR="00ED2E73" w:rsidRPr="00C76B8D" w:rsidRDefault="00ED2E73">
      <w:pPr>
        <w:rPr>
          <w:lang w:val="en-US"/>
        </w:rPr>
      </w:pPr>
    </w:p>
    <w:sectPr w:rsidR="00ED2E73" w:rsidRPr="00C76B8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E96736"/>
    <w:multiLevelType w:val="multilevel"/>
    <w:tmpl w:val="943A1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CD614E"/>
    <w:multiLevelType w:val="multilevel"/>
    <w:tmpl w:val="7FD45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3321B1"/>
    <w:multiLevelType w:val="multilevel"/>
    <w:tmpl w:val="6714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6744843">
    <w:abstractNumId w:val="2"/>
  </w:num>
  <w:num w:numId="2" w16cid:durableId="823619583">
    <w:abstractNumId w:val="0"/>
  </w:num>
  <w:num w:numId="3" w16cid:durableId="1152404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E35"/>
    <w:rsid w:val="00053304"/>
    <w:rsid w:val="000860F6"/>
    <w:rsid w:val="000E2A2C"/>
    <w:rsid w:val="0014122F"/>
    <w:rsid w:val="001948E0"/>
    <w:rsid w:val="001B5829"/>
    <w:rsid w:val="001C14C8"/>
    <w:rsid w:val="001E26EC"/>
    <w:rsid w:val="001F1DA4"/>
    <w:rsid w:val="002D5070"/>
    <w:rsid w:val="003535D2"/>
    <w:rsid w:val="00441466"/>
    <w:rsid w:val="004976FF"/>
    <w:rsid w:val="005632F8"/>
    <w:rsid w:val="005B162A"/>
    <w:rsid w:val="00635D52"/>
    <w:rsid w:val="006B1884"/>
    <w:rsid w:val="006B18D7"/>
    <w:rsid w:val="006F6A6F"/>
    <w:rsid w:val="007A4662"/>
    <w:rsid w:val="007B3716"/>
    <w:rsid w:val="007D642A"/>
    <w:rsid w:val="00866900"/>
    <w:rsid w:val="008E01AE"/>
    <w:rsid w:val="00984917"/>
    <w:rsid w:val="00A671BC"/>
    <w:rsid w:val="00AF354A"/>
    <w:rsid w:val="00B13E62"/>
    <w:rsid w:val="00B45BEE"/>
    <w:rsid w:val="00B97F83"/>
    <w:rsid w:val="00BD4EB2"/>
    <w:rsid w:val="00BF3901"/>
    <w:rsid w:val="00C76B8D"/>
    <w:rsid w:val="00C95611"/>
    <w:rsid w:val="00D46FBC"/>
    <w:rsid w:val="00D5583E"/>
    <w:rsid w:val="00DA5584"/>
    <w:rsid w:val="00DA6696"/>
    <w:rsid w:val="00DB0CA9"/>
    <w:rsid w:val="00DB17DC"/>
    <w:rsid w:val="00DE2F4B"/>
    <w:rsid w:val="00E95BF1"/>
    <w:rsid w:val="00EA21C0"/>
    <w:rsid w:val="00EB6E35"/>
    <w:rsid w:val="00ED2E73"/>
    <w:rsid w:val="00EE3B8B"/>
    <w:rsid w:val="00EF25B5"/>
    <w:rsid w:val="00FC4D1C"/>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F0A08"/>
  <w15:chartTrackingRefBased/>
  <w15:docId w15:val="{F5A03B8A-44E5-4341-88D5-AA5AF7DFE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B8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6B8D"/>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E01A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Strong">
    <w:name w:val="Strong"/>
    <w:basedOn w:val="DefaultParagraphFont"/>
    <w:uiPriority w:val="22"/>
    <w:qFormat/>
    <w:rsid w:val="008E01AE"/>
    <w:rPr>
      <w:b/>
      <w:bCs/>
    </w:rPr>
  </w:style>
  <w:style w:type="character" w:styleId="Hyperlink">
    <w:name w:val="Hyperlink"/>
    <w:basedOn w:val="DefaultParagraphFont"/>
    <w:uiPriority w:val="99"/>
    <w:unhideWhenUsed/>
    <w:rsid w:val="008E01AE"/>
    <w:rPr>
      <w:color w:val="0000FF"/>
      <w:u w:val="single"/>
    </w:rPr>
  </w:style>
  <w:style w:type="character" w:styleId="UnresolvedMention">
    <w:name w:val="Unresolved Mention"/>
    <w:basedOn w:val="DefaultParagraphFont"/>
    <w:uiPriority w:val="99"/>
    <w:semiHidden/>
    <w:unhideWhenUsed/>
    <w:rsid w:val="000860F6"/>
    <w:rPr>
      <w:color w:val="605E5C"/>
      <w:shd w:val="clear" w:color="auto" w:fill="E1DFDD"/>
    </w:rPr>
  </w:style>
  <w:style w:type="character" w:customStyle="1" w:styleId="id-label">
    <w:name w:val="id-label"/>
    <w:basedOn w:val="DefaultParagraphFont"/>
    <w:rsid w:val="00DA6696"/>
  </w:style>
  <w:style w:type="paragraph" w:styleId="ListParagraph">
    <w:name w:val="List Paragraph"/>
    <w:basedOn w:val="Normal"/>
    <w:uiPriority w:val="34"/>
    <w:qFormat/>
    <w:rsid w:val="00635D52"/>
    <w:pPr>
      <w:ind w:left="720"/>
      <w:contextualSpacing/>
    </w:pPr>
  </w:style>
  <w:style w:type="paragraph" w:styleId="Bibliography">
    <w:name w:val="Bibliography"/>
    <w:basedOn w:val="Normal"/>
    <w:next w:val="Normal"/>
    <w:uiPriority w:val="37"/>
    <w:unhideWhenUsed/>
    <w:rsid w:val="007B3716"/>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8098">
      <w:bodyDiv w:val="1"/>
      <w:marLeft w:val="0"/>
      <w:marRight w:val="0"/>
      <w:marTop w:val="0"/>
      <w:marBottom w:val="0"/>
      <w:divBdr>
        <w:top w:val="none" w:sz="0" w:space="0" w:color="auto"/>
        <w:left w:val="none" w:sz="0" w:space="0" w:color="auto"/>
        <w:bottom w:val="none" w:sz="0" w:space="0" w:color="auto"/>
        <w:right w:val="none" w:sz="0" w:space="0" w:color="auto"/>
      </w:divBdr>
    </w:div>
    <w:div w:id="44257388">
      <w:bodyDiv w:val="1"/>
      <w:marLeft w:val="0"/>
      <w:marRight w:val="0"/>
      <w:marTop w:val="0"/>
      <w:marBottom w:val="0"/>
      <w:divBdr>
        <w:top w:val="none" w:sz="0" w:space="0" w:color="auto"/>
        <w:left w:val="none" w:sz="0" w:space="0" w:color="auto"/>
        <w:bottom w:val="none" w:sz="0" w:space="0" w:color="auto"/>
        <w:right w:val="none" w:sz="0" w:space="0" w:color="auto"/>
      </w:divBdr>
    </w:div>
    <w:div w:id="361057196">
      <w:bodyDiv w:val="1"/>
      <w:marLeft w:val="0"/>
      <w:marRight w:val="0"/>
      <w:marTop w:val="0"/>
      <w:marBottom w:val="0"/>
      <w:divBdr>
        <w:top w:val="none" w:sz="0" w:space="0" w:color="auto"/>
        <w:left w:val="none" w:sz="0" w:space="0" w:color="auto"/>
        <w:bottom w:val="none" w:sz="0" w:space="0" w:color="auto"/>
        <w:right w:val="none" w:sz="0" w:space="0" w:color="auto"/>
      </w:divBdr>
    </w:div>
    <w:div w:id="538863138">
      <w:bodyDiv w:val="1"/>
      <w:marLeft w:val="0"/>
      <w:marRight w:val="0"/>
      <w:marTop w:val="0"/>
      <w:marBottom w:val="0"/>
      <w:divBdr>
        <w:top w:val="none" w:sz="0" w:space="0" w:color="auto"/>
        <w:left w:val="none" w:sz="0" w:space="0" w:color="auto"/>
        <w:bottom w:val="none" w:sz="0" w:space="0" w:color="auto"/>
        <w:right w:val="none" w:sz="0" w:space="0" w:color="auto"/>
      </w:divBdr>
    </w:div>
    <w:div w:id="929972651">
      <w:bodyDiv w:val="1"/>
      <w:marLeft w:val="0"/>
      <w:marRight w:val="0"/>
      <w:marTop w:val="0"/>
      <w:marBottom w:val="0"/>
      <w:divBdr>
        <w:top w:val="none" w:sz="0" w:space="0" w:color="auto"/>
        <w:left w:val="none" w:sz="0" w:space="0" w:color="auto"/>
        <w:bottom w:val="none" w:sz="0" w:space="0" w:color="auto"/>
        <w:right w:val="none" w:sz="0" w:space="0" w:color="auto"/>
      </w:divBdr>
      <w:divsChild>
        <w:div w:id="499085868">
          <w:marLeft w:val="0"/>
          <w:marRight w:val="0"/>
          <w:marTop w:val="0"/>
          <w:marBottom w:val="0"/>
          <w:divBdr>
            <w:top w:val="none" w:sz="0" w:space="0" w:color="auto"/>
            <w:left w:val="none" w:sz="0" w:space="0" w:color="auto"/>
            <w:bottom w:val="none" w:sz="0" w:space="0" w:color="auto"/>
            <w:right w:val="none" w:sz="0" w:space="0" w:color="auto"/>
          </w:divBdr>
        </w:div>
      </w:divsChild>
    </w:div>
    <w:div w:id="1024940621">
      <w:bodyDiv w:val="1"/>
      <w:marLeft w:val="0"/>
      <w:marRight w:val="0"/>
      <w:marTop w:val="0"/>
      <w:marBottom w:val="0"/>
      <w:divBdr>
        <w:top w:val="none" w:sz="0" w:space="0" w:color="auto"/>
        <w:left w:val="none" w:sz="0" w:space="0" w:color="auto"/>
        <w:bottom w:val="none" w:sz="0" w:space="0" w:color="auto"/>
        <w:right w:val="none" w:sz="0" w:space="0" w:color="auto"/>
      </w:divBdr>
    </w:div>
    <w:div w:id="1377050511">
      <w:bodyDiv w:val="1"/>
      <w:marLeft w:val="0"/>
      <w:marRight w:val="0"/>
      <w:marTop w:val="0"/>
      <w:marBottom w:val="0"/>
      <w:divBdr>
        <w:top w:val="none" w:sz="0" w:space="0" w:color="auto"/>
        <w:left w:val="none" w:sz="0" w:space="0" w:color="auto"/>
        <w:bottom w:val="none" w:sz="0" w:space="0" w:color="auto"/>
        <w:right w:val="none" w:sz="0" w:space="0" w:color="auto"/>
      </w:divBdr>
      <w:divsChild>
        <w:div w:id="15007359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5894</Words>
  <Characters>33600</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lucilla crudele</dc:creator>
  <cp:keywords/>
  <dc:description/>
  <cp:lastModifiedBy>lucilla crudele</cp:lastModifiedBy>
  <cp:revision>11</cp:revision>
  <cp:lastPrinted>2023-08-30T12:34:00Z</cp:lastPrinted>
  <dcterms:created xsi:type="dcterms:W3CDTF">2023-11-02T09:46:00Z</dcterms:created>
  <dcterms:modified xsi:type="dcterms:W3CDTF">2024-02-04T20:46:00Z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id="d5Sfzebl"/&gt;&lt;style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