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8C7D4" w14:textId="6DDA0B0F" w:rsidR="00ED2E73" w:rsidRDefault="000220BF" w:rsidP="00321E44">
      <w:pPr>
        <w:spacing w:after="0" w:line="480" w:lineRule="auto"/>
        <w:jc w:val="both"/>
        <w:rPr>
          <w:rFonts w:cs="Times New Roman"/>
          <w:szCs w:val="24"/>
        </w:rPr>
      </w:pPr>
      <w:r w:rsidRPr="000220BF">
        <w:rPr>
          <w:rFonts w:ascii="Arial" w:eastAsia="Times New Roman" w:hAnsi="Arial" w:cs="Arial"/>
          <w:b/>
          <w:bCs/>
          <w:kern w:val="0"/>
          <w:lang w:val="en-US"/>
          <w14:ligatures w14:val="none"/>
        </w:rPr>
        <w:t xml:space="preserve">Supplementary table </w:t>
      </w:r>
      <w:r>
        <w:rPr>
          <w:rFonts w:ascii="Arial" w:eastAsia="Times New Roman" w:hAnsi="Arial" w:cs="Arial"/>
          <w:b/>
          <w:bCs/>
          <w:kern w:val="0"/>
          <w:lang w:val="en-US"/>
          <w14:ligatures w14:val="none"/>
        </w:rPr>
        <w:t>2</w:t>
      </w:r>
      <w:r w:rsidRPr="000220BF">
        <w:rPr>
          <w:rFonts w:ascii="Arial" w:eastAsia="Times New Roman" w:hAnsi="Arial" w:cs="Arial"/>
          <w:b/>
          <w:bCs/>
          <w:kern w:val="0"/>
          <w:lang w:val="en-US"/>
          <w14:ligatures w14:val="none"/>
        </w:rPr>
        <w:t xml:space="preserve">. </w:t>
      </w:r>
      <w:r w:rsidRPr="00321E44">
        <w:rPr>
          <w:rFonts w:ascii="Arial" w:eastAsia="Times New Roman" w:hAnsi="Arial" w:cs="Arial"/>
          <w:b/>
          <w:bCs/>
          <w:kern w:val="0"/>
          <w:lang w:val="en-US"/>
          <w14:ligatures w14:val="none"/>
        </w:rPr>
        <w:t>Criteria for MASLD diagnosis</w:t>
      </w:r>
      <w:r w:rsidR="00321E44" w:rsidRPr="00321E44">
        <w:rPr>
          <w:rFonts w:ascii="Arial" w:eastAsia="Times New Roman" w:hAnsi="Arial" w:cs="Arial"/>
          <w:b/>
          <w:bCs/>
          <w:kern w:val="0"/>
          <w:lang w:val="en-US"/>
          <w14:ligatures w14:val="none"/>
        </w:rPr>
        <w:t xml:space="preserve"> </w:t>
      </w:r>
      <w:r w:rsidR="00321E44" w:rsidRPr="00321E44">
        <w:rPr>
          <w:rFonts w:cs="Times New Roman"/>
          <w:b/>
          <w:bCs/>
          <w:szCs w:val="24"/>
        </w:rPr>
        <w:fldChar w:fldCharType="begin"/>
      </w:r>
      <w:r w:rsidR="00321E44" w:rsidRPr="00321E44">
        <w:rPr>
          <w:rFonts w:cs="Times New Roman"/>
          <w:b/>
          <w:bCs/>
          <w:szCs w:val="24"/>
        </w:rPr>
        <w:instrText xml:space="preserve"> ADDIN ZOTERO_ITEM CSL_CITATION {"citationID":"g7y9z62x","properties":{"formattedCitation":"(1)","plainCitation":"(1)","noteIndex":0},"citationItems":[{"id":1786,"uris":["http://zotero.org/users/9313241/items/IXR5M37J"],"itemData":{"id":1786,"type":"article-journal","abstract":"The principal limitations of the terms nonalcoholic fatty liver disease (NAFLD) and nonalcoholic steatohepatitis (NASH) are the reliance on exclusionary confounder terms and the use of potentially stigmatising language. This study set out to determine if content experts and patient advocates were in favour of a change in nomenclature and/or definition.\nMETHODS: A modified Delphi process was led by three large pan-national liver associations. Consensus was defined a priori as a supermajority (67%) vote. An independent committee of experts external to the nomenclature process made the final recommendation on the acronym and its diagnostic criteria.\nRESULTS: A total of 236 panellists from 56 countries participated in four online surveys and two hybrid meetings. Response rates across the 4 survey rounds were 87%, 83%, 83% and 78%, respectively. 74% of respondents felt that the current nomenclature was sufficiently flawed to consider a name change. The terms 'non-alcoholic' and 'fatty' were felt to be stigmatising by 61% and 66% of respondents, respectively. Steatotic liver disease (SLD) was chosen as an overarching term to encompass the various aetiologies of steatosis. The term steatohepatitis was felt to be an important pathophysiological concept that should be retained. The name chosen to replace NAFLD was metabolic dysfunction-associated steatotic liver disease (MASLD). There was consensus to change the definition to include the presence of at least one of five cardiometabolic risk factors. Those with no metabolic parameters and no known cause were deemed to have cryptogenic SLD. A new category, outside pure MASLD, termed MetALD was selected to describe those with MASLD who consume greater amounts of alcohol per week (140 to 350 g/week and 210 to 420 g/week for females and males respectively).\nCONCLUSIONS: The new nomenclature and diagnostic criteria are widely supported, non-stigmatising and can improve awareness and patient identification.","container-title":"Journal of Hepatology","DOI":"10.1016/j.jhep.2023.06.003","ISSN":"1600-0641","journalAbbreviation":"J Hepatol","language":"eng","note":"PMID: 37364790","page":"S0168-8278(23)00418-X","source":"PubMed","title":"A multi-society Delphi consensus statement on new fatty liver disease nomenclature","author":[{"family":"Rinella","given":"Mary E."},{"family":"Lazarus","given":"Jeffrey V."},{"family":"Ratziu","given":"Vlad"},{"family":"Francque","given":"Sven M."},{"family":"Sanyal","given":"Arun J."},{"family":"Kanwal","given":"Fasiha"},{"family":"Romero","given":"Diana"},{"family":"Abdelmalek","given":"Manal F."},{"family":"Anstee","given":"Quentin M."},{"family":"Arab","given":"Juan Pablo"},{"family":"Arrese","given":"Marco"},{"family":"Bataller","given":"Ramon"},{"family":"Beuers","given":"Ulrich"},{"family":"Boursier","given":"Jerome"},{"family":"Bugianesi","given":"Elisabetta"},{"family":"Byrne","given":"Christopher"},{"family":"Castro Narro","given":"Graciela E."},{"family":"Chowdhury","given":"Abhijit"},{"family":"Cortez-Pinto","given":"Helena"},{"family":"Cryer","given":"Donna"},{"family":"Cusi","given":"Kenneth"},{"family":"El-Kassas","given":"Mohamed"},{"family":"Klein","given":"Samuel"},{"family":"Eskridge","given":"Wayne"},{"family":"Fan","given":"Jiangao"},{"family":"Gawrieh","given":"Samer"},{"family":"Guy","given":"Cynthia D."},{"family":"Harrison","given":"Stephen A."},{"family":"Kim","given":"Seung Up"},{"family":"Koot","given":"Bart"},{"family":"Korenjak","given":"Marko"},{"family":"Kowdley","given":"Kris"},{"family":"Lacaille","given":"Florence"},{"family":"Loomba","given":"Rohit"},{"family":"Mitchell-Thain","given":"Robert"},{"family":"Morgan","given":"Timothy R."},{"family":"Powell","given":"Elisabeth"},{"family":"Roden","given":"Michael"},{"family":"Romero-Gómez","given":"Manuel"},{"family":"Silva","given":"Marcelo"},{"family":"Singh","given":"Shivaram Prasad"},{"family":"Sookoian","given":"Silvia C."},{"family":"Spearman","given":"C. Wendy"},{"family":"Tiniakos","given":"Dina"},{"family":"Valenti","given":"Luca"},{"family":"Vos","given":"Miriam B."},{"family":"Wai-Sun Wong","given":"Vincent"},{"family":"Xanthakos","given":"Stavra"},{"family":"Yilmaz","given":"Yusuf"},{"family":"Younossi","given":"Zobair"},{"family":"Hobbs","given":"Ansley"},{"family":"Villota-Rivas","given":"Marcela"},{"family":"Newsome","given":"Philip N."},{"literal":"NAFLD Nomenclature consensus group"}],"issued":{"date-parts":[["2023",6,20]]}}}],"schema":"https://github.com/citation-style-language/schema/raw/master/csl-citation.json"} </w:instrText>
      </w:r>
      <w:r w:rsidR="00321E44" w:rsidRPr="00321E44">
        <w:rPr>
          <w:rFonts w:cs="Times New Roman"/>
          <w:b/>
          <w:bCs/>
          <w:szCs w:val="24"/>
        </w:rPr>
        <w:fldChar w:fldCharType="separate"/>
      </w:r>
      <w:r w:rsidR="00321E44" w:rsidRPr="00321E44">
        <w:rPr>
          <w:rFonts w:cs="Times New Roman"/>
          <w:b/>
          <w:bCs/>
        </w:rPr>
        <w:t>(1)</w:t>
      </w:r>
      <w:r w:rsidR="00321E44" w:rsidRPr="00321E44">
        <w:rPr>
          <w:rFonts w:cs="Times New Roman"/>
          <w:b/>
          <w:bCs/>
          <w:szCs w:val="24"/>
        </w:rPr>
        <w:fldChar w:fldCharType="end"/>
      </w:r>
      <w:r w:rsidRPr="00321E44">
        <w:rPr>
          <w:rFonts w:ascii="Arial" w:eastAsia="Times New Roman" w:hAnsi="Arial" w:cs="Arial"/>
          <w:b/>
          <w:bCs/>
          <w:kern w:val="0"/>
          <w:lang w:val="en-US"/>
          <w14:ligatures w14:val="none"/>
        </w:rPr>
        <w:t xml:space="preserve">. </w:t>
      </w:r>
      <w:bookmarkStart w:id="0" w:name="_Hlk119445111"/>
      <w:bookmarkEnd w:id="0"/>
    </w:p>
    <w:tbl>
      <w:tblPr>
        <w:tblStyle w:val="GridTable2-Accent5"/>
        <w:tblW w:w="10348" w:type="dxa"/>
        <w:tblLook w:val="0480" w:firstRow="0" w:lastRow="0" w:firstColumn="1" w:lastColumn="0" w:noHBand="0" w:noVBand="1"/>
      </w:tblPr>
      <w:tblGrid>
        <w:gridCol w:w="3319"/>
        <w:gridCol w:w="2493"/>
        <w:gridCol w:w="4536"/>
      </w:tblGrid>
      <w:tr w:rsidR="00850CA4" w14:paraId="5DE49CE2" w14:textId="66E3D0E2" w:rsidTr="00850CA4">
        <w:trPr>
          <w:cnfStyle w:val="000000100000" w:firstRow="0" w:lastRow="0" w:firstColumn="0" w:lastColumn="0" w:oddVBand="0" w:evenVBand="0" w:oddHBand="1"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3319" w:type="dxa"/>
            <w:vMerge w:val="restart"/>
            <w:vAlign w:val="center"/>
          </w:tcPr>
          <w:p w14:paraId="45D3800F" w14:textId="59B33809" w:rsidR="00850CA4" w:rsidRPr="00850CA4" w:rsidRDefault="00850CA4" w:rsidP="00850CA4">
            <w:pPr>
              <w:pStyle w:val="Heading1"/>
              <w:jc w:val="center"/>
              <w:rPr>
                <w:rFonts w:eastAsia="Calibri"/>
              </w:rPr>
            </w:pPr>
            <w:r w:rsidRPr="00850CA4">
              <w:rPr>
                <w:rFonts w:ascii="Times New Roman" w:eastAsia="Calibri" w:hAnsi="Times New Roman" w:cs="Times New Roman"/>
              </w:rPr>
              <w:t>H</w:t>
            </w:r>
            <w:r w:rsidR="00321E44" w:rsidRPr="00850CA4">
              <w:rPr>
                <w:rFonts w:ascii="Times New Roman" w:eastAsia="Calibri" w:hAnsi="Times New Roman" w:cs="Times New Roman"/>
              </w:rPr>
              <w:t>epatic steatosis,</w:t>
            </w:r>
            <w:r w:rsidR="00321E44" w:rsidRPr="00850CA4">
              <w:rPr>
                <w:rFonts w:eastAsia="Calibri"/>
                <w:b w:val="0"/>
                <w:bCs w:val="0"/>
                <w:sz w:val="52"/>
                <w:szCs w:val="52"/>
              </w:rPr>
              <w:t xml:space="preserve"> </w:t>
            </w:r>
            <w:r w:rsidR="00321E44" w:rsidRPr="00850CA4">
              <w:rPr>
                <w:rFonts w:eastAsia="Calibri"/>
                <w:b w:val="0"/>
                <w:bCs w:val="0"/>
                <w:sz w:val="36"/>
                <w:szCs w:val="36"/>
              </w:rPr>
              <w:t>detected on</w:t>
            </w:r>
            <w:r w:rsidRPr="00850CA4">
              <w:rPr>
                <w:rFonts w:eastAsia="Calibri"/>
                <w:b w:val="0"/>
                <w:bCs w:val="0"/>
                <w:sz w:val="36"/>
                <w:szCs w:val="36"/>
              </w:rPr>
              <w:t xml:space="preserve"> US-</w:t>
            </w:r>
            <w:r w:rsidR="00321E44" w:rsidRPr="00850CA4">
              <w:rPr>
                <w:rFonts w:eastAsia="Calibri"/>
                <w:b w:val="0"/>
                <w:bCs w:val="0"/>
                <w:sz w:val="36"/>
                <w:szCs w:val="36"/>
              </w:rPr>
              <w:t>imaging or histology,</w:t>
            </w:r>
            <w:r w:rsidR="00321E44" w:rsidRPr="00850CA4">
              <w:rPr>
                <w:rFonts w:eastAsia="Calibri"/>
                <w:b w:val="0"/>
                <w:bCs w:val="0"/>
                <w:sz w:val="36"/>
                <w:szCs w:val="36"/>
              </w:rPr>
              <w:t xml:space="preserve"> </w:t>
            </w:r>
            <w:r w:rsidR="00321E44" w:rsidRPr="00850CA4">
              <w:rPr>
                <w:rFonts w:eastAsia="Calibri"/>
                <w:b w:val="0"/>
                <w:bCs w:val="0"/>
                <w:sz w:val="36"/>
                <w:szCs w:val="36"/>
              </w:rPr>
              <w:t xml:space="preserve">and at least one of </w:t>
            </w:r>
            <w:r w:rsidRPr="00850CA4">
              <w:rPr>
                <w:rFonts w:eastAsia="Calibri"/>
                <w:b w:val="0"/>
                <w:bCs w:val="0"/>
                <w:sz w:val="36"/>
                <w:szCs w:val="36"/>
              </w:rPr>
              <w:t xml:space="preserve">the </w:t>
            </w:r>
            <w:r w:rsidR="00321E44" w:rsidRPr="00850CA4">
              <w:rPr>
                <w:rFonts w:eastAsia="Calibri"/>
                <w:b w:val="0"/>
                <w:bCs w:val="0"/>
                <w:sz w:val="36"/>
                <w:szCs w:val="36"/>
              </w:rPr>
              <w:t>following criteria:</w:t>
            </w:r>
          </w:p>
        </w:tc>
        <w:tc>
          <w:tcPr>
            <w:tcW w:w="2493" w:type="dxa"/>
            <w:shd w:val="clear" w:color="auto" w:fill="auto"/>
            <w:vAlign w:val="center"/>
          </w:tcPr>
          <w:p w14:paraId="47C5197C" w14:textId="2FF0348C" w:rsidR="00321E44" w:rsidRPr="00850CA4" w:rsidRDefault="00321E44" w:rsidP="00850CA4">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2F5496" w:themeColor="accent1" w:themeShade="BF"/>
                <w:sz w:val="24"/>
                <w:szCs w:val="24"/>
              </w:rPr>
            </w:pPr>
            <w:r w:rsidRPr="00850CA4">
              <w:rPr>
                <w:rFonts w:ascii="Times New Roman" w:eastAsia="Calibri" w:hAnsi="Times New Roman" w:cs="Times New Roman"/>
                <w:b/>
                <w:bCs/>
                <w:color w:val="2F5496" w:themeColor="accent1" w:themeShade="BF"/>
                <w:sz w:val="24"/>
                <w:szCs w:val="24"/>
              </w:rPr>
              <w:t>BMI</w:t>
            </w:r>
          </w:p>
        </w:tc>
        <w:tc>
          <w:tcPr>
            <w:tcW w:w="4536" w:type="dxa"/>
            <w:shd w:val="clear" w:color="auto" w:fill="auto"/>
            <w:vAlign w:val="center"/>
          </w:tcPr>
          <w:p w14:paraId="4CD154E7" w14:textId="6BD30FC2" w:rsidR="00321E44" w:rsidRPr="00850CA4" w:rsidRDefault="00321E44" w:rsidP="00850CA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2F5496" w:themeColor="accent1" w:themeShade="BF"/>
                <w:sz w:val="24"/>
                <w:szCs w:val="24"/>
              </w:rPr>
            </w:pPr>
            <w:r w:rsidRPr="00850CA4">
              <w:rPr>
                <w:rFonts w:ascii="Times New Roman" w:eastAsia="Calibri" w:hAnsi="Times New Roman" w:cs="Times New Roman"/>
                <w:color w:val="2F5496" w:themeColor="accent1" w:themeShade="BF"/>
                <w:sz w:val="24"/>
                <w:szCs w:val="24"/>
              </w:rPr>
              <w:t>≥</w:t>
            </w:r>
            <w:r w:rsidR="00954EBE">
              <w:rPr>
                <w:rFonts w:ascii="Times New Roman" w:eastAsia="Calibri" w:hAnsi="Times New Roman" w:cs="Times New Roman"/>
                <w:color w:val="2F5496" w:themeColor="accent1" w:themeShade="BF"/>
                <w:sz w:val="24"/>
                <w:szCs w:val="24"/>
              </w:rPr>
              <w:t>25</w:t>
            </w:r>
            <w:r w:rsidR="00850CA4" w:rsidRPr="00850CA4">
              <w:rPr>
                <w:rFonts w:ascii="Times New Roman" w:eastAsia="Calibri" w:hAnsi="Times New Roman" w:cs="Times New Roman"/>
                <w:color w:val="2F5496" w:themeColor="accent1" w:themeShade="BF"/>
                <w:sz w:val="24"/>
                <w:szCs w:val="24"/>
              </w:rPr>
              <w:t xml:space="preserve"> Kg/sqm</w:t>
            </w:r>
          </w:p>
        </w:tc>
      </w:tr>
      <w:tr w:rsidR="00850CA4" w14:paraId="05AEA8FC" w14:textId="15B303DA" w:rsidTr="00850CA4">
        <w:trPr>
          <w:trHeight w:val="639"/>
        </w:trPr>
        <w:tc>
          <w:tcPr>
            <w:cnfStyle w:val="001000000000" w:firstRow="0" w:lastRow="0" w:firstColumn="1" w:lastColumn="0" w:oddVBand="0" w:evenVBand="0" w:oddHBand="0" w:evenHBand="0" w:firstRowFirstColumn="0" w:firstRowLastColumn="0" w:lastRowFirstColumn="0" w:lastRowLastColumn="0"/>
            <w:tcW w:w="3319" w:type="dxa"/>
            <w:vMerge/>
          </w:tcPr>
          <w:p w14:paraId="39DA1D47" w14:textId="77777777" w:rsidR="00321E44" w:rsidRPr="00237ED1" w:rsidRDefault="00321E44" w:rsidP="000220BF">
            <w:pPr>
              <w:rPr>
                <w:rFonts w:cs="Times New Roman"/>
                <w:szCs w:val="24"/>
              </w:rPr>
            </w:pPr>
          </w:p>
        </w:tc>
        <w:tc>
          <w:tcPr>
            <w:tcW w:w="2493" w:type="dxa"/>
            <w:shd w:val="clear" w:color="auto" w:fill="auto"/>
            <w:vAlign w:val="center"/>
          </w:tcPr>
          <w:p w14:paraId="7FA20534" w14:textId="3D0C8695" w:rsidR="00321E44" w:rsidRPr="00850CA4" w:rsidRDefault="00321E44" w:rsidP="00850CA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2F5496" w:themeColor="accent1" w:themeShade="BF"/>
                <w:sz w:val="24"/>
                <w:szCs w:val="24"/>
              </w:rPr>
            </w:pPr>
            <w:r w:rsidRPr="00850CA4">
              <w:rPr>
                <w:rFonts w:ascii="Times New Roman" w:eastAsia="Calibri" w:hAnsi="Times New Roman" w:cs="Times New Roman"/>
                <w:b/>
                <w:bCs/>
                <w:color w:val="2F5496" w:themeColor="accent1" w:themeShade="BF"/>
                <w:sz w:val="24"/>
                <w:szCs w:val="24"/>
              </w:rPr>
              <w:t>Waist Circumference</w:t>
            </w:r>
          </w:p>
        </w:tc>
        <w:tc>
          <w:tcPr>
            <w:tcW w:w="4536" w:type="dxa"/>
            <w:shd w:val="clear" w:color="auto" w:fill="auto"/>
            <w:vAlign w:val="center"/>
          </w:tcPr>
          <w:p w14:paraId="0FA7852F" w14:textId="2493C857" w:rsidR="00321E44" w:rsidRPr="00850CA4" w:rsidRDefault="00321E44" w:rsidP="00850CA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2F5496" w:themeColor="accent1" w:themeShade="BF"/>
                <w:sz w:val="24"/>
                <w:szCs w:val="24"/>
              </w:rPr>
            </w:pPr>
            <w:r w:rsidRPr="00850CA4">
              <w:rPr>
                <w:rFonts w:ascii="Times New Roman" w:eastAsia="Calibri" w:hAnsi="Times New Roman" w:cs="Times New Roman"/>
                <w:color w:val="2F5496" w:themeColor="accent1" w:themeShade="BF"/>
                <w:sz w:val="24"/>
                <w:szCs w:val="24"/>
              </w:rPr>
              <w:t>≥80 cm in females, ≥94 cm in males</w:t>
            </w:r>
          </w:p>
        </w:tc>
      </w:tr>
      <w:tr w:rsidR="00321E44" w14:paraId="49DD54D6" w14:textId="28AD1E63" w:rsidTr="00850CA4">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319" w:type="dxa"/>
            <w:vMerge/>
          </w:tcPr>
          <w:p w14:paraId="18958039" w14:textId="77777777" w:rsidR="00321E44" w:rsidRPr="00237ED1" w:rsidRDefault="00321E44" w:rsidP="000220BF">
            <w:pPr>
              <w:rPr>
                <w:rFonts w:cs="Times New Roman"/>
                <w:szCs w:val="24"/>
              </w:rPr>
            </w:pPr>
          </w:p>
        </w:tc>
        <w:tc>
          <w:tcPr>
            <w:tcW w:w="2493" w:type="dxa"/>
            <w:shd w:val="clear" w:color="auto" w:fill="auto"/>
            <w:vAlign w:val="center"/>
          </w:tcPr>
          <w:p w14:paraId="3A64D8C8" w14:textId="6E54595E" w:rsidR="00321E44" w:rsidRPr="00850CA4" w:rsidRDefault="00321E44" w:rsidP="00850CA4">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2F5496" w:themeColor="accent1" w:themeShade="BF"/>
                <w:sz w:val="24"/>
                <w:szCs w:val="24"/>
              </w:rPr>
            </w:pPr>
            <w:r w:rsidRPr="00850CA4">
              <w:rPr>
                <w:rFonts w:ascii="Times New Roman" w:eastAsia="Calibri" w:hAnsi="Times New Roman" w:cs="Times New Roman"/>
                <w:b/>
                <w:bCs/>
                <w:color w:val="2F5496" w:themeColor="accent1" w:themeShade="BF"/>
                <w:sz w:val="24"/>
                <w:szCs w:val="24"/>
              </w:rPr>
              <w:t xml:space="preserve">HDL </w:t>
            </w:r>
            <w:r w:rsidRPr="00850CA4">
              <w:rPr>
                <w:rFonts w:ascii="Times New Roman" w:eastAsia="Calibri" w:hAnsi="Times New Roman" w:cs="Times New Roman"/>
                <w:b/>
                <w:bCs/>
                <w:color w:val="2F5496" w:themeColor="accent1" w:themeShade="BF"/>
                <w:sz w:val="24"/>
                <w:szCs w:val="24"/>
              </w:rPr>
              <w:t>cholesterol</w:t>
            </w:r>
          </w:p>
        </w:tc>
        <w:tc>
          <w:tcPr>
            <w:tcW w:w="4536" w:type="dxa"/>
            <w:shd w:val="clear" w:color="auto" w:fill="auto"/>
            <w:vAlign w:val="center"/>
          </w:tcPr>
          <w:p w14:paraId="14738C4A" w14:textId="44CBD374" w:rsidR="00321E44" w:rsidRPr="00850CA4" w:rsidRDefault="00321E44" w:rsidP="00850CA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2F5496" w:themeColor="accent1" w:themeShade="BF"/>
                <w:sz w:val="24"/>
                <w:szCs w:val="24"/>
              </w:rPr>
            </w:pPr>
            <w:r w:rsidRPr="00850CA4">
              <w:rPr>
                <w:rFonts w:ascii="Times New Roman" w:eastAsia="Calibri" w:hAnsi="Times New Roman" w:cs="Times New Roman"/>
                <w:color w:val="2F5496" w:themeColor="accent1" w:themeShade="BF"/>
                <w:sz w:val="24"/>
                <w:szCs w:val="24"/>
              </w:rPr>
              <w:t xml:space="preserve">&lt;50 mg/dL </w:t>
            </w:r>
            <w:r w:rsidR="00850CA4" w:rsidRPr="00850CA4">
              <w:rPr>
                <w:rFonts w:ascii="Times New Roman" w:eastAsia="Calibri" w:hAnsi="Times New Roman" w:cs="Times New Roman"/>
                <w:color w:val="2F5496" w:themeColor="accent1" w:themeShade="BF"/>
                <w:sz w:val="24"/>
                <w:szCs w:val="24"/>
              </w:rPr>
              <w:t xml:space="preserve">in females, </w:t>
            </w:r>
            <w:r w:rsidR="00850CA4" w:rsidRPr="00850CA4">
              <w:rPr>
                <w:rFonts w:ascii="Times New Roman" w:eastAsia="Calibri" w:hAnsi="Times New Roman" w:cs="Times New Roman"/>
                <w:color w:val="2F5496" w:themeColor="accent1" w:themeShade="BF"/>
                <w:sz w:val="24"/>
                <w:szCs w:val="24"/>
              </w:rPr>
              <w:t>&lt;40 mg/dL in males</w:t>
            </w:r>
            <w:r w:rsidR="00850CA4" w:rsidRPr="00850CA4">
              <w:rPr>
                <w:rFonts w:ascii="Times New Roman" w:eastAsia="Calibri" w:hAnsi="Times New Roman" w:cs="Times New Roman"/>
                <w:color w:val="2F5496" w:themeColor="accent1" w:themeShade="BF"/>
                <w:sz w:val="24"/>
                <w:szCs w:val="24"/>
              </w:rPr>
              <w:t>*</w:t>
            </w:r>
          </w:p>
        </w:tc>
      </w:tr>
      <w:tr w:rsidR="00850CA4" w14:paraId="4B832410" w14:textId="2FD9C1EF" w:rsidTr="00850CA4">
        <w:trPr>
          <w:trHeight w:val="639"/>
        </w:trPr>
        <w:tc>
          <w:tcPr>
            <w:cnfStyle w:val="001000000000" w:firstRow="0" w:lastRow="0" w:firstColumn="1" w:lastColumn="0" w:oddVBand="0" w:evenVBand="0" w:oddHBand="0" w:evenHBand="0" w:firstRowFirstColumn="0" w:firstRowLastColumn="0" w:lastRowFirstColumn="0" w:lastRowLastColumn="0"/>
            <w:tcW w:w="3319" w:type="dxa"/>
            <w:vMerge/>
          </w:tcPr>
          <w:p w14:paraId="4B0C69F6" w14:textId="77777777" w:rsidR="00321E44" w:rsidRPr="00237ED1" w:rsidRDefault="00321E44" w:rsidP="000220BF">
            <w:pPr>
              <w:rPr>
                <w:rFonts w:cs="Times New Roman"/>
                <w:szCs w:val="24"/>
              </w:rPr>
            </w:pPr>
          </w:p>
        </w:tc>
        <w:tc>
          <w:tcPr>
            <w:tcW w:w="2493" w:type="dxa"/>
            <w:shd w:val="clear" w:color="auto" w:fill="auto"/>
            <w:vAlign w:val="center"/>
          </w:tcPr>
          <w:p w14:paraId="3649E280" w14:textId="4020BD67" w:rsidR="00321E44" w:rsidRPr="00850CA4" w:rsidRDefault="00321E44" w:rsidP="00850CA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2F5496" w:themeColor="accent1" w:themeShade="BF"/>
                <w:sz w:val="24"/>
                <w:szCs w:val="24"/>
              </w:rPr>
            </w:pPr>
            <w:r w:rsidRPr="00850CA4">
              <w:rPr>
                <w:rFonts w:ascii="Times New Roman" w:eastAsia="Calibri" w:hAnsi="Times New Roman" w:cs="Times New Roman"/>
                <w:b/>
                <w:bCs/>
                <w:color w:val="2F5496" w:themeColor="accent1" w:themeShade="BF"/>
                <w:sz w:val="24"/>
                <w:szCs w:val="24"/>
              </w:rPr>
              <w:t>Triglycerides</w:t>
            </w:r>
          </w:p>
        </w:tc>
        <w:tc>
          <w:tcPr>
            <w:tcW w:w="4536" w:type="dxa"/>
            <w:shd w:val="clear" w:color="auto" w:fill="auto"/>
            <w:vAlign w:val="center"/>
          </w:tcPr>
          <w:p w14:paraId="4FF1B980" w14:textId="5A7BD797" w:rsidR="00321E44" w:rsidRPr="00850CA4" w:rsidRDefault="00321E44" w:rsidP="00850CA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2F5496" w:themeColor="accent1" w:themeShade="BF"/>
                <w:sz w:val="24"/>
                <w:szCs w:val="24"/>
              </w:rPr>
            </w:pPr>
            <w:r w:rsidRPr="00850CA4">
              <w:rPr>
                <w:rFonts w:ascii="Times New Roman" w:eastAsia="Calibri" w:hAnsi="Times New Roman" w:cs="Times New Roman"/>
                <w:color w:val="2F5496" w:themeColor="accent1" w:themeShade="BF"/>
                <w:sz w:val="24"/>
                <w:szCs w:val="24"/>
              </w:rPr>
              <w:t xml:space="preserve">≥150 mg/dL </w:t>
            </w:r>
            <w:r w:rsidR="00850CA4" w:rsidRPr="00850CA4">
              <w:rPr>
                <w:rFonts w:ascii="Times New Roman" w:eastAsia="Calibri" w:hAnsi="Times New Roman" w:cs="Times New Roman"/>
                <w:color w:val="2F5496" w:themeColor="accent1" w:themeShade="BF"/>
                <w:sz w:val="24"/>
                <w:szCs w:val="24"/>
              </w:rPr>
              <w:t>*</w:t>
            </w:r>
          </w:p>
        </w:tc>
      </w:tr>
      <w:tr w:rsidR="00321E44" w14:paraId="702113F6" w14:textId="07664EE0" w:rsidTr="00850CA4">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319" w:type="dxa"/>
            <w:vMerge/>
          </w:tcPr>
          <w:p w14:paraId="010B524F" w14:textId="77777777" w:rsidR="00321E44" w:rsidRPr="00237ED1" w:rsidRDefault="00321E44" w:rsidP="000220BF">
            <w:pPr>
              <w:rPr>
                <w:rFonts w:cs="Times New Roman"/>
                <w:szCs w:val="24"/>
              </w:rPr>
            </w:pPr>
          </w:p>
        </w:tc>
        <w:tc>
          <w:tcPr>
            <w:tcW w:w="2493" w:type="dxa"/>
            <w:shd w:val="clear" w:color="auto" w:fill="auto"/>
            <w:vAlign w:val="center"/>
          </w:tcPr>
          <w:p w14:paraId="2A6141AB" w14:textId="2338D50B" w:rsidR="00321E44" w:rsidRPr="00850CA4" w:rsidRDefault="00850CA4" w:rsidP="00850CA4">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color w:val="2F5496" w:themeColor="accent1" w:themeShade="BF"/>
                <w:sz w:val="24"/>
                <w:szCs w:val="24"/>
              </w:rPr>
            </w:pPr>
            <w:r w:rsidRPr="00850CA4">
              <w:rPr>
                <w:rFonts w:ascii="Times New Roman" w:eastAsia="Calibri" w:hAnsi="Times New Roman" w:cs="Times New Roman"/>
                <w:b/>
                <w:bCs/>
                <w:color w:val="2F5496" w:themeColor="accent1" w:themeShade="BF"/>
                <w:sz w:val="24"/>
                <w:szCs w:val="24"/>
              </w:rPr>
              <w:t>Hyperglycaemia</w:t>
            </w:r>
          </w:p>
        </w:tc>
        <w:tc>
          <w:tcPr>
            <w:tcW w:w="4536" w:type="dxa"/>
            <w:shd w:val="clear" w:color="auto" w:fill="auto"/>
            <w:vAlign w:val="center"/>
          </w:tcPr>
          <w:p w14:paraId="7AECA603" w14:textId="477E23AF" w:rsidR="00321E44" w:rsidRPr="00850CA4" w:rsidRDefault="00850CA4" w:rsidP="00850CA4">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2F5496" w:themeColor="accent1" w:themeShade="BF"/>
                <w:sz w:val="24"/>
                <w:szCs w:val="24"/>
              </w:rPr>
            </w:pPr>
            <w:r w:rsidRPr="00850CA4">
              <w:rPr>
                <w:rFonts w:ascii="Times New Roman" w:eastAsia="Calibri" w:hAnsi="Times New Roman" w:cs="Times New Roman"/>
                <w:color w:val="2F5496" w:themeColor="accent1" w:themeShade="BF"/>
                <w:sz w:val="24"/>
                <w:szCs w:val="24"/>
              </w:rPr>
              <w:t>FPG≥100 and/</w:t>
            </w:r>
            <w:proofErr w:type="gramStart"/>
            <w:r w:rsidRPr="00850CA4">
              <w:rPr>
                <w:rFonts w:ascii="Times New Roman" w:eastAsia="Calibri" w:hAnsi="Times New Roman" w:cs="Times New Roman"/>
                <w:color w:val="2F5496" w:themeColor="accent1" w:themeShade="BF"/>
                <w:sz w:val="24"/>
                <w:szCs w:val="24"/>
              </w:rPr>
              <w:t>or  HbA</w:t>
            </w:r>
            <w:proofErr w:type="gramEnd"/>
            <w:r w:rsidRPr="00850CA4">
              <w:rPr>
                <w:rFonts w:ascii="Times New Roman" w:eastAsia="Calibri" w:hAnsi="Times New Roman" w:cs="Times New Roman"/>
                <w:color w:val="2F5496" w:themeColor="accent1" w:themeShade="BF"/>
                <w:sz w:val="24"/>
                <w:szCs w:val="24"/>
              </w:rPr>
              <w:t xml:space="preserve">1c ≥5.7% </w:t>
            </w:r>
            <w:r w:rsidRPr="00850CA4">
              <w:rPr>
                <w:rFonts w:ascii="Times New Roman" w:eastAsia="Calibri" w:hAnsi="Times New Roman" w:cs="Times New Roman"/>
                <w:color w:val="2F5496" w:themeColor="accent1" w:themeShade="BF"/>
                <w:sz w:val="24"/>
                <w:szCs w:val="24"/>
              </w:rPr>
              <w:t>*</w:t>
            </w:r>
          </w:p>
        </w:tc>
      </w:tr>
      <w:tr w:rsidR="00321E44" w14:paraId="70D24472" w14:textId="63A9BB99" w:rsidTr="00850CA4">
        <w:trPr>
          <w:trHeight w:val="639"/>
        </w:trPr>
        <w:tc>
          <w:tcPr>
            <w:cnfStyle w:val="001000000000" w:firstRow="0" w:lastRow="0" w:firstColumn="1" w:lastColumn="0" w:oddVBand="0" w:evenVBand="0" w:oddHBand="0" w:evenHBand="0" w:firstRowFirstColumn="0" w:firstRowLastColumn="0" w:lastRowFirstColumn="0" w:lastRowLastColumn="0"/>
            <w:tcW w:w="3319" w:type="dxa"/>
            <w:vMerge/>
          </w:tcPr>
          <w:p w14:paraId="4007BDB7" w14:textId="77777777" w:rsidR="00321E44" w:rsidRPr="00237ED1" w:rsidRDefault="00321E44" w:rsidP="000220BF">
            <w:pPr>
              <w:rPr>
                <w:rFonts w:cs="Times New Roman"/>
                <w:szCs w:val="24"/>
              </w:rPr>
            </w:pPr>
          </w:p>
        </w:tc>
        <w:tc>
          <w:tcPr>
            <w:tcW w:w="2493" w:type="dxa"/>
            <w:vAlign w:val="center"/>
          </w:tcPr>
          <w:p w14:paraId="0405E296" w14:textId="5651DA3E" w:rsidR="00321E44" w:rsidRPr="00850CA4" w:rsidRDefault="00850CA4" w:rsidP="00850CA4">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color w:val="2F5496" w:themeColor="accent1" w:themeShade="BF"/>
                <w:sz w:val="24"/>
                <w:szCs w:val="24"/>
              </w:rPr>
            </w:pPr>
            <w:r w:rsidRPr="00850CA4">
              <w:rPr>
                <w:rFonts w:ascii="Times New Roman" w:eastAsia="Calibri" w:hAnsi="Times New Roman" w:cs="Times New Roman"/>
                <w:b/>
                <w:bCs/>
                <w:color w:val="2F5496" w:themeColor="accent1" w:themeShade="BF"/>
                <w:sz w:val="24"/>
                <w:szCs w:val="24"/>
              </w:rPr>
              <w:t>Hypertension</w:t>
            </w:r>
          </w:p>
        </w:tc>
        <w:tc>
          <w:tcPr>
            <w:tcW w:w="4536" w:type="dxa"/>
            <w:vAlign w:val="center"/>
          </w:tcPr>
          <w:p w14:paraId="018EB5D3" w14:textId="5658F422" w:rsidR="00321E44" w:rsidRPr="00850CA4" w:rsidRDefault="00850CA4" w:rsidP="00850CA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2F5496" w:themeColor="accent1" w:themeShade="BF"/>
                <w:sz w:val="24"/>
                <w:szCs w:val="24"/>
              </w:rPr>
            </w:pPr>
            <w:r w:rsidRPr="00850CA4">
              <w:rPr>
                <w:rFonts w:ascii="Times New Roman" w:eastAsia="Calibri" w:hAnsi="Times New Roman" w:cs="Times New Roman"/>
                <w:color w:val="2F5496" w:themeColor="accent1" w:themeShade="BF"/>
                <w:sz w:val="24"/>
                <w:szCs w:val="24"/>
              </w:rPr>
              <w:t>SAP≥130mmHg</w:t>
            </w:r>
            <w:r w:rsidRPr="00850CA4">
              <w:rPr>
                <w:rFonts w:ascii="Times New Roman" w:eastAsia="Calibri" w:hAnsi="Times New Roman" w:cs="Times New Roman"/>
                <w:color w:val="2F5496" w:themeColor="accent1" w:themeShade="BF"/>
                <w:sz w:val="24"/>
                <w:szCs w:val="24"/>
              </w:rPr>
              <w:t xml:space="preserve"> and/or </w:t>
            </w:r>
            <w:r w:rsidRPr="00850CA4">
              <w:rPr>
                <w:rFonts w:ascii="Times New Roman" w:eastAsia="Calibri" w:hAnsi="Times New Roman" w:cs="Times New Roman"/>
                <w:color w:val="2F5496" w:themeColor="accent1" w:themeShade="BF"/>
                <w:sz w:val="24"/>
                <w:szCs w:val="24"/>
              </w:rPr>
              <w:t xml:space="preserve">DAP≥85mmHg </w:t>
            </w:r>
            <w:r w:rsidRPr="00850CA4">
              <w:rPr>
                <w:rFonts w:ascii="Times New Roman" w:eastAsia="Calibri" w:hAnsi="Times New Roman" w:cs="Times New Roman"/>
                <w:color w:val="2F5496" w:themeColor="accent1" w:themeShade="BF"/>
                <w:sz w:val="24"/>
                <w:szCs w:val="24"/>
              </w:rPr>
              <w:t>*</w:t>
            </w:r>
          </w:p>
        </w:tc>
      </w:tr>
    </w:tbl>
    <w:p w14:paraId="48518852" w14:textId="5469A016" w:rsidR="00321E44" w:rsidRPr="00850CA4" w:rsidRDefault="00850CA4" w:rsidP="00850CA4">
      <w:pPr>
        <w:rPr>
          <w:rFonts w:ascii="Times New Roman" w:eastAsia="Calibri" w:hAnsi="Times New Roman" w:cs="Times New Roman"/>
          <w:sz w:val="24"/>
          <w:szCs w:val="24"/>
        </w:rPr>
      </w:pPr>
      <w:r>
        <w:t>*</w:t>
      </w:r>
      <w:proofErr w:type="gramStart"/>
      <w:r w:rsidRPr="00850CA4">
        <w:rPr>
          <w:rFonts w:ascii="Times New Roman" w:eastAsia="Calibri" w:hAnsi="Times New Roman" w:cs="Times New Roman"/>
          <w:sz w:val="24"/>
          <w:szCs w:val="24"/>
        </w:rPr>
        <w:t>or</w:t>
      </w:r>
      <w:proofErr w:type="gramEnd"/>
      <w:r w:rsidRPr="00850CA4">
        <w:rPr>
          <w:rFonts w:ascii="Times New Roman" w:eastAsia="Calibri" w:hAnsi="Times New Roman" w:cs="Times New Roman"/>
          <w:sz w:val="24"/>
          <w:szCs w:val="24"/>
        </w:rPr>
        <w:t xml:space="preserve"> normal values under specific pharmacological treatment.</w:t>
      </w:r>
      <w:bookmarkStart w:id="1" w:name="OLE_LINK1"/>
      <w:r>
        <w:rPr>
          <w:rFonts w:ascii="Times New Roman" w:eastAsia="Calibri" w:hAnsi="Times New Roman" w:cs="Times New Roman"/>
          <w:sz w:val="24"/>
          <w:szCs w:val="24"/>
        </w:rPr>
        <w:br/>
      </w:r>
      <w:r w:rsidR="00321E44" w:rsidRPr="00850CA4">
        <w:rPr>
          <w:rFonts w:ascii="Times New Roman" w:eastAsia="Calibri" w:hAnsi="Times New Roman" w:cs="Times New Roman"/>
          <w:sz w:val="24"/>
          <w:szCs w:val="24"/>
        </w:rPr>
        <w:t xml:space="preserve">Abbreviations: </w:t>
      </w:r>
      <w:r w:rsidRPr="00850CA4">
        <w:rPr>
          <w:rFonts w:ascii="Times New Roman" w:eastAsia="Calibri" w:hAnsi="Times New Roman" w:cs="Times New Roman"/>
          <w:sz w:val="24"/>
          <w:szCs w:val="24"/>
        </w:rPr>
        <w:t xml:space="preserve">US, ultrasonography; </w:t>
      </w:r>
      <w:r w:rsidR="00321E44" w:rsidRPr="00850CA4">
        <w:rPr>
          <w:rFonts w:ascii="Times New Roman" w:eastAsia="Calibri" w:hAnsi="Times New Roman" w:cs="Times New Roman"/>
          <w:sz w:val="24"/>
          <w:szCs w:val="24"/>
        </w:rPr>
        <w:t>BMI, Body Mass Index</w:t>
      </w:r>
      <w:bookmarkEnd w:id="1"/>
      <w:r w:rsidR="00321E44" w:rsidRPr="00850CA4">
        <w:rPr>
          <w:rFonts w:ascii="Times New Roman" w:eastAsia="Calibri" w:hAnsi="Times New Roman" w:cs="Times New Roman"/>
          <w:sz w:val="24"/>
          <w:szCs w:val="24"/>
        </w:rPr>
        <w:t>; FPG, Fasting Plasma Glucose; HbA1c, glycosylated haemoglobin; SAP, systolic arterial pressure; DAP, diastolic arterial pressure</w:t>
      </w:r>
    </w:p>
    <w:p w14:paraId="12A7F1E8" w14:textId="2C1F8076" w:rsidR="00850CA4" w:rsidRPr="00850CA4" w:rsidRDefault="00850CA4" w:rsidP="000220BF">
      <w:pPr>
        <w:rPr>
          <w:rFonts w:ascii="Times New Roman" w:eastAsia="Calibri" w:hAnsi="Times New Roman" w:cs="Times New Roman"/>
          <w:b/>
          <w:bCs/>
          <w:sz w:val="24"/>
          <w:szCs w:val="24"/>
        </w:rPr>
      </w:pPr>
      <w:r w:rsidRPr="00850CA4">
        <w:rPr>
          <w:rFonts w:ascii="Times New Roman" w:eastAsia="Calibri" w:hAnsi="Times New Roman" w:cs="Times New Roman"/>
          <w:b/>
          <w:bCs/>
          <w:sz w:val="24"/>
          <w:szCs w:val="24"/>
        </w:rPr>
        <w:t>Reference</w:t>
      </w:r>
    </w:p>
    <w:p w14:paraId="6BFE97D6" w14:textId="77777777" w:rsidR="00850CA4" w:rsidRPr="00850CA4" w:rsidRDefault="00850CA4" w:rsidP="00850CA4">
      <w:pPr>
        <w:pStyle w:val="Bibliography"/>
        <w:rPr>
          <w:rFonts w:ascii="Calibri" w:hAnsi="Calibri" w:cs="Calibri"/>
        </w:rPr>
      </w:pPr>
      <w:r>
        <w:fldChar w:fldCharType="begin"/>
      </w:r>
      <w:r w:rsidRPr="00850CA4">
        <w:rPr>
          <w:lang w:val="it-IT"/>
        </w:rPr>
        <w:instrText xml:space="preserve"> ADDIN ZOTERO_BIBL {"uncited":[],"omitted":[],"custom":[]} CSL_BIBLIOGRAPHY </w:instrText>
      </w:r>
      <w:r>
        <w:fldChar w:fldCharType="separate"/>
      </w:r>
      <w:r w:rsidRPr="00850CA4">
        <w:rPr>
          <w:rFonts w:ascii="Calibri" w:hAnsi="Calibri" w:cs="Calibri"/>
          <w:lang w:val="it-IT"/>
        </w:rPr>
        <w:t>1.</w:t>
      </w:r>
      <w:r w:rsidRPr="00850CA4">
        <w:rPr>
          <w:rFonts w:ascii="Calibri" w:hAnsi="Calibri" w:cs="Calibri"/>
          <w:lang w:val="it-IT"/>
        </w:rPr>
        <w:tab/>
        <w:t xml:space="preserve">Rinella ME, Lazarus JV, </w:t>
      </w:r>
      <w:proofErr w:type="spellStart"/>
      <w:r w:rsidRPr="00850CA4">
        <w:rPr>
          <w:rFonts w:ascii="Calibri" w:hAnsi="Calibri" w:cs="Calibri"/>
          <w:lang w:val="it-IT"/>
        </w:rPr>
        <w:t>Ratziu</w:t>
      </w:r>
      <w:proofErr w:type="spellEnd"/>
      <w:r w:rsidRPr="00850CA4">
        <w:rPr>
          <w:rFonts w:ascii="Calibri" w:hAnsi="Calibri" w:cs="Calibri"/>
          <w:lang w:val="it-IT"/>
        </w:rPr>
        <w:t xml:space="preserve"> V, </w:t>
      </w:r>
      <w:proofErr w:type="spellStart"/>
      <w:r w:rsidRPr="00850CA4">
        <w:rPr>
          <w:rFonts w:ascii="Calibri" w:hAnsi="Calibri" w:cs="Calibri"/>
          <w:lang w:val="it-IT"/>
        </w:rPr>
        <w:t>Francque</w:t>
      </w:r>
      <w:proofErr w:type="spellEnd"/>
      <w:r w:rsidRPr="00850CA4">
        <w:rPr>
          <w:rFonts w:ascii="Calibri" w:hAnsi="Calibri" w:cs="Calibri"/>
          <w:lang w:val="it-IT"/>
        </w:rPr>
        <w:t xml:space="preserve"> SM, </w:t>
      </w:r>
      <w:proofErr w:type="spellStart"/>
      <w:r w:rsidRPr="00850CA4">
        <w:rPr>
          <w:rFonts w:ascii="Calibri" w:hAnsi="Calibri" w:cs="Calibri"/>
          <w:lang w:val="it-IT"/>
        </w:rPr>
        <w:t>Sanyal</w:t>
      </w:r>
      <w:proofErr w:type="spellEnd"/>
      <w:r w:rsidRPr="00850CA4">
        <w:rPr>
          <w:rFonts w:ascii="Calibri" w:hAnsi="Calibri" w:cs="Calibri"/>
          <w:lang w:val="it-IT"/>
        </w:rPr>
        <w:t xml:space="preserve"> AJ, </w:t>
      </w:r>
      <w:proofErr w:type="spellStart"/>
      <w:r w:rsidRPr="00850CA4">
        <w:rPr>
          <w:rFonts w:ascii="Calibri" w:hAnsi="Calibri" w:cs="Calibri"/>
          <w:lang w:val="it-IT"/>
        </w:rPr>
        <w:t>Kanwal</w:t>
      </w:r>
      <w:proofErr w:type="spellEnd"/>
      <w:r w:rsidRPr="00850CA4">
        <w:rPr>
          <w:rFonts w:ascii="Calibri" w:hAnsi="Calibri" w:cs="Calibri"/>
          <w:lang w:val="it-IT"/>
        </w:rPr>
        <w:t xml:space="preserve"> F, et al. </w:t>
      </w:r>
      <w:r w:rsidRPr="00850CA4">
        <w:rPr>
          <w:rFonts w:ascii="Calibri" w:hAnsi="Calibri" w:cs="Calibri"/>
        </w:rPr>
        <w:t xml:space="preserve">A multi-society Delphi consensus statement on new fatty liver disease nomenclature. J Hepatol. 2023 Jun </w:t>
      </w:r>
      <w:proofErr w:type="gramStart"/>
      <w:r w:rsidRPr="00850CA4">
        <w:rPr>
          <w:rFonts w:ascii="Calibri" w:hAnsi="Calibri" w:cs="Calibri"/>
        </w:rPr>
        <w:t>20;S</w:t>
      </w:r>
      <w:proofErr w:type="gramEnd"/>
      <w:r w:rsidRPr="00850CA4">
        <w:rPr>
          <w:rFonts w:ascii="Calibri" w:hAnsi="Calibri" w:cs="Calibri"/>
        </w:rPr>
        <w:t xml:space="preserve">0168-8278(23)00418-X. </w:t>
      </w:r>
    </w:p>
    <w:p w14:paraId="72BF0E44" w14:textId="57DE61EF" w:rsidR="00850CA4" w:rsidRDefault="00850CA4" w:rsidP="000220BF">
      <w:r>
        <w:fldChar w:fldCharType="end"/>
      </w:r>
    </w:p>
    <w:sectPr w:rsidR="00850CA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AC2"/>
    <w:rsid w:val="000220BF"/>
    <w:rsid w:val="00321E44"/>
    <w:rsid w:val="004976FF"/>
    <w:rsid w:val="00850CA4"/>
    <w:rsid w:val="00954EBE"/>
    <w:rsid w:val="00E67AC2"/>
    <w:rsid w:val="00ED2E73"/>
    <w:rsid w:val="00EE3B8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AC995"/>
  <w15:chartTrackingRefBased/>
  <w15:docId w15:val="{92260225-CFE3-40F6-80F4-4528CE940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E67A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7A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7A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7A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7A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7A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A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A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A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AC2"/>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E67AC2"/>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E67AC2"/>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E67AC2"/>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E67AC2"/>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E67AC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67AC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67AC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67AC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67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AC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67A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AC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67AC2"/>
    <w:pPr>
      <w:spacing w:before="160"/>
      <w:jc w:val="center"/>
    </w:pPr>
    <w:rPr>
      <w:i/>
      <w:iCs/>
      <w:color w:val="404040" w:themeColor="text1" w:themeTint="BF"/>
    </w:rPr>
  </w:style>
  <w:style w:type="character" w:customStyle="1" w:styleId="QuoteChar">
    <w:name w:val="Quote Char"/>
    <w:basedOn w:val="DefaultParagraphFont"/>
    <w:link w:val="Quote"/>
    <w:uiPriority w:val="29"/>
    <w:rsid w:val="00E67AC2"/>
    <w:rPr>
      <w:i/>
      <w:iCs/>
      <w:color w:val="404040" w:themeColor="text1" w:themeTint="BF"/>
      <w:lang w:val="en-GB"/>
    </w:rPr>
  </w:style>
  <w:style w:type="paragraph" w:styleId="ListParagraph">
    <w:name w:val="List Paragraph"/>
    <w:basedOn w:val="Normal"/>
    <w:uiPriority w:val="34"/>
    <w:qFormat/>
    <w:rsid w:val="00E67AC2"/>
    <w:pPr>
      <w:ind w:left="720"/>
      <w:contextualSpacing/>
    </w:pPr>
  </w:style>
  <w:style w:type="character" w:styleId="IntenseEmphasis">
    <w:name w:val="Intense Emphasis"/>
    <w:basedOn w:val="DefaultParagraphFont"/>
    <w:uiPriority w:val="21"/>
    <w:qFormat/>
    <w:rsid w:val="00E67AC2"/>
    <w:rPr>
      <w:i/>
      <w:iCs/>
      <w:color w:val="2F5496" w:themeColor="accent1" w:themeShade="BF"/>
    </w:rPr>
  </w:style>
  <w:style w:type="paragraph" w:styleId="IntenseQuote">
    <w:name w:val="Intense Quote"/>
    <w:basedOn w:val="Normal"/>
    <w:next w:val="Normal"/>
    <w:link w:val="IntenseQuoteChar"/>
    <w:uiPriority w:val="30"/>
    <w:qFormat/>
    <w:rsid w:val="00E67A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7AC2"/>
    <w:rPr>
      <w:i/>
      <w:iCs/>
      <w:color w:val="2F5496" w:themeColor="accent1" w:themeShade="BF"/>
      <w:lang w:val="en-GB"/>
    </w:rPr>
  </w:style>
  <w:style w:type="character" w:styleId="IntenseReference">
    <w:name w:val="Intense Reference"/>
    <w:basedOn w:val="DefaultParagraphFont"/>
    <w:uiPriority w:val="32"/>
    <w:qFormat/>
    <w:rsid w:val="00E67AC2"/>
    <w:rPr>
      <w:b/>
      <w:bCs/>
      <w:smallCaps/>
      <w:color w:val="2F5496" w:themeColor="accent1" w:themeShade="BF"/>
      <w:spacing w:val="5"/>
    </w:rPr>
  </w:style>
  <w:style w:type="table" w:styleId="TableGrid">
    <w:name w:val="Table Grid"/>
    <w:basedOn w:val="TableNormal"/>
    <w:uiPriority w:val="39"/>
    <w:rsid w:val="00321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50C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850CA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Bibliography">
    <w:name w:val="Bibliography"/>
    <w:basedOn w:val="Normal"/>
    <w:next w:val="Normal"/>
    <w:uiPriority w:val="37"/>
    <w:unhideWhenUsed/>
    <w:rsid w:val="00850CA4"/>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75A93-A15D-4E8C-A350-CC4DCAAE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lucilla crudele</dc:creator>
  <cp:keywords/>
  <dc:description/>
  <cp:lastModifiedBy>lucilla crudele</cp:lastModifiedBy>
  <cp:revision>4</cp:revision>
  <dcterms:created xsi:type="dcterms:W3CDTF">2024-04-26T10:45:00Z</dcterms:created>
  <dcterms:modified xsi:type="dcterms:W3CDTF">2024-04-26T11:59:00Z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id="gsCLLiS2"/&gt;&lt;style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