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9E754" w14:textId="1AE59725" w:rsidR="00312D81" w:rsidRDefault="00312D81" w:rsidP="005C4D8C">
      <w:pPr>
        <w:rPr>
          <w:rFonts w:ascii="Arial" w:hAnsi="Arial" w:cs="Arial"/>
        </w:rPr>
      </w:pPr>
      <w:r w:rsidRPr="007801E6">
        <w:rPr>
          <w:rFonts w:ascii="Arial" w:hAnsi="Arial" w:cs="Arial"/>
        </w:rPr>
        <w:t xml:space="preserve">Supplement Figure </w:t>
      </w:r>
      <w:r w:rsidR="005C4D8C">
        <w:rPr>
          <w:rFonts w:ascii="Arial" w:hAnsi="Arial" w:cs="Arial"/>
        </w:rPr>
        <w:t>1</w:t>
      </w:r>
      <w:r w:rsidRPr="007801E6">
        <w:rPr>
          <w:rFonts w:ascii="Arial" w:hAnsi="Arial" w:cs="Arial"/>
        </w:rPr>
        <w:t xml:space="preserve">. </w:t>
      </w:r>
    </w:p>
    <w:p w14:paraId="26DCAFD9" w14:textId="77777777" w:rsidR="005C4D8C" w:rsidRDefault="005C4D8C">
      <w:pPr>
        <w:rPr>
          <w:rFonts w:ascii="Arial" w:hAnsi="Arial" w:cs="Arial"/>
        </w:rPr>
      </w:pPr>
    </w:p>
    <w:p w14:paraId="7DB09B23" w14:textId="7B3C78A2" w:rsidR="00C44FD3" w:rsidRPr="001C6FCD" w:rsidRDefault="005C4D8C" w:rsidP="00C44FD3">
      <w:pPr>
        <w:spacing w:after="0" w:line="480" w:lineRule="auto"/>
        <w:ind w:left="90"/>
        <w:rPr>
          <w:rFonts w:ascii="Arial" w:hAnsi="Arial" w:cs="Arial"/>
        </w:rPr>
      </w:pPr>
      <w:r>
        <w:rPr>
          <w:rFonts w:ascii="Arial" w:hAnsi="Arial" w:cs="Arial"/>
          <w:noProof/>
          <w:lang w:val="en-IN" w:eastAsia="en-IN"/>
        </w:rPr>
        <w:drawing>
          <wp:inline distT="0" distB="0" distL="0" distR="0" wp14:anchorId="1E0F3E0A" wp14:editId="3D44C4F4">
            <wp:extent cx="5580710" cy="3284220"/>
            <wp:effectExtent l="0" t="0" r="1270" b="0"/>
            <wp:docPr id="1798219559" name="Picture 179821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93813" cy="3291931"/>
                    </a:xfrm>
                    <a:prstGeom prst="rect">
                      <a:avLst/>
                    </a:prstGeom>
                    <a:noFill/>
                  </pic:spPr>
                </pic:pic>
              </a:graphicData>
            </a:graphic>
          </wp:inline>
        </w:drawing>
      </w:r>
      <w:r w:rsidR="00C44FD3" w:rsidRPr="00C44FD3">
        <w:rPr>
          <w:rFonts w:ascii="Arial" w:hAnsi="Arial" w:cs="Arial"/>
        </w:rPr>
        <w:t xml:space="preserve"> </w:t>
      </w:r>
      <w:r w:rsidR="00C44FD3" w:rsidRPr="001C6FCD">
        <w:rPr>
          <w:rFonts w:ascii="Arial" w:hAnsi="Arial" w:cs="Arial"/>
        </w:rPr>
        <w:t>Supplemental Figure 1. Relationship between change in pTau181/Aβ42 ratio and change in the Trail Making Test Part B (Trails B) score by sex and baseline diagnostic group. Males are in red and females are in blue. Those classified as Preclinical AD at baseline are pictured in the left panel and those classified as MCI at baseline are pictured in the right panel. Higher Trails B scores reflect worse performance. Higher pTau181/Aβ42 levels reflect greater pathology. The average follow-up duration for both males and females is approximately 4 years.</w:t>
      </w:r>
    </w:p>
    <w:p w14:paraId="6B8CB214" w14:textId="1BA5A455" w:rsidR="005E3244" w:rsidRDefault="005E3244">
      <w:pPr>
        <w:rPr>
          <w:rFonts w:ascii="Arial" w:hAnsi="Arial" w:cs="Arial"/>
        </w:rPr>
      </w:pPr>
      <w:r>
        <w:rPr>
          <w:rFonts w:ascii="Arial" w:hAnsi="Arial" w:cs="Arial"/>
        </w:rPr>
        <w:br w:type="page"/>
      </w:r>
    </w:p>
    <w:p w14:paraId="0822F396" w14:textId="6763F5A2" w:rsidR="005E3244" w:rsidRDefault="005E3244" w:rsidP="005E3244">
      <w:pPr>
        <w:spacing w:after="0" w:line="240" w:lineRule="auto"/>
        <w:rPr>
          <w:rFonts w:ascii="Arial" w:hAnsi="Arial" w:cs="Arial"/>
        </w:rPr>
      </w:pPr>
      <w:r>
        <w:rPr>
          <w:rFonts w:ascii="Arial" w:hAnsi="Arial" w:cs="Arial"/>
        </w:rPr>
        <w:lastRenderedPageBreak/>
        <w:t xml:space="preserve">Supplement Figure </w:t>
      </w:r>
      <w:r w:rsidR="005C4D8C">
        <w:rPr>
          <w:rFonts w:ascii="Arial" w:hAnsi="Arial" w:cs="Arial"/>
        </w:rPr>
        <w:t>2</w:t>
      </w:r>
      <w:r>
        <w:rPr>
          <w:rFonts w:ascii="Arial" w:hAnsi="Arial" w:cs="Arial"/>
        </w:rPr>
        <w:t>.</w:t>
      </w:r>
    </w:p>
    <w:p w14:paraId="00D323F1" w14:textId="09FE6EE5" w:rsidR="00D31E90" w:rsidRPr="007801E6" w:rsidRDefault="00D31E90" w:rsidP="005E3244">
      <w:pPr>
        <w:spacing w:after="0" w:line="240" w:lineRule="auto"/>
        <w:rPr>
          <w:rFonts w:ascii="Arial" w:hAnsi="Arial" w:cs="Arial"/>
        </w:rPr>
      </w:pPr>
      <w:r>
        <w:rPr>
          <w:rFonts w:ascii="Arial" w:hAnsi="Arial" w:cs="Arial"/>
          <w:noProof/>
        </w:rPr>
        <w:drawing>
          <wp:inline distT="0" distB="0" distL="0" distR="0" wp14:anchorId="5A0A5028" wp14:editId="6F1D4DF6">
            <wp:extent cx="4891998" cy="291846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8127" cy="2928082"/>
                    </a:xfrm>
                    <a:prstGeom prst="rect">
                      <a:avLst/>
                    </a:prstGeom>
                    <a:noFill/>
                  </pic:spPr>
                </pic:pic>
              </a:graphicData>
            </a:graphic>
          </wp:inline>
        </w:drawing>
      </w:r>
    </w:p>
    <w:p w14:paraId="54C5B804" w14:textId="015AD4ED" w:rsidR="005E3244" w:rsidRDefault="005E3244" w:rsidP="005E3244">
      <w:pPr>
        <w:pStyle w:val="NormalWeb"/>
      </w:pPr>
    </w:p>
    <w:p w14:paraId="7ACC2CD2" w14:textId="77777777" w:rsidR="00312D81" w:rsidRPr="007801E6" w:rsidRDefault="00312D81" w:rsidP="007801E6">
      <w:pPr>
        <w:pStyle w:val="NormalWeb"/>
        <w:spacing w:before="0" w:beforeAutospacing="0" w:after="0" w:afterAutospacing="0" w:line="480" w:lineRule="auto"/>
        <w:rPr>
          <w:rFonts w:ascii="Arial" w:hAnsi="Arial" w:cs="Arial"/>
          <w:sz w:val="22"/>
          <w:szCs w:val="22"/>
        </w:rPr>
      </w:pPr>
    </w:p>
    <w:p w14:paraId="7D59A729" w14:textId="77777777" w:rsidR="00C44FD3" w:rsidRDefault="00C44FD3" w:rsidP="00C44FD3">
      <w:pPr>
        <w:spacing w:after="0" w:line="480" w:lineRule="auto"/>
        <w:ind w:left="90"/>
        <w:rPr>
          <w:rFonts w:ascii="Arial" w:hAnsi="Arial" w:cs="Arial"/>
        </w:rPr>
      </w:pPr>
      <w:r w:rsidRPr="001C6FCD">
        <w:rPr>
          <w:rFonts w:ascii="Arial" w:hAnsi="Arial" w:cs="Arial"/>
        </w:rPr>
        <w:t>Supplemental Figure 2. Relationship between change in pTau181/Aβ42 ratio and change in the Clinical Dementia Rating – Sum of Boxes (CDR-SB) by sex and baseline diagnostic group. Males are in red and females are in blue. Those classified as Preclinical AD at baseline are pictured in the left panel and those classified as MCI at baseline are pictured in the right panel. Higher CDR-SB scores reflect greater impairment. Higher pTau181/Aβ42 levels reflect greater pathology. The average follow-up duration for both males and females is approximately 4 years.</w:t>
      </w:r>
    </w:p>
    <w:p w14:paraId="05E0740C" w14:textId="77777777" w:rsidR="0008074D" w:rsidRPr="007801E6" w:rsidRDefault="0008074D" w:rsidP="007801E6">
      <w:pPr>
        <w:spacing w:after="0" w:line="480" w:lineRule="auto"/>
        <w:rPr>
          <w:rFonts w:ascii="Arial" w:hAnsi="Arial" w:cs="Arial"/>
        </w:rPr>
      </w:pPr>
    </w:p>
    <w:sectPr w:rsidR="0008074D" w:rsidRPr="00780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81"/>
    <w:rsid w:val="0008074D"/>
    <w:rsid w:val="000B6D17"/>
    <w:rsid w:val="00312D81"/>
    <w:rsid w:val="005C4D8C"/>
    <w:rsid w:val="005E3244"/>
    <w:rsid w:val="007801E6"/>
    <w:rsid w:val="00887D9A"/>
    <w:rsid w:val="00AA65BD"/>
    <w:rsid w:val="00C44FD3"/>
    <w:rsid w:val="00D31E90"/>
    <w:rsid w:val="00E604DB"/>
    <w:rsid w:val="00F1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FEA8"/>
  <w15:chartTrackingRefBased/>
  <w15:docId w15:val="{4F3FB0E1-2373-420B-84C8-6563303A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2D81"/>
    <w:rPr>
      <w:sz w:val="16"/>
      <w:szCs w:val="16"/>
    </w:rPr>
  </w:style>
  <w:style w:type="paragraph" w:styleId="CommentText">
    <w:name w:val="annotation text"/>
    <w:basedOn w:val="Normal"/>
    <w:link w:val="CommentTextChar"/>
    <w:uiPriority w:val="99"/>
    <w:semiHidden/>
    <w:unhideWhenUsed/>
    <w:rsid w:val="00312D81"/>
    <w:pPr>
      <w:spacing w:line="240" w:lineRule="auto"/>
    </w:pPr>
    <w:rPr>
      <w:sz w:val="20"/>
      <w:szCs w:val="20"/>
    </w:rPr>
  </w:style>
  <w:style w:type="character" w:customStyle="1" w:styleId="CommentTextChar">
    <w:name w:val="Comment Text Char"/>
    <w:basedOn w:val="DefaultParagraphFont"/>
    <w:link w:val="CommentText"/>
    <w:uiPriority w:val="99"/>
    <w:semiHidden/>
    <w:rsid w:val="00312D81"/>
    <w:rPr>
      <w:sz w:val="20"/>
      <w:szCs w:val="20"/>
    </w:rPr>
  </w:style>
  <w:style w:type="paragraph" w:styleId="NormalWeb">
    <w:name w:val="Normal (Web)"/>
    <w:basedOn w:val="Normal"/>
    <w:uiPriority w:val="99"/>
    <w:unhideWhenUsed/>
    <w:rsid w:val="00312D8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2D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D81"/>
    <w:rPr>
      <w:rFonts w:ascii="Segoe UI" w:hAnsi="Segoe UI" w:cs="Segoe UI"/>
      <w:sz w:val="18"/>
      <w:szCs w:val="18"/>
    </w:rPr>
  </w:style>
  <w:style w:type="paragraph" w:styleId="Revision">
    <w:name w:val="Revision"/>
    <w:hidden/>
    <w:uiPriority w:val="99"/>
    <w:semiHidden/>
    <w:rsid w:val="00E604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8631">
      <w:bodyDiv w:val="1"/>
      <w:marLeft w:val="0"/>
      <w:marRight w:val="0"/>
      <w:marTop w:val="0"/>
      <w:marBottom w:val="0"/>
      <w:divBdr>
        <w:top w:val="none" w:sz="0" w:space="0" w:color="auto"/>
        <w:left w:val="none" w:sz="0" w:space="0" w:color="auto"/>
        <w:bottom w:val="none" w:sz="0" w:space="0" w:color="auto"/>
        <w:right w:val="none" w:sz="0" w:space="0" w:color="auto"/>
      </w:divBdr>
    </w:div>
    <w:div w:id="644706245">
      <w:bodyDiv w:val="1"/>
      <w:marLeft w:val="0"/>
      <w:marRight w:val="0"/>
      <w:marTop w:val="0"/>
      <w:marBottom w:val="0"/>
      <w:divBdr>
        <w:top w:val="none" w:sz="0" w:space="0" w:color="auto"/>
        <w:left w:val="none" w:sz="0" w:space="0" w:color="auto"/>
        <w:bottom w:val="none" w:sz="0" w:space="0" w:color="auto"/>
        <w:right w:val="none" w:sz="0" w:space="0" w:color="auto"/>
      </w:divBdr>
    </w:div>
    <w:div w:id="920606705">
      <w:bodyDiv w:val="1"/>
      <w:marLeft w:val="0"/>
      <w:marRight w:val="0"/>
      <w:marTop w:val="0"/>
      <w:marBottom w:val="0"/>
      <w:divBdr>
        <w:top w:val="none" w:sz="0" w:space="0" w:color="auto"/>
        <w:left w:val="none" w:sz="0" w:space="0" w:color="auto"/>
        <w:bottom w:val="none" w:sz="0" w:space="0" w:color="auto"/>
        <w:right w:val="none" w:sz="0" w:space="0" w:color="auto"/>
      </w:divBdr>
    </w:div>
    <w:div w:id="949622781">
      <w:bodyDiv w:val="1"/>
      <w:marLeft w:val="0"/>
      <w:marRight w:val="0"/>
      <w:marTop w:val="0"/>
      <w:marBottom w:val="0"/>
      <w:divBdr>
        <w:top w:val="none" w:sz="0" w:space="0" w:color="auto"/>
        <w:left w:val="none" w:sz="0" w:space="0" w:color="auto"/>
        <w:bottom w:val="none" w:sz="0" w:space="0" w:color="auto"/>
        <w:right w:val="none" w:sz="0" w:space="0" w:color="auto"/>
      </w:divBdr>
    </w:div>
    <w:div w:id="1153719084">
      <w:bodyDiv w:val="1"/>
      <w:marLeft w:val="0"/>
      <w:marRight w:val="0"/>
      <w:marTop w:val="0"/>
      <w:marBottom w:val="0"/>
      <w:divBdr>
        <w:top w:val="none" w:sz="0" w:space="0" w:color="auto"/>
        <w:left w:val="none" w:sz="0" w:space="0" w:color="auto"/>
        <w:bottom w:val="none" w:sz="0" w:space="0" w:color="auto"/>
        <w:right w:val="none" w:sz="0" w:space="0" w:color="auto"/>
      </w:divBdr>
    </w:div>
    <w:div w:id="1599829654">
      <w:bodyDiv w:val="1"/>
      <w:marLeft w:val="0"/>
      <w:marRight w:val="0"/>
      <w:marTop w:val="0"/>
      <w:marBottom w:val="0"/>
      <w:divBdr>
        <w:top w:val="none" w:sz="0" w:space="0" w:color="auto"/>
        <w:left w:val="none" w:sz="0" w:space="0" w:color="auto"/>
        <w:bottom w:val="none" w:sz="0" w:space="0" w:color="auto"/>
        <w:right w:val="none" w:sz="0" w:space="0" w:color="auto"/>
      </w:divBdr>
    </w:div>
    <w:div w:id="1701121393">
      <w:bodyDiv w:val="1"/>
      <w:marLeft w:val="0"/>
      <w:marRight w:val="0"/>
      <w:marTop w:val="0"/>
      <w:marBottom w:val="0"/>
      <w:divBdr>
        <w:top w:val="none" w:sz="0" w:space="0" w:color="auto"/>
        <w:left w:val="none" w:sz="0" w:space="0" w:color="auto"/>
        <w:bottom w:val="none" w:sz="0" w:space="0" w:color="auto"/>
        <w:right w:val="none" w:sz="0" w:space="0" w:color="auto"/>
      </w:divBdr>
    </w:div>
    <w:div w:id="1872108651">
      <w:bodyDiv w:val="1"/>
      <w:marLeft w:val="0"/>
      <w:marRight w:val="0"/>
      <w:marTop w:val="0"/>
      <w:marBottom w:val="0"/>
      <w:divBdr>
        <w:top w:val="none" w:sz="0" w:space="0" w:color="auto"/>
        <w:left w:val="none" w:sz="0" w:space="0" w:color="auto"/>
        <w:bottom w:val="none" w:sz="0" w:space="0" w:color="auto"/>
        <w:right w:val="none" w:sz="0" w:space="0" w:color="auto"/>
      </w:divBdr>
    </w:div>
    <w:div w:id="210078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Sundermann, Erin</dc:creator>
  <cp:keywords/>
  <dc:description/>
  <cp:lastModifiedBy>Werner von Gruenewaldt</cp:lastModifiedBy>
  <cp:revision>3</cp:revision>
  <dcterms:created xsi:type="dcterms:W3CDTF">2026-01-08T20:32:00Z</dcterms:created>
  <dcterms:modified xsi:type="dcterms:W3CDTF">2026-01-20T09:58:00Z</dcterms:modified>
</cp:coreProperties>
</file>