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500E" w14:textId="77777777" w:rsidR="00446AB0" w:rsidRDefault="00446AB0">
      <w:pPr>
        <w:tabs>
          <w:tab w:val="left" w:pos="2430"/>
        </w:tabs>
        <w:jc w:val="center"/>
        <w:rPr>
          <w:rFonts w:ascii="Times New Roman" w:hAnsi="Times New Roman" w:cs="Times New Roman"/>
          <w:sz w:val="2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46AB0" w14:paraId="681F7334" w14:textId="77777777">
        <w:trPr>
          <w:trHeight w:val="426"/>
          <w:jc w:val="center"/>
        </w:trPr>
        <w:tc>
          <w:tcPr>
            <w:tcW w:w="1389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2DEE64" w14:textId="77777777" w:rsidR="00446AB0" w:rsidRPr="00BA5DA6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DA6"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Supplementary </w:t>
            </w:r>
            <w:r w:rsidRPr="00BA5DA6">
              <w:rPr>
                <w:rFonts w:ascii="Times New Roman" w:hAnsi="Times New Roman" w:cs="Times New Roman"/>
                <w:b/>
                <w:bCs/>
                <w:sz w:val="22"/>
              </w:rPr>
              <w:t>Table 1. Baseline participant characteristics according to quartile for serum sex hormone-binding globulin (SHBG) in men and women</w:t>
            </w:r>
          </w:p>
        </w:tc>
      </w:tr>
      <w:tr w:rsidR="00446AB0" w14:paraId="59BD1A0C" w14:textId="77777777">
        <w:trPr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937BEB" w14:textId="77777777" w:rsidR="00446AB0" w:rsidRDefault="00446AB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7E6E6" w:themeFill="background2"/>
            <w:vAlign w:val="center"/>
          </w:tcPr>
          <w:p w14:paraId="4A059AAC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Quartile for SHBG in men (n = 176,909)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E7E6E6" w:themeFill="background2"/>
            <w:vAlign w:val="center"/>
          </w:tcPr>
          <w:p w14:paraId="540B8A15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Quartile for SHBG in women (n = 160,147)</w:t>
            </w:r>
          </w:p>
        </w:tc>
      </w:tr>
      <w:tr w:rsidR="00446AB0" w14:paraId="305F8CF3" w14:textId="77777777">
        <w:trPr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469D3712" w14:textId="77777777" w:rsidR="00446AB0" w:rsidRDefault="00446AB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185678EB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48699EDF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1700A024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0E0C315D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04CE7DAD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Q1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00B814DE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310532E9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2F7ED935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Q4</w:t>
            </w:r>
          </w:p>
        </w:tc>
      </w:tr>
      <w:tr w:rsidR="00446AB0" w14:paraId="29CB9127" w14:textId="77777777">
        <w:trPr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AF1B6F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Age, y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4BC48A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(46-60)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3C103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 (49-62)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47479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(51-64)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91CFA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 (55-65)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D93B0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(50-62)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BA35D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(50-63)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B038B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(49-62)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7CCCD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54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(47-62)</w:t>
            </w:r>
          </w:p>
        </w:tc>
      </w:tr>
      <w:tr w:rsidR="00446AB0" w14:paraId="47DE98CB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435D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Ethnicity,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F11E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FDCB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B175C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EA41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6A48A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35AC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EE4EB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0F89F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6AB0" w14:paraId="24119B54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883F4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White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B0A2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20E5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D80C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1B28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A97EC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2F90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2F2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9C9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96.9</w:t>
            </w:r>
          </w:p>
        </w:tc>
      </w:tr>
      <w:tr w:rsidR="00446AB0" w14:paraId="11D3B368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0BCE2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Asian or Asian British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AFC0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253E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B9B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261E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303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4CE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3FA9C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21CB2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</w:tr>
      <w:tr w:rsidR="00446AB0" w14:paraId="3363B89C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64EFD" w14:textId="77777777" w:rsidR="00446AB0" w:rsidRDefault="00000000">
            <w:pPr>
              <w:spacing w:line="32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Black or Black British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0E7D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B428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514F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C16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FBD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7FB4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033F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5EAF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446AB0" w14:paraId="3A34C8AD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DF8F7" w14:textId="77777777" w:rsidR="00446AB0" w:rsidRDefault="00000000">
            <w:pPr>
              <w:spacing w:line="32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4C95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C00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1B0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3FD2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E2D2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8525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C85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FD7C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446AB0" w14:paraId="0EC396BA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36C38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TDI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B4BE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-2.0 (-3.6-0.9)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ABEA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-2.2 (-3.7-0.5)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18E5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-2.2 (-3.7-0.4)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EB94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-2.2 (-3.7-0.6)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EDE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-2.0 (-3.5-0.8)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87B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-2.2 (-3.7-0.4)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63C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-2.3 (-3.7-0.2)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628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-2.2 (-3.7-0.3)</w:t>
            </w:r>
          </w:p>
        </w:tc>
      </w:tr>
      <w:tr w:rsidR="00446AB0" w14:paraId="05F16934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A2954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Smoking status, %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02121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3CFDF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A7DFE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6D43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C8413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937D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DD9EE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7027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6AB0" w14:paraId="3F1DC43F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DABFC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Never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BAFF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9C91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E3C2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23FD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9494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AE3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444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F0D4C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61.8</w:t>
            </w:r>
          </w:p>
        </w:tc>
      </w:tr>
      <w:tr w:rsidR="00446AB0" w14:paraId="75E95C09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8219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Former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1E86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747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5DA8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D782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888C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31A3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2BD5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5FC3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28.7</w:t>
            </w:r>
          </w:p>
        </w:tc>
      </w:tr>
      <w:tr w:rsidR="00446AB0" w14:paraId="6CB9705B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CBCEF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Current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8D37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A63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951B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19D9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8AE0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525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6764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657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</w:tr>
      <w:tr w:rsidR="00446AB0" w14:paraId="57094089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84E3E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Drinking status,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6BAD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5ACCE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33652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DFAE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CBB4E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A4F71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66D0E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2851B" w14:textId="77777777" w:rsidR="00446AB0" w:rsidRDefault="00446AB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6AB0" w14:paraId="452FF835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DBEFC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Never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7CA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EC18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132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CBB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795C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CD0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E5D0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4E84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</w:tr>
      <w:tr w:rsidR="00446AB0" w14:paraId="186D8F2C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1F23A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Former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874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020A2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B40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4DD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19D5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54C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AA8D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C29D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</w:tr>
      <w:tr w:rsidR="00446AB0" w14:paraId="52AC77D4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A46B4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Current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7385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8357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91A3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F519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B300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E72A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6E8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CAAA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91.3</w:t>
            </w:r>
          </w:p>
        </w:tc>
      </w:tr>
      <w:tr w:rsidR="00446AB0" w14:paraId="0F8AF076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D6B5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Total PA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MET-h/week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2BDA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25.6 (11.0-53.8)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2E96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29.3 (12.9-59.6)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16C5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32.4 (14.9-64.9)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F1F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35.6 (16.6-71.1)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E7EA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24.4 (11.0-50.9)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EB82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28.8 (12.9-54.7)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429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30.4 (14.8-58.2)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6DBC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32.4 (15.6-60.9)</w:t>
            </w:r>
          </w:p>
        </w:tc>
      </w:tr>
      <w:tr w:rsidR="00446AB0" w14:paraId="715884D8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7A00E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Coffee, cup/day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413F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 (0.5-3)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1DF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 (0.5-3)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2C6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 (0.5-3)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E251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 (0.5-3)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E45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 (0-3)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52F2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 (0.5-3)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D36C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 (0.5-3)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EBCA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 (0.5-3)</w:t>
            </w:r>
          </w:p>
        </w:tc>
      </w:tr>
      <w:tr w:rsidR="00446AB0" w14:paraId="426DB8E1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D506C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Tea, cup/day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3261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 (1-5)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9E92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 (1-5)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21CA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 (1-5)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7E2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 (-5)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11E9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 (1-5)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70A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 (1-5)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FC8F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 (1-5)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D41B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 (1-5)</w:t>
            </w:r>
          </w:p>
        </w:tc>
      </w:tr>
      <w:tr w:rsidR="00446AB0" w14:paraId="0CAF8E03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A7592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iabetes,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0FB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1E49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B0BF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5A79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340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B06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B963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AA2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</w:t>
            </w:r>
          </w:p>
        </w:tc>
      </w:tr>
      <w:tr w:rsidR="00446AB0" w14:paraId="0D816ACB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7B586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HbA1c,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mmol/mol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BA48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35.8 (33.1-39.1)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C60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35.3 (32.8-38.1)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BF5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35.1 (32.6-37.7)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836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34.9 (32.5-37.4)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720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36.6 (34.0-39.5)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B3E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35.2 (32.9-37.6)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1E58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34.6 (32.3-36.9)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529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33.9 (31.6-36.1)</w:t>
            </w:r>
          </w:p>
        </w:tc>
      </w:tr>
      <w:tr w:rsidR="00446AB0" w14:paraId="3150522D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A96BC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Hypertension,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56B7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94EE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0D5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A1592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A7BD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0CB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818E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48B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14.1</w:t>
            </w:r>
          </w:p>
        </w:tc>
      </w:tr>
      <w:tr w:rsidR="00446AB0" w14:paraId="59B305FE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682E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SBP, mmHg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292C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141 (130-153)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52BF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141 (130-154)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4768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141 (129-154)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E93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141 (129-154)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A45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139 (127-153)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65A0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136 (123-151)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9B0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133 (121-148)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F54C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130 (118-145)</w:t>
            </w:r>
          </w:p>
        </w:tc>
      </w:tr>
      <w:tr w:rsidR="00446AB0" w14:paraId="4852E358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9BC9C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Hyperlipidemia,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5969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0257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CF3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8FC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AB4F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DE12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3FC4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0DD9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6.7</w:t>
            </w:r>
          </w:p>
        </w:tc>
      </w:tr>
      <w:tr w:rsidR="00446AB0" w14:paraId="7445FAA9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884DB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otal cholesterol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mmol/L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D8FE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5.5 (4.8-6.3)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5D87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5.5 (4.7-6.3)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F629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5.5 (4.7-6.2)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62E9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5.4 (4.7-6.2)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755A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5.8 (5.1-6.7)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E34A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5.9 (5.1-6.6)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7832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5.8 (5.1-6.6)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E37F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5.7 (5.1-6.5)</w:t>
            </w:r>
          </w:p>
        </w:tc>
      </w:tr>
      <w:tr w:rsidR="00446AB0" w14:paraId="132BCC51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E0FDE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Aspirin,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395D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7F29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20EA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9E6C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82C2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9A4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6566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DDD3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6.7</w:t>
            </w:r>
          </w:p>
        </w:tc>
      </w:tr>
      <w:tr w:rsidR="00446AB0" w14:paraId="3D4F3F72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9EA4A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NSAID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DC87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03DD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06ACC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CEE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84A7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E88E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8056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40C7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16.6</w:t>
            </w:r>
          </w:p>
        </w:tc>
      </w:tr>
      <w:tr w:rsidR="00446AB0" w14:paraId="0374F284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1C8D0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 xml:space="preserve">C-reactive protein,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mg/L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1A99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 (0.8-3.0)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380B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 (0.7-2.6)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CA55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 (0.6-2.3)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F1C4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 (0.5-2.1)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68F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2.3 (1.2-4.6)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3CD22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 (0.7-2.9)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15F6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 (0.5-2.1)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6BCC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 (0.4-1.7)</w:t>
            </w:r>
          </w:p>
        </w:tc>
      </w:tr>
      <w:tr w:rsidR="00446AB0" w14:paraId="6390AD36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6BB9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Body mass index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kg/m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973C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28.8 (26.5-31.6)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250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27.7 (25.5-30.3)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977C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26.9 (24.7-29.4)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0A80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25.8 (23.6-28.3)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097FA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29.5 (26.4-33.4)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5CF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26.8 (24.3-30.0)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22F0C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25.1 (23.0-27.9)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3A57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23.8 (21.9-26.2)</w:t>
            </w:r>
          </w:p>
        </w:tc>
      </w:tr>
      <w:tr w:rsidR="00446AB0" w14:paraId="05EA74E5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1D3AC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Waist circumference, cm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4C45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99 (93-107)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C44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97 (91-104)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B20D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95 (89-102)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7259B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92 (85-99)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74F7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92 (84-101)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F06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85 (78-93)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4CD5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80 (74-87)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5D99F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76 (71-83)</w:t>
            </w:r>
          </w:p>
        </w:tc>
      </w:tr>
      <w:tr w:rsidR="00446AB0" w14:paraId="7F8680E0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174A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Being menopausal,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117CC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AC38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EFE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221B3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38D0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5CD1D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9246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A5EE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59.7</w:t>
            </w:r>
          </w:p>
        </w:tc>
      </w:tr>
      <w:tr w:rsidR="00446AB0" w14:paraId="6B2717D6" w14:textId="77777777">
        <w:trPr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0B18D8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Ever used HRT, 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C4FFE4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99BD78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069729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E1CF52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DB44F1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F0CEA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35D03E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8284A2" w14:textId="77777777" w:rsidR="00446AB0" w:rsidRDefault="00000000">
            <w:pPr>
              <w:spacing w:line="3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</w:tr>
      <w:tr w:rsidR="00446AB0" w14:paraId="5A831392" w14:textId="77777777">
        <w:trPr>
          <w:jc w:val="center"/>
        </w:trPr>
        <w:tc>
          <w:tcPr>
            <w:tcW w:w="13892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5CA568A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HRT,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ormone replacement therapy; MET, metabolic equivalent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NA, not applicable;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NSAID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non-steroidal anti-inflammatory drugs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PA, physical activity; TDI,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Townsend deprivation index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</w:t>
            </w:r>
          </w:p>
          <w:p w14:paraId="4E66D841" w14:textId="77777777" w:rsidR="00446AB0" w:rsidRDefault="00000000">
            <w:pPr>
              <w:spacing w:line="32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Data are presented as median (IQR) for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continuous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variables and as percentage for categorical variables.</w:t>
            </w:r>
          </w:p>
        </w:tc>
      </w:tr>
    </w:tbl>
    <w:p w14:paraId="03A07FC9" w14:textId="77777777" w:rsidR="00446AB0" w:rsidRDefault="00446AB0">
      <w:pPr>
        <w:tabs>
          <w:tab w:val="left" w:pos="2430"/>
        </w:tabs>
        <w:rPr>
          <w:rFonts w:ascii="Times New Roman" w:hAnsi="Times New Roman" w:cs="Times New Roman"/>
          <w:sz w:val="22"/>
        </w:rPr>
      </w:pPr>
    </w:p>
    <w:p w14:paraId="7CF28C52" w14:textId="7D89AB21" w:rsidR="00A4677B" w:rsidRDefault="00A4677B" w:rsidP="00473891">
      <w:pPr>
        <w:widowControl/>
        <w:jc w:val="left"/>
        <w:rPr>
          <w:rFonts w:ascii="Times New Roman" w:hAnsi="Times New Roman" w:cs="Times New Roman"/>
          <w:sz w:val="22"/>
        </w:rPr>
        <w:sectPr w:rsidR="00A4677B">
          <w:footerReference w:type="default" r:id="rId6"/>
          <w:pgSz w:w="15840" w:h="12240" w:orient="landscape"/>
          <w:pgMar w:top="720" w:right="720" w:bottom="720" w:left="720" w:header="851" w:footer="851" w:gutter="0"/>
          <w:cols w:space="425"/>
          <w:docGrid w:type="lines" w:linePitch="312"/>
        </w:sectPr>
      </w:pPr>
    </w:p>
    <w:p w14:paraId="10F0AF06" w14:textId="77777777" w:rsidR="00A4677B" w:rsidRDefault="00A4677B" w:rsidP="00A4677B">
      <w:pPr>
        <w:spacing w:line="276" w:lineRule="auto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 xml:space="preserve">Supplementary Table 2. </w:t>
      </w:r>
      <w:r w:rsidRPr="00DD0BF0">
        <w:rPr>
          <w:rFonts w:ascii="Times New Roman" w:hAnsi="Times New Roman" w:cs="Times New Roman"/>
          <w:b/>
          <w:bCs/>
          <w:sz w:val="22"/>
        </w:rPr>
        <w:t>Sensitivity analysis of the association between calculated free testosterone and risk of cholecystectomy in men and women</w:t>
      </w:r>
      <w:r>
        <w:rPr>
          <w:rFonts w:ascii="Times New Roman" w:hAnsi="Times New Roman" w:cs="Times New Roman" w:hint="eastAsia"/>
          <w:b/>
          <w:bCs/>
          <w:sz w:val="22"/>
        </w:rPr>
        <w:t>.</w:t>
      </w:r>
    </w:p>
    <w:p w14:paraId="7C774215" w14:textId="77777777" w:rsidR="00A4677B" w:rsidRPr="00A4677B" w:rsidRDefault="00A4677B" w:rsidP="00A4677B">
      <w:pPr>
        <w:spacing w:line="276" w:lineRule="auto"/>
        <w:jc w:val="left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68"/>
        <w:gridCol w:w="2415"/>
      </w:tblGrid>
      <w:tr w:rsidR="00A4677B" w:rsidRPr="00BA5DA6" w14:paraId="4147F763" w14:textId="77777777" w:rsidTr="009305DD">
        <w:trPr>
          <w:trHeight w:val="48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2F15B8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DA6">
              <w:rPr>
                <w:rFonts w:ascii="Times New Roman" w:hAnsi="Times New Roman" w:cs="Times New Roman"/>
                <w:b/>
                <w:bCs/>
                <w:sz w:val="22"/>
              </w:rPr>
              <w:t>Sex-specific quartile</w:t>
            </w:r>
            <w:r>
              <w:rPr>
                <w:rFonts w:ascii="Times New Roman" w:hAnsi="Times New Roman" w:cs="Times New Roman" w:hint="eastAsia"/>
                <w:b/>
                <w:bCs/>
                <w:sz w:val="22"/>
              </w:rPr>
              <w:t xml:space="preserve">s </w:t>
            </w:r>
            <w:r w:rsidRPr="00BA5DA6">
              <w:rPr>
                <w:rFonts w:ascii="Times New Roman" w:hAnsi="Times New Roman" w:cs="Times New Roman"/>
                <w:b/>
                <w:bCs/>
                <w:sz w:val="22"/>
              </w:rPr>
              <w:t xml:space="preserve">for </w:t>
            </w:r>
            <w:proofErr w:type="spellStart"/>
            <w:r w:rsidRPr="002304E1">
              <w:rPr>
                <w:rFonts w:ascii="Times New Roman" w:hAnsi="Times New Roman" w:cs="Times New Roman"/>
                <w:b/>
                <w:bCs/>
                <w:sz w:val="22"/>
              </w:rPr>
              <w:t>cFT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60F182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DA6">
              <w:rPr>
                <w:rFonts w:ascii="Times New Roman" w:hAnsi="Times New Roman" w:cs="Times New Roman"/>
                <w:b/>
                <w:bCs/>
                <w:sz w:val="22"/>
              </w:rPr>
              <w:t>Men HR (95% CI)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1DF4E0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DA6">
              <w:rPr>
                <w:rFonts w:ascii="Times New Roman" w:hAnsi="Times New Roman" w:cs="Times New Roman"/>
                <w:b/>
                <w:bCs/>
                <w:sz w:val="22"/>
              </w:rPr>
              <w:t>Women HR (95% CI)</w:t>
            </w:r>
          </w:p>
        </w:tc>
      </w:tr>
      <w:tr w:rsidR="00A4677B" w:rsidRPr="00BA5DA6" w14:paraId="58DC5FB9" w14:textId="77777777" w:rsidTr="009305DD">
        <w:trPr>
          <w:trHeight w:val="437"/>
          <w:jc w:val="center"/>
        </w:trPr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EA6BC8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Q1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3590D4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1.00 (referent)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01DF31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1.00 (referent)</w:t>
            </w:r>
          </w:p>
        </w:tc>
      </w:tr>
      <w:tr w:rsidR="00A4677B" w:rsidRPr="00BA5DA6" w14:paraId="75A5A22A" w14:textId="77777777" w:rsidTr="009305DD">
        <w:trPr>
          <w:trHeight w:val="437"/>
          <w:jc w:val="center"/>
        </w:trPr>
        <w:tc>
          <w:tcPr>
            <w:tcW w:w="1980" w:type="dxa"/>
            <w:noWrap/>
            <w:vAlign w:val="center"/>
            <w:hideMark/>
          </w:tcPr>
          <w:p w14:paraId="19511F0A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Q2</w:t>
            </w:r>
          </w:p>
        </w:tc>
        <w:tc>
          <w:tcPr>
            <w:tcW w:w="2268" w:type="dxa"/>
            <w:noWrap/>
            <w:vAlign w:val="center"/>
            <w:hideMark/>
          </w:tcPr>
          <w:p w14:paraId="58208C83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1.02 (0.92–1.12)</w:t>
            </w:r>
          </w:p>
        </w:tc>
        <w:tc>
          <w:tcPr>
            <w:tcW w:w="2415" w:type="dxa"/>
            <w:noWrap/>
            <w:vAlign w:val="center"/>
            <w:hideMark/>
          </w:tcPr>
          <w:p w14:paraId="73BB5B2C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1.25 (1.14-1.37)</w:t>
            </w:r>
          </w:p>
        </w:tc>
      </w:tr>
      <w:tr w:rsidR="00A4677B" w:rsidRPr="00BA5DA6" w14:paraId="030708EE" w14:textId="77777777" w:rsidTr="009305DD">
        <w:trPr>
          <w:trHeight w:val="437"/>
          <w:jc w:val="center"/>
        </w:trPr>
        <w:tc>
          <w:tcPr>
            <w:tcW w:w="1980" w:type="dxa"/>
            <w:noWrap/>
            <w:vAlign w:val="center"/>
            <w:hideMark/>
          </w:tcPr>
          <w:p w14:paraId="6E4B16C6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Q3</w:t>
            </w:r>
          </w:p>
        </w:tc>
        <w:tc>
          <w:tcPr>
            <w:tcW w:w="2268" w:type="dxa"/>
            <w:noWrap/>
            <w:vAlign w:val="center"/>
            <w:hideMark/>
          </w:tcPr>
          <w:p w14:paraId="51B58AF6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0.98 (0.88–1.09)</w:t>
            </w:r>
          </w:p>
        </w:tc>
        <w:tc>
          <w:tcPr>
            <w:tcW w:w="2415" w:type="dxa"/>
            <w:noWrap/>
            <w:vAlign w:val="center"/>
            <w:hideMark/>
          </w:tcPr>
          <w:p w14:paraId="3CA0E1E6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1.48 (1.35–1.61)</w:t>
            </w:r>
          </w:p>
        </w:tc>
      </w:tr>
      <w:tr w:rsidR="00A4677B" w:rsidRPr="00BA5DA6" w14:paraId="0696C085" w14:textId="77777777" w:rsidTr="009305DD">
        <w:trPr>
          <w:trHeight w:val="437"/>
          <w:jc w:val="center"/>
        </w:trPr>
        <w:tc>
          <w:tcPr>
            <w:tcW w:w="1980" w:type="dxa"/>
            <w:noWrap/>
            <w:vAlign w:val="center"/>
            <w:hideMark/>
          </w:tcPr>
          <w:p w14:paraId="3FEE33CE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Q4</w:t>
            </w:r>
          </w:p>
        </w:tc>
        <w:tc>
          <w:tcPr>
            <w:tcW w:w="2268" w:type="dxa"/>
            <w:noWrap/>
            <w:vAlign w:val="center"/>
            <w:hideMark/>
          </w:tcPr>
          <w:p w14:paraId="30463929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1.00 (0.90–1.12)</w:t>
            </w:r>
          </w:p>
        </w:tc>
        <w:tc>
          <w:tcPr>
            <w:tcW w:w="2415" w:type="dxa"/>
            <w:noWrap/>
            <w:vAlign w:val="center"/>
            <w:hideMark/>
          </w:tcPr>
          <w:p w14:paraId="110BA3C7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2.03 (1.87–2.21)</w:t>
            </w:r>
          </w:p>
        </w:tc>
      </w:tr>
      <w:tr w:rsidR="00A4677B" w:rsidRPr="00BA5DA6" w14:paraId="65E1BEFA" w14:textId="77777777" w:rsidTr="009305DD">
        <w:trPr>
          <w:trHeight w:val="437"/>
          <w:jc w:val="center"/>
        </w:trPr>
        <w:tc>
          <w:tcPr>
            <w:tcW w:w="1980" w:type="dxa"/>
            <w:noWrap/>
            <w:vAlign w:val="center"/>
            <w:hideMark/>
          </w:tcPr>
          <w:p w14:paraId="60645CC5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DA6">
              <w:rPr>
                <w:rFonts w:ascii="Times New Roman" w:hAnsi="Times New Roman" w:cs="Times New Roman"/>
                <w:b/>
                <w:bCs/>
                <w:sz w:val="22"/>
              </w:rPr>
              <w:t>P-trend</w:t>
            </w:r>
          </w:p>
        </w:tc>
        <w:tc>
          <w:tcPr>
            <w:tcW w:w="2268" w:type="dxa"/>
            <w:noWrap/>
            <w:vAlign w:val="center"/>
            <w:hideMark/>
          </w:tcPr>
          <w:p w14:paraId="0547E316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0.857</w:t>
            </w:r>
          </w:p>
        </w:tc>
        <w:tc>
          <w:tcPr>
            <w:tcW w:w="2415" w:type="dxa"/>
            <w:noWrap/>
            <w:vAlign w:val="center"/>
            <w:hideMark/>
          </w:tcPr>
          <w:p w14:paraId="31DF7D96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A4677B" w:rsidRPr="00BA5DA6" w14:paraId="7FBF9635" w14:textId="77777777" w:rsidTr="009305DD">
        <w:trPr>
          <w:trHeight w:val="437"/>
          <w:jc w:val="center"/>
        </w:trPr>
        <w:tc>
          <w:tcPr>
            <w:tcW w:w="1980" w:type="dxa"/>
            <w:noWrap/>
            <w:vAlign w:val="center"/>
            <w:hideMark/>
          </w:tcPr>
          <w:p w14:paraId="206874B5" w14:textId="77777777" w:rsidR="00A4677B" w:rsidRPr="00BA5DA6" w:rsidRDefault="00A4677B" w:rsidP="009305DD">
            <w:pPr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A5DA6">
              <w:rPr>
                <w:rFonts w:ascii="Times New Roman" w:hAnsi="Times New Roman" w:cs="Times New Roman"/>
                <w:b/>
                <w:bCs/>
                <w:sz w:val="22"/>
              </w:rPr>
              <w:t>Per SD increment</w:t>
            </w:r>
          </w:p>
        </w:tc>
        <w:tc>
          <w:tcPr>
            <w:tcW w:w="2268" w:type="dxa"/>
            <w:noWrap/>
            <w:vAlign w:val="center"/>
            <w:hideMark/>
          </w:tcPr>
          <w:p w14:paraId="62520F34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1.00 (0.96–1.04)</w:t>
            </w:r>
          </w:p>
        </w:tc>
        <w:tc>
          <w:tcPr>
            <w:tcW w:w="2415" w:type="dxa"/>
            <w:noWrap/>
            <w:vAlign w:val="center"/>
            <w:hideMark/>
          </w:tcPr>
          <w:p w14:paraId="011E3ABA" w14:textId="77777777" w:rsidR="00A4677B" w:rsidRPr="00BA5DA6" w:rsidRDefault="00A4677B" w:rsidP="009305D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A5DA6">
              <w:rPr>
                <w:rFonts w:ascii="Times New Roman" w:hAnsi="Times New Roman" w:cs="Times New Roman"/>
                <w:sz w:val="22"/>
              </w:rPr>
              <w:t>1.25 (1.22–1.28)</w:t>
            </w:r>
          </w:p>
        </w:tc>
      </w:tr>
    </w:tbl>
    <w:p w14:paraId="73F268A3" w14:textId="77777777" w:rsidR="00A4677B" w:rsidRPr="00473891" w:rsidRDefault="00A4677B" w:rsidP="00A4677B">
      <w:pPr>
        <w:rPr>
          <w:rFonts w:ascii="Times New Roman" w:hAnsi="Times New Roman" w:cs="Times New Roman"/>
          <w:sz w:val="24"/>
          <w:szCs w:val="24"/>
        </w:rPr>
      </w:pPr>
    </w:p>
    <w:p w14:paraId="35A5247C" w14:textId="77777777" w:rsidR="00A4677B" w:rsidRPr="00473891" w:rsidRDefault="00A4677B" w:rsidP="00A4677B">
      <w:pPr>
        <w:rPr>
          <w:rFonts w:ascii="Times New Roman" w:hAnsi="Times New Roman" w:cs="Times New Roman"/>
          <w:sz w:val="24"/>
          <w:szCs w:val="24"/>
        </w:rPr>
      </w:pPr>
      <w:r w:rsidRPr="00473891">
        <w:rPr>
          <w:rFonts w:ascii="Times New Roman" w:hAnsi="Times New Roman" w:cs="Times New Roman"/>
          <w:sz w:val="24"/>
          <w:szCs w:val="24"/>
        </w:rPr>
        <w:t>Calculated free testosterone (</w:t>
      </w:r>
      <w:proofErr w:type="spellStart"/>
      <w:r w:rsidRPr="00473891">
        <w:rPr>
          <w:rFonts w:ascii="Times New Roman" w:hAnsi="Times New Roman" w:cs="Times New Roman"/>
          <w:sz w:val="24"/>
          <w:szCs w:val="24"/>
        </w:rPr>
        <w:t>cFT</w:t>
      </w:r>
      <w:proofErr w:type="spellEnd"/>
      <w:r w:rsidRPr="00473891">
        <w:rPr>
          <w:rFonts w:ascii="Times New Roman" w:hAnsi="Times New Roman" w:cs="Times New Roman"/>
          <w:sz w:val="24"/>
          <w:szCs w:val="24"/>
        </w:rPr>
        <w:t xml:space="preserve">) was derived using the Vermeulen mass action equation based on measured total testosterone, sex hormone–binding globulin (SHBG), and serum albumin. </w:t>
      </w:r>
    </w:p>
    <w:p w14:paraId="1B7578D9" w14:textId="77777777" w:rsidR="00A4677B" w:rsidRPr="002304E1" w:rsidRDefault="00A4677B" w:rsidP="00A4677B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Models were</w:t>
      </w:r>
      <w:r w:rsidRPr="002304E1">
        <w:rPr>
          <w:rFonts w:ascii="Times New Roman" w:hAnsi="Times New Roman" w:cs="Times New Roman"/>
          <w:sz w:val="22"/>
        </w:rPr>
        <w:t xml:space="preserve"> adjusted for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 (y), ethnic group (White, Asian/Asian British, Black/Black British, mixed), Townsend deprivation index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smoking (never, former, current [&lt;10, 10-&lt;50, ≥50 pack-years]), alcohol drinking (never, former, current&lt;10 g/d in men or &lt;5 g/d in women, current 10-&lt;25 g/d in men or 5-&lt;15 g/d in women, current ≥25 g/d in men or ≥15 g/d in women), total physical activity (MET-h/week), and for women, menopausal status (yes, no) and hormone replacement therapy (ever, never)</w:t>
      </w:r>
      <w:r>
        <w:rPr>
          <w:rFonts w:ascii="Times New Roman" w:hAnsi="Times New Roman" w:cs="Times New Roman" w:hint="eastAsia"/>
          <w:sz w:val="22"/>
        </w:rPr>
        <w:t>.</w:t>
      </w:r>
    </w:p>
    <w:p w14:paraId="25D112F1" w14:textId="77777777" w:rsidR="00446AB0" w:rsidRPr="00A4677B" w:rsidRDefault="00446AB0">
      <w:pPr>
        <w:tabs>
          <w:tab w:val="left" w:pos="3637"/>
        </w:tabs>
        <w:rPr>
          <w:rFonts w:ascii="Times New Roman" w:hAnsi="Times New Roman" w:cs="Times New Roman"/>
          <w:sz w:val="22"/>
        </w:rPr>
      </w:pPr>
    </w:p>
    <w:p w14:paraId="60D06404" w14:textId="77777777" w:rsidR="00446AB0" w:rsidRDefault="00000000">
      <w:pPr>
        <w:tabs>
          <w:tab w:val="left" w:pos="3637"/>
        </w:tabs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p w14:paraId="3599DDB2" w14:textId="77777777" w:rsidR="00446AB0" w:rsidRDefault="00000000">
      <w:pPr>
        <w:tabs>
          <w:tab w:val="left" w:pos="2430"/>
        </w:tabs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3359406B" wp14:editId="02090CD6">
            <wp:extent cx="5422265" cy="4484370"/>
            <wp:effectExtent l="0" t="0" r="0" b="0"/>
            <wp:docPr id="3146717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671726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2" t="-3343" r="-2834" b="13053"/>
                    <a:stretch>
                      <a:fillRect/>
                    </a:stretch>
                  </pic:blipFill>
                  <pic:spPr>
                    <a:xfrm>
                      <a:off x="0" y="0"/>
                      <a:ext cx="5426091" cy="448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AD33F" w14:textId="77777777" w:rsidR="00446AB0" w:rsidRDefault="00000000" w:rsidP="00961C9A">
      <w:pPr>
        <w:tabs>
          <w:tab w:val="left" w:pos="2430"/>
        </w:tabs>
        <w:jc w:val="left"/>
        <w:rPr>
          <w:rFonts w:ascii="Times New Roman" w:hAnsi="Times New Roman" w:cs="Times New Roman"/>
          <w:b/>
          <w:bCs/>
          <w:sz w:val="22"/>
        </w:rPr>
        <w:sectPr w:rsidR="00446AB0">
          <w:pgSz w:w="12240" w:h="15840"/>
          <w:pgMar w:top="720" w:right="720" w:bottom="720" w:left="720" w:header="851" w:footer="850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2"/>
        </w:rPr>
        <w:t xml:space="preserve">Supplementary Figure 1. Flow chart of participant selection. </w:t>
      </w:r>
    </w:p>
    <w:p w14:paraId="67E71311" w14:textId="77777777" w:rsidR="00446AB0" w:rsidRDefault="00446AB0">
      <w:pPr>
        <w:tabs>
          <w:tab w:val="left" w:pos="3919"/>
        </w:tabs>
        <w:jc w:val="center"/>
        <w:rPr>
          <w:rFonts w:ascii="Times New Roman" w:hAnsi="Times New Roman" w:cs="Times New Roman"/>
          <w:sz w:val="22"/>
        </w:rPr>
      </w:pPr>
    </w:p>
    <w:p w14:paraId="26D364B2" w14:textId="77777777" w:rsidR="00446AB0" w:rsidRDefault="00446AB0">
      <w:pPr>
        <w:tabs>
          <w:tab w:val="left" w:pos="3919"/>
        </w:tabs>
        <w:jc w:val="center"/>
        <w:rPr>
          <w:rFonts w:ascii="Times New Roman" w:hAnsi="Times New Roman" w:cs="Times New Roman"/>
          <w:sz w:val="22"/>
        </w:rPr>
      </w:pPr>
    </w:p>
    <w:p w14:paraId="16CABB43" w14:textId="77777777" w:rsidR="00446AB0" w:rsidRDefault="00000000">
      <w:pPr>
        <w:tabs>
          <w:tab w:val="left" w:pos="3919"/>
        </w:tabs>
        <w:jc w:val="center"/>
        <w:rPr>
          <w:rFonts w:ascii="Times New Roman" w:hAnsi="Times New Roman" w:cs="Times New Roman"/>
          <w:sz w:val="22"/>
        </w:rPr>
      </w:pPr>
      <w:r>
        <w:rPr>
          <w:noProof/>
          <w:sz w:val="22"/>
        </w:rPr>
        <w:drawing>
          <wp:inline distT="0" distB="0" distL="0" distR="0" wp14:anchorId="303E178E" wp14:editId="591A63B3">
            <wp:extent cx="6592570" cy="4874895"/>
            <wp:effectExtent l="0" t="0" r="0" b="1905"/>
            <wp:docPr id="12276118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11828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7" t="5404" r="10858" b="1996"/>
                    <a:stretch>
                      <a:fillRect/>
                    </a:stretch>
                  </pic:blipFill>
                  <pic:spPr>
                    <a:xfrm>
                      <a:off x="0" y="0"/>
                      <a:ext cx="6617182" cy="489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EAE76" w14:textId="77777777" w:rsidR="00446AB0" w:rsidRDefault="00446AB0">
      <w:pPr>
        <w:tabs>
          <w:tab w:val="left" w:pos="3919"/>
        </w:tabs>
        <w:jc w:val="center"/>
        <w:rPr>
          <w:rFonts w:ascii="Times New Roman" w:hAnsi="Times New Roman" w:cs="Times New Roman"/>
          <w:sz w:val="22"/>
        </w:rPr>
      </w:pPr>
    </w:p>
    <w:p w14:paraId="07DCA392" w14:textId="646326C6" w:rsidR="00446AB0" w:rsidRDefault="00000000" w:rsidP="00BA5DA6">
      <w:pPr>
        <w:spacing w:line="276" w:lineRule="auto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Supplementary Figure 2. Subgroup analys</w:t>
      </w:r>
      <w:r>
        <w:rPr>
          <w:rFonts w:ascii="Times New Roman" w:hAnsi="Times New Roman" w:cs="Times New Roman" w:hint="eastAsia"/>
          <w:b/>
          <w:bCs/>
          <w:sz w:val="22"/>
        </w:rPr>
        <w:t>i</w:t>
      </w:r>
      <w:r>
        <w:rPr>
          <w:rFonts w:ascii="Times New Roman" w:hAnsi="Times New Roman" w:cs="Times New Roman"/>
          <w:b/>
          <w:bCs/>
          <w:sz w:val="22"/>
        </w:rPr>
        <w:t xml:space="preserve">s for the association of </w:t>
      </w:r>
      <w:r>
        <w:rPr>
          <w:rFonts w:ascii="Times New Roman" w:hAnsi="Times New Roman" w:cs="Times New Roman" w:hint="eastAsia"/>
          <w:b/>
          <w:bCs/>
          <w:sz w:val="22"/>
        </w:rPr>
        <w:t xml:space="preserve">serum </w:t>
      </w:r>
      <w:r>
        <w:rPr>
          <w:rFonts w:ascii="Times New Roman" w:hAnsi="Times New Roman" w:cs="Times New Roman"/>
          <w:b/>
          <w:bCs/>
          <w:sz w:val="22"/>
        </w:rPr>
        <w:t>SHBG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(per 1-SD increment)</w:t>
      </w:r>
      <w:r>
        <w:rPr>
          <w:rFonts w:ascii="Times New Roman" w:hAnsi="Times New Roman" w:cs="Times New Roman"/>
          <w:b/>
          <w:bCs/>
          <w:sz w:val="22"/>
        </w:rPr>
        <w:t xml:space="preserve"> with risk of cholecystectomy in men and women.</w:t>
      </w:r>
    </w:p>
    <w:p w14:paraId="367BC825" w14:textId="77777777" w:rsidR="00446AB0" w:rsidRDefault="00000000" w:rsidP="00BA5DA6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Results were </w:t>
      </w:r>
      <w:r>
        <w:rPr>
          <w:rFonts w:ascii="Times New Roman" w:hAnsi="Times New Roman" w:cs="Times New Roman" w:hint="eastAsia"/>
          <w:sz w:val="22"/>
        </w:rPr>
        <w:t>adjusted</w:t>
      </w:r>
      <w:r>
        <w:rPr>
          <w:rFonts w:ascii="Times New Roman" w:hAnsi="Times New Roman" w:cs="Times New Roman"/>
          <w:sz w:val="22"/>
        </w:rPr>
        <w:t xml:space="preserve"> for the covariates listed for model 3 of Table 1 in the article. </w:t>
      </w:r>
    </w:p>
    <w:p w14:paraId="45B9FE72" w14:textId="77777777" w:rsidR="00446AB0" w:rsidRDefault="00000000" w:rsidP="00BA5DA6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HRT, hormone replacement therapy;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NA, not applicable</w:t>
      </w:r>
      <w:r>
        <w:rPr>
          <w:rFonts w:ascii="Times New Roman" w:hAnsi="Times New Roman" w:cs="Times New Roman" w:hint="eastAsia"/>
          <w:sz w:val="22"/>
        </w:rPr>
        <w:t>.</w:t>
      </w:r>
    </w:p>
    <w:p w14:paraId="552A8B91" w14:textId="77777777" w:rsidR="00446AB0" w:rsidRDefault="00446AB0" w:rsidP="00BA5DA6">
      <w:pPr>
        <w:tabs>
          <w:tab w:val="left" w:pos="3919"/>
        </w:tabs>
        <w:rPr>
          <w:rFonts w:ascii="Times New Roman" w:hAnsi="Times New Roman" w:cs="Times New Roman"/>
          <w:sz w:val="22"/>
        </w:rPr>
        <w:sectPr w:rsidR="00446AB0">
          <w:pgSz w:w="12240" w:h="15840"/>
          <w:pgMar w:top="720" w:right="720" w:bottom="720" w:left="720" w:header="567" w:footer="567" w:gutter="0"/>
          <w:cols w:space="425"/>
          <w:docGrid w:type="lines" w:linePitch="312"/>
        </w:sectPr>
      </w:pPr>
    </w:p>
    <w:p w14:paraId="5C3920ED" w14:textId="77777777" w:rsidR="00446AB0" w:rsidRDefault="00446AB0">
      <w:pPr>
        <w:tabs>
          <w:tab w:val="left" w:pos="3919"/>
        </w:tabs>
        <w:jc w:val="center"/>
        <w:rPr>
          <w:rFonts w:ascii="Times New Roman" w:hAnsi="Times New Roman" w:cs="Times New Roman"/>
          <w:sz w:val="22"/>
        </w:rPr>
      </w:pPr>
    </w:p>
    <w:p w14:paraId="16B1097A" w14:textId="77777777" w:rsidR="00446AB0" w:rsidRDefault="00446AB0">
      <w:pPr>
        <w:tabs>
          <w:tab w:val="left" w:pos="3919"/>
        </w:tabs>
        <w:jc w:val="center"/>
        <w:rPr>
          <w:rFonts w:ascii="Times New Roman" w:hAnsi="Times New Roman" w:cs="Times New Roman"/>
          <w:sz w:val="22"/>
        </w:rPr>
      </w:pPr>
    </w:p>
    <w:p w14:paraId="20C55DF2" w14:textId="77777777" w:rsidR="00446AB0" w:rsidRDefault="00000000">
      <w:pPr>
        <w:tabs>
          <w:tab w:val="left" w:pos="3919"/>
        </w:tabs>
        <w:jc w:val="center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114300" distR="114300" wp14:anchorId="646FB4F3" wp14:editId="2C7DAFD6">
            <wp:extent cx="6856730" cy="5168900"/>
            <wp:effectExtent l="0" t="0" r="127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1D179" w14:textId="77777777" w:rsidR="00446AB0" w:rsidRDefault="00446AB0">
      <w:pPr>
        <w:tabs>
          <w:tab w:val="left" w:pos="3919"/>
        </w:tabs>
        <w:jc w:val="center"/>
        <w:rPr>
          <w:rFonts w:ascii="Times New Roman" w:hAnsi="Times New Roman" w:cs="Times New Roman"/>
          <w:sz w:val="22"/>
        </w:rPr>
      </w:pPr>
    </w:p>
    <w:p w14:paraId="0FC0BE77" w14:textId="7F4BDB45" w:rsidR="00446AB0" w:rsidRPr="00961C9A" w:rsidRDefault="00000000" w:rsidP="00961C9A">
      <w:pPr>
        <w:spacing w:line="276" w:lineRule="auto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2"/>
        </w:rPr>
        <w:t>3</w:t>
      </w:r>
      <w:r>
        <w:rPr>
          <w:rFonts w:ascii="Times New Roman" w:hAnsi="Times New Roman" w:cs="Times New Roman"/>
          <w:b/>
          <w:bCs/>
          <w:sz w:val="22"/>
        </w:rPr>
        <w:t>. Subgroup analys</w:t>
      </w:r>
      <w:r>
        <w:rPr>
          <w:rFonts w:ascii="Times New Roman" w:hAnsi="Times New Roman" w:cs="Times New Roman" w:hint="eastAsia"/>
          <w:b/>
          <w:bCs/>
          <w:sz w:val="22"/>
        </w:rPr>
        <w:t>i</w:t>
      </w:r>
      <w:r>
        <w:rPr>
          <w:rFonts w:ascii="Times New Roman" w:hAnsi="Times New Roman" w:cs="Times New Roman"/>
          <w:b/>
          <w:bCs/>
          <w:sz w:val="22"/>
        </w:rPr>
        <w:t xml:space="preserve">s for the association of </w:t>
      </w:r>
      <w:r>
        <w:rPr>
          <w:rFonts w:ascii="Times New Roman" w:hAnsi="Times New Roman" w:cs="Times New Roman" w:hint="eastAsia"/>
          <w:b/>
          <w:bCs/>
          <w:sz w:val="22"/>
        </w:rPr>
        <w:t xml:space="preserve">serum </w:t>
      </w:r>
      <w:r>
        <w:rPr>
          <w:rFonts w:ascii="Times New Roman" w:hAnsi="Times New Roman" w:cs="Times New Roman"/>
          <w:b/>
          <w:bCs/>
          <w:sz w:val="22"/>
        </w:rPr>
        <w:t>testosterone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(per 1-SD increment)</w:t>
      </w:r>
      <w:r>
        <w:rPr>
          <w:rFonts w:ascii="Times New Roman" w:hAnsi="Times New Roman" w:cs="Times New Roman"/>
          <w:b/>
          <w:bCs/>
          <w:sz w:val="22"/>
        </w:rPr>
        <w:t xml:space="preserve"> with risk of cholecystectomy in men and women.</w:t>
      </w:r>
    </w:p>
    <w:p w14:paraId="70578BC8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Results were </w:t>
      </w:r>
      <w:r>
        <w:rPr>
          <w:rFonts w:ascii="Times New Roman" w:hAnsi="Times New Roman" w:cs="Times New Roman" w:hint="eastAsia"/>
          <w:sz w:val="22"/>
        </w:rPr>
        <w:t>adjusted</w:t>
      </w:r>
      <w:r>
        <w:rPr>
          <w:rFonts w:ascii="Times New Roman" w:hAnsi="Times New Roman" w:cs="Times New Roman"/>
          <w:sz w:val="22"/>
        </w:rPr>
        <w:t xml:space="preserve"> for the covariates listed for model 3 of Table </w:t>
      </w:r>
      <w:r>
        <w:rPr>
          <w:rFonts w:ascii="Times New Roman" w:hAnsi="Times New Roman" w:cs="Times New Roman" w:hint="eastAsia"/>
          <w:sz w:val="22"/>
        </w:rPr>
        <w:t>2</w:t>
      </w:r>
      <w:r>
        <w:rPr>
          <w:rFonts w:ascii="Times New Roman" w:hAnsi="Times New Roman" w:cs="Times New Roman"/>
          <w:sz w:val="22"/>
        </w:rPr>
        <w:t xml:space="preserve"> in the article.</w:t>
      </w:r>
      <w:r>
        <w:rPr>
          <w:rFonts w:ascii="Times New Roman" w:hAnsi="Times New Roman" w:cs="Times New Roman" w:hint="eastAsia"/>
          <w:sz w:val="22"/>
        </w:rPr>
        <w:t xml:space="preserve"> </w:t>
      </w:r>
    </w:p>
    <w:p w14:paraId="699A6C78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HRT, hormone replacement therapy;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NA, not applicable</w:t>
      </w:r>
      <w:r>
        <w:rPr>
          <w:rFonts w:ascii="Times New Roman" w:hAnsi="Times New Roman" w:cs="Times New Roman" w:hint="eastAsia"/>
          <w:sz w:val="22"/>
        </w:rPr>
        <w:t>.</w:t>
      </w:r>
    </w:p>
    <w:p w14:paraId="1AF61D6D" w14:textId="77777777" w:rsidR="00446AB0" w:rsidRDefault="00446AB0" w:rsidP="00961C9A">
      <w:pPr>
        <w:spacing w:line="276" w:lineRule="auto"/>
        <w:rPr>
          <w:rFonts w:ascii="Times New Roman" w:hAnsi="Times New Roman" w:cs="Times New Roman"/>
          <w:sz w:val="22"/>
        </w:rPr>
        <w:sectPr w:rsidR="00446AB0">
          <w:pgSz w:w="12240" w:h="15840"/>
          <w:pgMar w:top="720" w:right="720" w:bottom="720" w:left="720" w:header="851" w:footer="850" w:gutter="0"/>
          <w:cols w:space="425"/>
          <w:docGrid w:type="lines" w:linePitch="312"/>
        </w:sectPr>
      </w:pPr>
    </w:p>
    <w:p w14:paraId="6ED39944" w14:textId="77777777" w:rsidR="00446AB0" w:rsidRDefault="00446AB0">
      <w:pPr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46ABA829" w14:textId="77777777" w:rsidR="00446AB0" w:rsidRDefault="00446AB0">
      <w:pPr>
        <w:spacing w:line="276" w:lineRule="auto"/>
        <w:jc w:val="center"/>
        <w:rPr>
          <w:rFonts w:ascii="Times New Roman" w:hAnsi="Times New Roman" w:cs="Times New Roman"/>
          <w:sz w:val="22"/>
        </w:rPr>
      </w:pPr>
    </w:p>
    <w:p w14:paraId="425EFA72" w14:textId="77777777" w:rsidR="00446AB0" w:rsidRDefault="00000000">
      <w:pPr>
        <w:spacing w:line="276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CCF6B3F" wp14:editId="6C524D2A">
            <wp:extent cx="6596380" cy="4462780"/>
            <wp:effectExtent l="0" t="0" r="0" b="0"/>
            <wp:docPr id="141161440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14404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" t="6838" r="10605" b="-1721"/>
                    <a:stretch>
                      <a:fillRect/>
                    </a:stretch>
                  </pic:blipFill>
                  <pic:spPr>
                    <a:xfrm>
                      <a:off x="0" y="0"/>
                      <a:ext cx="6617511" cy="447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CC6B" w14:textId="4AD357D1" w:rsidR="00446AB0" w:rsidRDefault="00000000" w:rsidP="00BA5DA6">
      <w:pPr>
        <w:spacing w:line="276" w:lineRule="auto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2"/>
        </w:rPr>
        <w:t>4</w:t>
      </w:r>
      <w:r>
        <w:rPr>
          <w:rFonts w:ascii="Times New Roman" w:hAnsi="Times New Roman" w:cs="Times New Roman"/>
          <w:b/>
          <w:bCs/>
          <w:sz w:val="22"/>
        </w:rPr>
        <w:t>. Sensitivity analys</w:t>
      </w:r>
      <w:r>
        <w:rPr>
          <w:rFonts w:ascii="Times New Roman" w:hAnsi="Times New Roman" w:cs="Times New Roman" w:hint="eastAsia"/>
          <w:b/>
          <w:bCs/>
          <w:sz w:val="22"/>
        </w:rPr>
        <w:t>i</w:t>
      </w:r>
      <w:r>
        <w:rPr>
          <w:rFonts w:ascii="Times New Roman" w:hAnsi="Times New Roman" w:cs="Times New Roman"/>
          <w:b/>
          <w:bCs/>
          <w:sz w:val="22"/>
        </w:rPr>
        <w:t>s for the association of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serum </w:t>
      </w:r>
      <w:r>
        <w:rPr>
          <w:rFonts w:ascii="Times New Roman" w:hAnsi="Times New Roman" w:cs="Times New Roman"/>
          <w:b/>
          <w:bCs/>
          <w:sz w:val="22"/>
        </w:rPr>
        <w:t>SHBG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(per 1-SD increment)</w:t>
      </w:r>
      <w:r>
        <w:rPr>
          <w:rFonts w:ascii="Times New Roman" w:hAnsi="Times New Roman" w:cs="Times New Roman"/>
          <w:b/>
          <w:bCs/>
          <w:sz w:val="22"/>
        </w:rPr>
        <w:t xml:space="preserve"> with risk of cholecystectomy in men and women.</w:t>
      </w:r>
    </w:p>
    <w:p w14:paraId="1F5BDC05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Covariates for model 3 are listed in the footnote for Table 1 in the article. </w:t>
      </w:r>
    </w:p>
    <w:p w14:paraId="221479AB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>Excluding A</w:t>
      </w:r>
      <w:r>
        <w:rPr>
          <w:rFonts w:ascii="Times New Roman" w:hAnsi="Times New Roman" w:cs="Times New Roman"/>
          <w:sz w:val="22"/>
        </w:rPr>
        <w:t xml:space="preserve">: excluding 28,382 men (671 cholecystectomies) and 8181 women (366 cholecystectomies) who had </w:t>
      </w:r>
      <w:r>
        <w:rPr>
          <w:rFonts w:ascii="Times New Roman" w:hAnsi="Times New Roman" w:cs="Times New Roman" w:hint="eastAsia"/>
          <w:sz w:val="22"/>
        </w:rPr>
        <w:t xml:space="preserve">non-cancer </w:t>
      </w:r>
      <w:r>
        <w:rPr>
          <w:rFonts w:ascii="Times New Roman" w:hAnsi="Times New Roman" w:cs="Times New Roman"/>
          <w:sz w:val="22"/>
        </w:rPr>
        <w:t>diseases of the reproductive systems at baseline. For men, these included diseases affecting the prostate, testis, and epididymis (ICD-10 codes: N40-N42, N44-N45); for women these included ovarian diseases (ICD-10 codes: N83, E28)</w:t>
      </w:r>
      <w:r>
        <w:rPr>
          <w:rFonts w:ascii="Times New Roman" w:hAnsi="Times New Roman" w:cs="Times New Roman" w:hint="eastAsia"/>
          <w:sz w:val="22"/>
        </w:rPr>
        <w:t>.</w:t>
      </w:r>
    </w:p>
    <w:p w14:paraId="068C6466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>Excluding B</w:t>
      </w:r>
      <w:r>
        <w:rPr>
          <w:rFonts w:ascii="Times New Roman" w:hAnsi="Times New Roman" w:cs="Times New Roman"/>
          <w:sz w:val="22"/>
        </w:rPr>
        <w:t>: excluding 6634 men (151 cholecystectomies) and 19,916 women (822 cholecystectomies) who had thyroid disorders at baseline defined by ICD-10 codes: E01-E07</w:t>
      </w:r>
      <w:r>
        <w:rPr>
          <w:rFonts w:ascii="Times New Roman" w:hAnsi="Times New Roman" w:cs="Times New Roman" w:hint="eastAsia"/>
          <w:sz w:val="22"/>
        </w:rPr>
        <w:t>.</w:t>
      </w:r>
    </w:p>
    <w:p w14:paraId="52F45746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>Excluding C</w:t>
      </w:r>
      <w:r>
        <w:rPr>
          <w:rFonts w:ascii="Times New Roman" w:hAnsi="Times New Roman" w:cs="Times New Roman"/>
          <w:sz w:val="22"/>
        </w:rPr>
        <w:t xml:space="preserve">: excluding 346 men (of the 2877 cholecystectomies) and 420 women (of the 4607 cholecystectomies) </w:t>
      </w:r>
      <w:bookmarkStart w:id="0" w:name="_Hlk161763751"/>
      <w:r>
        <w:rPr>
          <w:rFonts w:ascii="Times New Roman" w:hAnsi="Times New Roman" w:cs="Times New Roman"/>
          <w:sz w:val="22"/>
        </w:rPr>
        <w:t>who were not diagnosed with cholelithiasis (ICD-10 codes K80) before cholecystectomies were performed</w:t>
      </w:r>
      <w:bookmarkEnd w:id="0"/>
      <w:r>
        <w:rPr>
          <w:rFonts w:ascii="Times New Roman" w:hAnsi="Times New Roman" w:cs="Times New Roman"/>
          <w:sz w:val="22"/>
        </w:rPr>
        <w:t xml:space="preserve">. </w:t>
      </w:r>
    </w:p>
    <w:p w14:paraId="02C4F771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  <w:sectPr w:rsidR="00446AB0">
          <w:pgSz w:w="12240" w:h="15840"/>
          <w:pgMar w:top="720" w:right="720" w:bottom="720" w:left="720" w:header="567" w:footer="567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2"/>
        </w:rPr>
        <w:t>BMI, body mass index; CRP, C-reactive protein; HbA1c, glycosylated hemoglobin; NSAID, non-steroidal anti-inflammatory drugs;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SBP, systolic blood pressure;</w:t>
      </w:r>
      <w:r>
        <w:rPr>
          <w:rFonts w:ascii="Times New Roman" w:hAnsi="Times New Roman" w:cs="Times New Roman" w:hint="eastAsia"/>
          <w:sz w:val="22"/>
        </w:rPr>
        <w:t xml:space="preserve"> SHBG, </w:t>
      </w:r>
      <w:r>
        <w:rPr>
          <w:rFonts w:ascii="Times New Roman" w:hAnsi="Times New Roman" w:cs="Times New Roman"/>
          <w:sz w:val="22"/>
        </w:rPr>
        <w:t>sex hormone-binding globulin</w:t>
      </w:r>
      <w:r>
        <w:rPr>
          <w:rFonts w:ascii="Times New Roman" w:hAnsi="Times New Roman" w:cs="Times New Roman" w:hint="eastAsia"/>
          <w:sz w:val="22"/>
        </w:rPr>
        <w:t xml:space="preserve">; </w:t>
      </w:r>
      <w:r>
        <w:rPr>
          <w:rFonts w:ascii="Times New Roman" w:hAnsi="Times New Roman" w:cs="Times New Roman"/>
          <w:sz w:val="22"/>
        </w:rPr>
        <w:t>TC, total cholesterol; WC, waist circumference.</w:t>
      </w:r>
    </w:p>
    <w:p w14:paraId="595569D0" w14:textId="77777777" w:rsidR="00446AB0" w:rsidRDefault="00446AB0">
      <w:pPr>
        <w:rPr>
          <w:rFonts w:ascii="Times New Roman" w:hAnsi="Times New Roman" w:cs="Times New Roman"/>
          <w:sz w:val="22"/>
        </w:rPr>
      </w:pPr>
    </w:p>
    <w:p w14:paraId="3CC94082" w14:textId="77777777" w:rsidR="00446AB0" w:rsidRDefault="00446AB0">
      <w:pPr>
        <w:jc w:val="center"/>
        <w:rPr>
          <w:rFonts w:ascii="Times New Roman" w:hAnsi="Times New Roman" w:cs="Times New Roman"/>
          <w:sz w:val="22"/>
        </w:rPr>
      </w:pPr>
    </w:p>
    <w:p w14:paraId="0FBC93F2" w14:textId="77777777" w:rsidR="00446AB0" w:rsidRDefault="00000000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2C673913" wp14:editId="0F054846">
            <wp:extent cx="6460490" cy="4555490"/>
            <wp:effectExtent l="0" t="0" r="0" b="0"/>
            <wp:docPr id="7460515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51555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0" r="15791" b="12387"/>
                    <a:stretch>
                      <a:fillRect/>
                    </a:stretch>
                  </pic:blipFill>
                  <pic:spPr>
                    <a:xfrm>
                      <a:off x="0" y="0"/>
                      <a:ext cx="6461108" cy="455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460C9" w14:textId="77777777" w:rsidR="00446AB0" w:rsidRDefault="00446AB0">
      <w:pPr>
        <w:rPr>
          <w:rFonts w:ascii="Times New Roman" w:hAnsi="Times New Roman" w:cs="Times New Roman"/>
          <w:sz w:val="22"/>
        </w:rPr>
      </w:pPr>
    </w:p>
    <w:p w14:paraId="70DBB9E3" w14:textId="28DCB742" w:rsidR="00446AB0" w:rsidRPr="00BA5DA6" w:rsidRDefault="00000000" w:rsidP="00BA5DA6">
      <w:pPr>
        <w:spacing w:line="276" w:lineRule="auto"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2"/>
        </w:rPr>
        <w:t>5</w:t>
      </w:r>
      <w:r>
        <w:rPr>
          <w:rFonts w:ascii="Times New Roman" w:hAnsi="Times New Roman" w:cs="Times New Roman"/>
          <w:b/>
          <w:bCs/>
          <w:sz w:val="22"/>
        </w:rPr>
        <w:t>. Sensitivity analys</w:t>
      </w:r>
      <w:r>
        <w:rPr>
          <w:rFonts w:ascii="Times New Roman" w:hAnsi="Times New Roman" w:cs="Times New Roman" w:hint="eastAsia"/>
          <w:b/>
          <w:bCs/>
          <w:sz w:val="22"/>
        </w:rPr>
        <w:t>i</w:t>
      </w:r>
      <w:r>
        <w:rPr>
          <w:rFonts w:ascii="Times New Roman" w:hAnsi="Times New Roman" w:cs="Times New Roman"/>
          <w:b/>
          <w:bCs/>
          <w:sz w:val="22"/>
        </w:rPr>
        <w:t xml:space="preserve">s for the association of </w:t>
      </w:r>
      <w:r>
        <w:rPr>
          <w:rFonts w:ascii="Times New Roman" w:hAnsi="Times New Roman" w:cs="Times New Roman" w:hint="eastAsia"/>
          <w:b/>
          <w:bCs/>
          <w:sz w:val="22"/>
        </w:rPr>
        <w:t xml:space="preserve">serum </w:t>
      </w:r>
      <w:r>
        <w:rPr>
          <w:rFonts w:ascii="Times New Roman" w:hAnsi="Times New Roman" w:cs="Times New Roman"/>
          <w:b/>
          <w:bCs/>
          <w:sz w:val="22"/>
        </w:rPr>
        <w:t>testosterone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(per 1-SD increment)</w:t>
      </w:r>
      <w:r>
        <w:rPr>
          <w:rFonts w:ascii="Times New Roman" w:hAnsi="Times New Roman" w:cs="Times New Roman"/>
          <w:b/>
          <w:bCs/>
          <w:sz w:val="22"/>
        </w:rPr>
        <w:t xml:space="preserve"> with risk of </w:t>
      </w:r>
      <w:bookmarkStart w:id="1" w:name="_Hlk161763908"/>
      <w:r>
        <w:rPr>
          <w:rFonts w:ascii="Times New Roman" w:hAnsi="Times New Roman" w:cs="Times New Roman"/>
          <w:b/>
          <w:bCs/>
          <w:sz w:val="22"/>
        </w:rPr>
        <w:t>cholecystectomy</w:t>
      </w:r>
      <w:bookmarkEnd w:id="1"/>
      <w:r>
        <w:rPr>
          <w:rFonts w:ascii="Times New Roman" w:hAnsi="Times New Roman" w:cs="Times New Roman"/>
          <w:b/>
          <w:bCs/>
          <w:sz w:val="22"/>
        </w:rPr>
        <w:t xml:space="preserve"> in men and women.</w:t>
      </w:r>
    </w:p>
    <w:p w14:paraId="38773A0B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Covariates for model 3 are listed in the footnote for Table 2 in the article. </w:t>
      </w:r>
    </w:p>
    <w:p w14:paraId="50FA91AF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>Excluding A</w:t>
      </w:r>
      <w:r>
        <w:rPr>
          <w:rFonts w:ascii="Times New Roman" w:hAnsi="Times New Roman" w:cs="Times New Roman"/>
          <w:sz w:val="22"/>
        </w:rPr>
        <w:t xml:space="preserve">: excluding 28,382 men (671 cholecystectomies) and 8181 women (366 cholecystectomies) who had </w:t>
      </w:r>
      <w:r>
        <w:rPr>
          <w:rFonts w:ascii="Times New Roman" w:hAnsi="Times New Roman" w:cs="Times New Roman" w:hint="eastAsia"/>
          <w:sz w:val="22"/>
        </w:rPr>
        <w:t>non-cancer</w:t>
      </w:r>
      <w:r>
        <w:rPr>
          <w:rFonts w:ascii="Times New Roman" w:hAnsi="Times New Roman" w:cs="Times New Roman"/>
          <w:sz w:val="22"/>
        </w:rPr>
        <w:t xml:space="preserve"> diseases of the reproductive systems at baseline. For men, these included diseases affecting the prostate, testis, and epididymis (ICD-10 codes: N40-N42, N44-N45); for women these included ovarian diseases (ICD-10 codes: N83, E28)</w:t>
      </w:r>
    </w:p>
    <w:p w14:paraId="37B3D0AC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>Excluding B</w:t>
      </w:r>
      <w:r>
        <w:rPr>
          <w:rFonts w:ascii="Times New Roman" w:hAnsi="Times New Roman" w:cs="Times New Roman"/>
          <w:sz w:val="22"/>
        </w:rPr>
        <w:t>: excluding 6634 men (151 cholecystectomies) and 19,916 women (822 cholecystectomies) who had thyroids disorder at baseline defined by ICD-10 codes: E01-E07</w:t>
      </w:r>
      <w:r>
        <w:rPr>
          <w:rFonts w:ascii="Times New Roman" w:hAnsi="Times New Roman" w:cs="Times New Roman" w:hint="eastAsia"/>
          <w:sz w:val="22"/>
        </w:rPr>
        <w:t>.</w:t>
      </w:r>
    </w:p>
    <w:p w14:paraId="0859381F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u w:val="single"/>
        </w:rPr>
        <w:t>Excluding C</w:t>
      </w:r>
      <w:r>
        <w:rPr>
          <w:rFonts w:ascii="Times New Roman" w:hAnsi="Times New Roman" w:cs="Times New Roman"/>
          <w:sz w:val="22"/>
        </w:rPr>
        <w:t xml:space="preserve">: excluding 346 men (of the 2877 cholecystectomies) and 420 women (of the 4607 cholecystectomies) who were not diagnosed with cholelithiasis (ICD-10 codes K80) before cholecystectomies were performed. </w:t>
      </w:r>
    </w:p>
    <w:p w14:paraId="61CAA45F" w14:textId="77777777" w:rsidR="00446AB0" w:rsidRDefault="00000000" w:rsidP="00961C9A">
      <w:pPr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BMI, body mass index; CRP, C-reactive protein; HbA1c, glycosylated hemoglobin; NSAID, non-steroidal anti-inflammatory drugs;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SBP, systolic blood pressure; TC, total cholesterol; WC, waist circumference.</w:t>
      </w:r>
    </w:p>
    <w:p w14:paraId="25A0117F" w14:textId="773E6A9E" w:rsidR="00446AB0" w:rsidRPr="002304E1" w:rsidRDefault="00446AB0" w:rsidP="00473891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446AB0" w:rsidRPr="002304E1">
      <w:pgSz w:w="12240" w:h="15840"/>
      <w:pgMar w:top="720" w:right="720" w:bottom="720" w:left="720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34DA2" w14:textId="77777777" w:rsidR="0061455E" w:rsidRDefault="0061455E">
      <w:pPr>
        <w:rPr>
          <w:rFonts w:hint="eastAsia"/>
        </w:rPr>
      </w:pPr>
      <w:r>
        <w:separator/>
      </w:r>
    </w:p>
  </w:endnote>
  <w:endnote w:type="continuationSeparator" w:id="0">
    <w:p w14:paraId="393F9B96" w14:textId="77777777" w:rsidR="0061455E" w:rsidRDefault="006145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949924"/>
    </w:sdtPr>
    <w:sdtEndPr>
      <w:rPr>
        <w:rFonts w:ascii="Times New Roman" w:hAnsi="Times New Roman" w:cs="Times New Roman"/>
        <w:sz w:val="20"/>
        <w:szCs w:val="20"/>
      </w:rPr>
    </w:sdtEndPr>
    <w:sdtContent>
      <w:p w14:paraId="3613A2A3" w14:textId="77777777" w:rsidR="00446AB0" w:rsidRDefault="00000000">
        <w:pPr>
          <w:pStyle w:val="a3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A5304A8" w14:textId="77777777" w:rsidR="00446AB0" w:rsidRDefault="00446AB0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E229" w14:textId="77777777" w:rsidR="0061455E" w:rsidRDefault="0061455E">
      <w:pPr>
        <w:rPr>
          <w:rFonts w:hint="eastAsia"/>
        </w:rPr>
      </w:pPr>
      <w:r>
        <w:separator/>
      </w:r>
    </w:p>
  </w:footnote>
  <w:footnote w:type="continuationSeparator" w:id="0">
    <w:p w14:paraId="77852917" w14:textId="77777777" w:rsidR="0061455E" w:rsidRDefault="006145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AE1"/>
    <w:rsid w:val="00012034"/>
    <w:rsid w:val="00092400"/>
    <w:rsid w:val="000B0AE1"/>
    <w:rsid w:val="000B7CF4"/>
    <w:rsid w:val="000E480D"/>
    <w:rsid w:val="00121895"/>
    <w:rsid w:val="00132D97"/>
    <w:rsid w:val="0019135C"/>
    <w:rsid w:val="00196F63"/>
    <w:rsid w:val="001A1C59"/>
    <w:rsid w:val="001E5F0C"/>
    <w:rsid w:val="001F1A91"/>
    <w:rsid w:val="002304E1"/>
    <w:rsid w:val="00260D47"/>
    <w:rsid w:val="002744CC"/>
    <w:rsid w:val="002D5B2F"/>
    <w:rsid w:val="003574E2"/>
    <w:rsid w:val="00375C96"/>
    <w:rsid w:val="00377832"/>
    <w:rsid w:val="0038517F"/>
    <w:rsid w:val="003C004F"/>
    <w:rsid w:val="00402257"/>
    <w:rsid w:val="00415E17"/>
    <w:rsid w:val="004222B9"/>
    <w:rsid w:val="00424B49"/>
    <w:rsid w:val="00446AB0"/>
    <w:rsid w:val="00451644"/>
    <w:rsid w:val="00460A3D"/>
    <w:rsid w:val="00461EE5"/>
    <w:rsid w:val="004737EF"/>
    <w:rsid w:val="00473891"/>
    <w:rsid w:val="00481493"/>
    <w:rsid w:val="004E2380"/>
    <w:rsid w:val="0052441C"/>
    <w:rsid w:val="00554622"/>
    <w:rsid w:val="0059451C"/>
    <w:rsid w:val="00595D36"/>
    <w:rsid w:val="005A291E"/>
    <w:rsid w:val="005C3C46"/>
    <w:rsid w:val="005E41E1"/>
    <w:rsid w:val="0061455E"/>
    <w:rsid w:val="00683B8F"/>
    <w:rsid w:val="006A0D70"/>
    <w:rsid w:val="006A61B1"/>
    <w:rsid w:val="006D0E1D"/>
    <w:rsid w:val="007048A8"/>
    <w:rsid w:val="00740889"/>
    <w:rsid w:val="00745C66"/>
    <w:rsid w:val="00764039"/>
    <w:rsid w:val="007641ED"/>
    <w:rsid w:val="007C52CC"/>
    <w:rsid w:val="007F4BB8"/>
    <w:rsid w:val="00827172"/>
    <w:rsid w:val="00924E49"/>
    <w:rsid w:val="0093751A"/>
    <w:rsid w:val="00946232"/>
    <w:rsid w:val="00961C9A"/>
    <w:rsid w:val="00993734"/>
    <w:rsid w:val="00A01319"/>
    <w:rsid w:val="00A4677B"/>
    <w:rsid w:val="00A63F63"/>
    <w:rsid w:val="00A72F20"/>
    <w:rsid w:val="00A7725D"/>
    <w:rsid w:val="00AA4A06"/>
    <w:rsid w:val="00AC3466"/>
    <w:rsid w:val="00B273D6"/>
    <w:rsid w:val="00B860E8"/>
    <w:rsid w:val="00B955A0"/>
    <w:rsid w:val="00BA5DA6"/>
    <w:rsid w:val="00BB6FC9"/>
    <w:rsid w:val="00BF2993"/>
    <w:rsid w:val="00C2016B"/>
    <w:rsid w:val="00C76363"/>
    <w:rsid w:val="00C80CB3"/>
    <w:rsid w:val="00CA683F"/>
    <w:rsid w:val="00CF209A"/>
    <w:rsid w:val="00D2087C"/>
    <w:rsid w:val="00D63DD4"/>
    <w:rsid w:val="00D77D86"/>
    <w:rsid w:val="00D964B8"/>
    <w:rsid w:val="00DA06EC"/>
    <w:rsid w:val="00DB612F"/>
    <w:rsid w:val="00DD0BF0"/>
    <w:rsid w:val="00DF7485"/>
    <w:rsid w:val="00EB58E9"/>
    <w:rsid w:val="00EC7956"/>
    <w:rsid w:val="00EF4BC6"/>
    <w:rsid w:val="00F01DE3"/>
    <w:rsid w:val="00F05762"/>
    <w:rsid w:val="00F6730E"/>
    <w:rsid w:val="00FB5A18"/>
    <w:rsid w:val="00FE4D55"/>
    <w:rsid w:val="00FF791F"/>
    <w:rsid w:val="06B52A8B"/>
    <w:rsid w:val="4B347E9C"/>
    <w:rsid w:val="68A2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5A2812"/>
  <w15:docId w15:val="{2627CFB0-4AF1-43EB-98B3-2496C9E4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Revision"/>
    <w:hidden/>
    <w:uiPriority w:val="99"/>
    <w:unhideWhenUsed/>
    <w:rsid w:val="00EB58E9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1068</Words>
  <Characters>5933</Characters>
  <Application>Microsoft Office Word</Application>
  <DocSecurity>0</DocSecurity>
  <Lines>395</Lines>
  <Paragraphs>368</Paragraphs>
  <ScaleCrop>false</ScaleCrop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 /</dc:creator>
  <cp:lastModifiedBy>Jo L</cp:lastModifiedBy>
  <cp:revision>30</cp:revision>
  <dcterms:created xsi:type="dcterms:W3CDTF">2024-03-19T09:26:00Z</dcterms:created>
  <dcterms:modified xsi:type="dcterms:W3CDTF">2026-02-20T15:56:00Z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eyJoZGlkIjoiNTZiYTAxYjIzYTY1ZTk3NWQzMWY0OWI0NDVhYTM3N2QiLCJ1c2VySWQiOiIyMzk1MzEzMzgifQ==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73D2973A91D2496FA749AE6CE26DF7AA_12</vt:lpwstr>
  </property>
</Properties>
</file>