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CA8E" w14:textId="5160ED3E" w:rsidR="00436606" w:rsidRPr="002039A3" w:rsidRDefault="00436606" w:rsidP="00436606">
      <w:pPr>
        <w:jc w:val="center"/>
        <w:rPr>
          <w:rFonts w:ascii="Times New Roman" w:hAnsi="Times New Roman" w:cs="Times New Roman"/>
          <w:b/>
          <w:bCs/>
          <w:sz w:val="28"/>
          <w:szCs w:val="28"/>
          <w:u w:val="single"/>
        </w:rPr>
      </w:pPr>
      <w:r w:rsidRPr="002039A3">
        <w:rPr>
          <w:rFonts w:ascii="Times New Roman" w:hAnsi="Times New Roman" w:cs="Times New Roman"/>
          <w:b/>
          <w:bCs/>
          <w:sz w:val="28"/>
          <w:szCs w:val="28"/>
          <w:u w:val="single"/>
        </w:rPr>
        <w:t xml:space="preserve">Supplementary Material </w:t>
      </w:r>
      <w:r w:rsidR="00AF5AD0">
        <w:rPr>
          <w:rFonts w:ascii="Times New Roman" w:hAnsi="Times New Roman" w:cs="Times New Roman"/>
          <w:b/>
          <w:bCs/>
          <w:sz w:val="28"/>
          <w:szCs w:val="28"/>
          <w:u w:val="single"/>
        </w:rPr>
        <w:t>1</w:t>
      </w:r>
    </w:p>
    <w:p w14:paraId="1C4BC5A8" w14:textId="77777777" w:rsidR="00436606" w:rsidRPr="00436606" w:rsidRDefault="00436606" w:rsidP="00436606">
      <w:pPr>
        <w:rPr>
          <w:rFonts w:ascii="Times New Roman" w:hAnsi="Times New Roman" w:cs="Times New Roman"/>
        </w:rPr>
      </w:pPr>
      <w:r w:rsidRPr="00436606">
        <w:rPr>
          <w:rFonts w:ascii="Times New Roman" w:hAnsi="Times New Roman" w:cs="Times New Roman"/>
          <w:b/>
          <w:bCs/>
        </w:rPr>
        <w:t xml:space="preserve">Sex-specific changes in the hippocampal proteome of </w:t>
      </w:r>
      <w:r w:rsidRPr="00436606">
        <w:rPr>
          <w:rFonts w:ascii="Times New Roman" w:hAnsi="Times New Roman" w:cs="Times New Roman"/>
          <w:b/>
          <w:bCs/>
          <w:i/>
          <w:iCs/>
        </w:rPr>
        <w:t>Negr1</w:t>
      </w:r>
      <w:r w:rsidRPr="00436606">
        <w:rPr>
          <w:rFonts w:ascii="Times New Roman" w:hAnsi="Times New Roman" w:cs="Times New Roman"/>
          <w:b/>
          <w:bCs/>
          <w:i/>
          <w:iCs/>
          <w:vertAlign w:val="superscript"/>
        </w:rPr>
        <w:t xml:space="preserve">-/- </w:t>
      </w:r>
      <w:r w:rsidRPr="00436606">
        <w:rPr>
          <w:rFonts w:ascii="Times New Roman" w:hAnsi="Times New Roman" w:cs="Times New Roman"/>
          <w:b/>
          <w:bCs/>
        </w:rPr>
        <w:t>mice: insight into the mechanisms of neuropsychiatric disorders</w:t>
      </w:r>
    </w:p>
    <w:p w14:paraId="21EA91A7" w14:textId="77777777" w:rsidR="00436606" w:rsidRDefault="00436606" w:rsidP="00436606">
      <w:pPr>
        <w:rPr>
          <w:rFonts w:ascii="Times New Roman" w:hAnsi="Times New Roman" w:cs="Times New Roman"/>
          <w:sz w:val="22"/>
          <w:szCs w:val="22"/>
          <w:vertAlign w:val="superscript"/>
        </w:rPr>
      </w:pPr>
      <w:proofErr w:type="spellStart"/>
      <w:r w:rsidRPr="00436606">
        <w:rPr>
          <w:rFonts w:ascii="Times New Roman" w:hAnsi="Times New Roman" w:cs="Times New Roman"/>
          <w:sz w:val="22"/>
          <w:szCs w:val="22"/>
        </w:rPr>
        <w:t>Srirathi</w:t>
      </w:r>
      <w:proofErr w:type="spellEnd"/>
      <w:r w:rsidRPr="00436606">
        <w:rPr>
          <w:rFonts w:ascii="Times New Roman" w:hAnsi="Times New Roman" w:cs="Times New Roman"/>
          <w:sz w:val="22"/>
          <w:szCs w:val="22"/>
        </w:rPr>
        <w:t xml:space="preserve"> Muthuraman</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Mohan Jayaram</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Liisi Promet</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Toomas Jagomäe</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Arun Kumar Devarajan</w:t>
      </w:r>
      <w:r w:rsidRPr="00436606">
        <w:rPr>
          <w:rFonts w:ascii="Times New Roman" w:hAnsi="Times New Roman" w:cs="Times New Roman"/>
          <w:sz w:val="22"/>
          <w:szCs w:val="22"/>
          <w:vertAlign w:val="superscript"/>
        </w:rPr>
        <w:t>2</w:t>
      </w:r>
      <w:r w:rsidRPr="00436606">
        <w:rPr>
          <w:rFonts w:ascii="Times New Roman" w:hAnsi="Times New Roman" w:cs="Times New Roman"/>
          <w:sz w:val="22"/>
          <w:szCs w:val="22"/>
        </w:rPr>
        <w:t>, Andreas-Christian Hade</w:t>
      </w:r>
      <w:r w:rsidRPr="00436606">
        <w:rPr>
          <w:rFonts w:ascii="Times New Roman" w:hAnsi="Times New Roman" w:cs="Times New Roman"/>
          <w:sz w:val="22"/>
          <w:szCs w:val="22"/>
          <w:vertAlign w:val="superscript"/>
        </w:rPr>
        <w:t>3</w:t>
      </w:r>
      <w:r w:rsidRPr="00436606">
        <w:rPr>
          <w:rFonts w:ascii="Times New Roman" w:hAnsi="Times New Roman" w:cs="Times New Roman"/>
          <w:sz w:val="22"/>
          <w:szCs w:val="22"/>
        </w:rPr>
        <w:t>, Mari-Anne Philips</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Katyayani Singh</w:t>
      </w:r>
      <w:r w:rsidRPr="00436606">
        <w:rPr>
          <w:rFonts w:ascii="Times New Roman" w:hAnsi="Times New Roman" w:cs="Times New Roman"/>
          <w:sz w:val="22"/>
          <w:szCs w:val="22"/>
          <w:vertAlign w:val="superscript"/>
        </w:rPr>
        <w:t>1*</w:t>
      </w:r>
      <w:r w:rsidRPr="00436606">
        <w:rPr>
          <w:rFonts w:ascii="Times New Roman" w:hAnsi="Times New Roman" w:cs="Times New Roman"/>
          <w:sz w:val="22"/>
          <w:szCs w:val="22"/>
        </w:rPr>
        <w:t>, Eero Vasar</w:t>
      </w:r>
      <w:r w:rsidRPr="00436606">
        <w:rPr>
          <w:rFonts w:ascii="Times New Roman" w:hAnsi="Times New Roman" w:cs="Times New Roman"/>
          <w:sz w:val="22"/>
          <w:szCs w:val="22"/>
          <w:vertAlign w:val="superscript"/>
        </w:rPr>
        <w:t>1</w:t>
      </w:r>
    </w:p>
    <w:p w14:paraId="21075A87" w14:textId="77777777" w:rsidR="00612FFE" w:rsidRDefault="00612FFE" w:rsidP="00436606">
      <w:pPr>
        <w:rPr>
          <w:rFonts w:ascii="Times New Roman" w:hAnsi="Times New Roman" w:cs="Times New Roman"/>
          <w:sz w:val="22"/>
          <w:szCs w:val="22"/>
          <w:vertAlign w:val="superscript"/>
        </w:rPr>
      </w:pPr>
    </w:p>
    <w:p w14:paraId="742D29BA" w14:textId="4BC8F3CF" w:rsidR="00FC1EBC" w:rsidRDefault="00FC1EBC" w:rsidP="00FC1EBC">
      <w:pPr>
        <w:rPr>
          <w:rFonts w:ascii="Times New Roman" w:hAnsi="Times New Roman" w:cs="Times New Roman"/>
        </w:rPr>
      </w:pPr>
      <w:r w:rsidRPr="00FC1EBC">
        <w:rPr>
          <w:rFonts w:ascii="Times New Roman" w:hAnsi="Times New Roman" w:cs="Times New Roman"/>
          <w:b/>
          <w:bCs/>
        </w:rPr>
        <w:t>Supplementary Table</w:t>
      </w:r>
      <w:r w:rsidRPr="00FC1EBC">
        <w:rPr>
          <w:rFonts w:ascii="Times New Roman" w:hAnsi="Times New Roman" w:cs="Times New Roman"/>
          <w:b/>
          <w:bCs/>
        </w:rPr>
        <w:t xml:space="preserve"> S1.1</w:t>
      </w:r>
      <w:r w:rsidRPr="00FC1EBC">
        <w:rPr>
          <w:rFonts w:ascii="Times New Roman" w:hAnsi="Times New Roman" w:cs="Times New Roman"/>
          <w:b/>
          <w:bCs/>
        </w:rPr>
        <w:t>:</w:t>
      </w:r>
      <w:r w:rsidRPr="00DA67BB">
        <w:rPr>
          <w:rFonts w:ascii="Times New Roman" w:hAnsi="Times New Roman" w:cs="Times New Roman"/>
        </w:rPr>
        <w:t xml:space="preserve"> Top 12 Upregulated proteins in male and female </w:t>
      </w:r>
      <w:r w:rsidRPr="00FC1EBC">
        <w:rPr>
          <w:rFonts w:ascii="Times New Roman" w:hAnsi="Times New Roman" w:cs="Times New Roman"/>
          <w:i/>
          <w:iCs/>
        </w:rPr>
        <w:t>Negr1</w:t>
      </w:r>
      <w:r w:rsidRPr="00FC1EBC">
        <w:rPr>
          <w:rFonts w:ascii="Times New Roman" w:hAnsi="Times New Roman" w:cs="Times New Roman"/>
          <w:i/>
          <w:iCs/>
          <w:vertAlign w:val="superscript"/>
        </w:rPr>
        <w:t>-/-</w:t>
      </w:r>
      <w:r w:rsidRPr="00DA67BB">
        <w:rPr>
          <w:rFonts w:ascii="Times New Roman" w:hAnsi="Times New Roman" w:cs="Times New Roman"/>
        </w:rPr>
        <w:t xml:space="preserve"> hippocampus with their Gene, </w:t>
      </w:r>
      <w:proofErr w:type="spellStart"/>
      <w:r w:rsidRPr="00FC1EBC">
        <w:rPr>
          <w:rFonts w:ascii="Times New Roman" w:eastAsia="Times New Roman" w:hAnsi="Times New Roman" w:cs="Times New Roman"/>
          <w:color w:val="000000" w:themeColor="text1"/>
          <w:kern w:val="0"/>
          <w14:ligatures w14:val="none"/>
        </w:rPr>
        <w:t>UniProt</w:t>
      </w:r>
      <w:proofErr w:type="spellEnd"/>
      <w:r w:rsidRPr="00FC1EBC">
        <w:rPr>
          <w:rFonts w:ascii="Times New Roman" w:eastAsia="Times New Roman" w:hAnsi="Times New Roman" w:cs="Times New Roman"/>
          <w:color w:val="000000" w:themeColor="text1"/>
          <w:kern w:val="0"/>
          <w14:ligatures w14:val="none"/>
        </w:rPr>
        <w:t xml:space="preserve"> ID</w:t>
      </w:r>
      <w:r w:rsidRPr="00FC1EBC">
        <w:rPr>
          <w:rFonts w:ascii="Times New Roman" w:hAnsi="Times New Roman" w:cs="Times New Roman"/>
        </w:rPr>
        <w:t>,</w:t>
      </w:r>
      <w:r>
        <w:rPr>
          <w:rFonts w:ascii="Times New Roman" w:hAnsi="Times New Roman" w:cs="Times New Roman"/>
        </w:rPr>
        <w:t xml:space="preserve"> </w:t>
      </w:r>
      <w:r w:rsidRPr="00DA67BB">
        <w:rPr>
          <w:rFonts w:ascii="Times New Roman" w:hAnsi="Times New Roman" w:cs="Times New Roman"/>
        </w:rPr>
        <w:t>Protein Name, P-value (</w:t>
      </w:r>
      <w:proofErr w:type="spellStart"/>
      <w:r w:rsidRPr="00DA67BB">
        <w:rPr>
          <w:rFonts w:ascii="Times New Roman" w:hAnsi="Times New Roman" w:cs="Times New Roman"/>
        </w:rPr>
        <w:t>pval</w:t>
      </w:r>
      <w:proofErr w:type="spellEnd"/>
      <w:r w:rsidRPr="00DA67BB">
        <w:rPr>
          <w:rFonts w:ascii="Times New Roman" w:hAnsi="Times New Roman" w:cs="Times New Roman"/>
        </w:rPr>
        <w:t>), and differential abundance (Regulation).</w:t>
      </w:r>
    </w:p>
    <w:tbl>
      <w:tblPr>
        <w:tblW w:w="0" w:type="auto"/>
        <w:tblCellMar>
          <w:top w:w="15" w:type="dxa"/>
          <w:left w:w="15" w:type="dxa"/>
          <w:bottom w:w="15" w:type="dxa"/>
          <w:right w:w="15" w:type="dxa"/>
        </w:tblCellMar>
        <w:tblLook w:val="04A0" w:firstRow="1" w:lastRow="0" w:firstColumn="1" w:lastColumn="0" w:noHBand="0" w:noVBand="1"/>
      </w:tblPr>
      <w:tblGrid>
        <w:gridCol w:w="1174"/>
        <w:gridCol w:w="1846"/>
        <w:gridCol w:w="3643"/>
        <w:gridCol w:w="980"/>
        <w:gridCol w:w="1701"/>
      </w:tblGrid>
      <w:tr w:rsidR="00FC1EBC" w:rsidRPr="00DA67BB" w14:paraId="1938D7C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3A6AAC7"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b/>
                <w:bCs/>
                <w:color w:val="000000" w:themeColor="text1"/>
                <w:kern w:val="0"/>
                <w14:ligatures w14:val="none"/>
              </w:rPr>
              <w:t>Gene</w:t>
            </w:r>
          </w:p>
        </w:tc>
        <w:tc>
          <w:tcPr>
            <w:tcW w:w="1878" w:type="dxa"/>
            <w:tcBorders>
              <w:top w:val="single" w:sz="6" w:space="0" w:color="434343"/>
              <w:left w:val="single" w:sz="6" w:space="0" w:color="434343"/>
              <w:bottom w:val="single" w:sz="6" w:space="0" w:color="434343"/>
              <w:right w:val="single" w:sz="6" w:space="0" w:color="434343"/>
            </w:tcBorders>
          </w:tcPr>
          <w:p w14:paraId="2BF23E7B" w14:textId="77777777" w:rsidR="00FC1EBC" w:rsidRPr="00DA67BB" w:rsidRDefault="00FC1EBC" w:rsidP="00AC7926">
            <w:pPr>
              <w:spacing w:after="0" w:line="240" w:lineRule="auto"/>
              <w:jc w:val="center"/>
              <w:rPr>
                <w:rFonts w:ascii="Times New Roman" w:eastAsia="Times New Roman" w:hAnsi="Times New Roman" w:cs="Times New Roman"/>
                <w:b/>
                <w:bCs/>
                <w:color w:val="000000" w:themeColor="text1"/>
                <w:kern w:val="0"/>
                <w14:ligatures w14:val="none"/>
              </w:rPr>
            </w:pPr>
            <w:proofErr w:type="spellStart"/>
            <w:r w:rsidRPr="00DA67BB">
              <w:rPr>
                <w:rFonts w:ascii="Times New Roman" w:eastAsia="Times New Roman" w:hAnsi="Times New Roman" w:cs="Times New Roman"/>
                <w:b/>
                <w:bCs/>
                <w:color w:val="000000" w:themeColor="text1"/>
                <w:kern w:val="0"/>
                <w14:ligatures w14:val="none"/>
              </w:rPr>
              <w:t>UniProt</w:t>
            </w:r>
            <w:proofErr w:type="spellEnd"/>
            <w:r w:rsidRPr="00DA67BB">
              <w:rPr>
                <w:rFonts w:ascii="Times New Roman" w:eastAsia="Times New Roman" w:hAnsi="Times New Roman" w:cs="Times New Roman"/>
                <w:b/>
                <w:bCs/>
                <w:color w:val="000000" w:themeColor="text1"/>
                <w:kern w:val="0"/>
                <w14:ligatures w14:val="none"/>
              </w:rPr>
              <w:t xml:space="preserve"> ID</w:t>
            </w:r>
          </w:p>
        </w:tc>
        <w:tc>
          <w:tcPr>
            <w:tcW w:w="3690" w:type="dxa"/>
            <w:tcBorders>
              <w:top w:val="single" w:sz="6" w:space="0" w:color="434343"/>
              <w:left w:val="single" w:sz="6" w:space="0" w:color="434343"/>
              <w:bottom w:val="single" w:sz="6" w:space="0" w:color="434343"/>
              <w:right w:val="single" w:sz="6" w:space="0" w:color="434343"/>
            </w:tcBorders>
            <w:tcMar>
              <w:top w:w="0" w:type="dxa"/>
              <w:left w:w="100" w:type="dxa"/>
              <w:bottom w:w="0" w:type="dxa"/>
              <w:right w:w="100" w:type="dxa"/>
            </w:tcMar>
            <w:hideMark/>
          </w:tcPr>
          <w:p w14:paraId="0753B247"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b/>
                <w:bCs/>
                <w:color w:val="000000" w:themeColor="text1"/>
                <w:kern w:val="0"/>
                <w14:ligatures w14:val="none"/>
              </w:rPr>
              <w:t>Protein Name</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30EB0D1C"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b/>
                <w:bCs/>
                <w:color w:val="000000" w:themeColor="text1"/>
                <w:kern w:val="0"/>
                <w14:ligatures w14:val="none"/>
              </w:rPr>
              <w:t>pval</w:t>
            </w:r>
            <w:proofErr w:type="spellEnd"/>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462B14E"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b/>
                <w:bCs/>
                <w:color w:val="000000" w:themeColor="text1"/>
                <w:kern w:val="0"/>
                <w14:ligatures w14:val="none"/>
              </w:rPr>
              <w:t>Regulation</w:t>
            </w:r>
          </w:p>
        </w:tc>
      </w:tr>
      <w:tr w:rsidR="00FC1EBC" w:rsidRPr="00DA67BB" w14:paraId="503B9D0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34BAA9F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Isca1</w:t>
            </w:r>
          </w:p>
        </w:tc>
        <w:tc>
          <w:tcPr>
            <w:tcW w:w="1878" w:type="dxa"/>
            <w:tcBorders>
              <w:top w:val="single" w:sz="6" w:space="0" w:color="434343"/>
              <w:left w:val="single" w:sz="6" w:space="0" w:color="434343"/>
              <w:bottom w:val="single" w:sz="6" w:space="0" w:color="434343"/>
              <w:right w:val="single" w:sz="6" w:space="0" w:color="434343"/>
            </w:tcBorders>
          </w:tcPr>
          <w:p w14:paraId="7818075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Q9D924</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CDE191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Iron-sulfur cluster assembly 1 homolog, mitochondrial</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7F75D062"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0.0017</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5C84CE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29EEB128"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A03DE3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Fdxr</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217111E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Q61578</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9C821D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proofErr w:type="gramStart"/>
            <w:r w:rsidRPr="00DA67BB">
              <w:rPr>
                <w:rFonts w:ascii="Times New Roman" w:eastAsia="Times New Roman" w:hAnsi="Times New Roman" w:cs="Times New Roman"/>
                <w:color w:val="000000" w:themeColor="text1"/>
                <w:kern w:val="0"/>
                <w14:ligatures w14:val="none"/>
              </w:rPr>
              <w:t>NADPH:adrenodoxin</w:t>
            </w:r>
            <w:proofErr w:type="spellEnd"/>
            <w:proofErr w:type="gramEnd"/>
            <w:r w:rsidRPr="00DA67BB">
              <w:rPr>
                <w:rFonts w:ascii="Times New Roman" w:eastAsia="Times New Roman" w:hAnsi="Times New Roman" w:cs="Times New Roman"/>
                <w:color w:val="000000" w:themeColor="text1"/>
                <w:kern w:val="0"/>
                <w14:ligatures w14:val="none"/>
              </w:rPr>
              <w:t xml:space="preserve"> oxidoreductase, mitochondrial</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DC7BA14"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0.00219</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3A843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165868A5"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50F257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Skp1</w:t>
            </w:r>
          </w:p>
        </w:tc>
        <w:tc>
          <w:tcPr>
            <w:tcW w:w="1878" w:type="dxa"/>
            <w:tcBorders>
              <w:top w:val="single" w:sz="6" w:space="0" w:color="434343"/>
              <w:left w:val="single" w:sz="6" w:space="0" w:color="434343"/>
              <w:bottom w:val="single" w:sz="6" w:space="0" w:color="434343"/>
              <w:right w:val="single" w:sz="6" w:space="0" w:color="434343"/>
            </w:tcBorders>
          </w:tcPr>
          <w:p w14:paraId="711C5F0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Q9WTX5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6877715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S-phase kinase-associated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9447ECF"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0.0029</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C1A15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684D87C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8B33F1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Scrg1</w:t>
            </w:r>
          </w:p>
        </w:tc>
        <w:tc>
          <w:tcPr>
            <w:tcW w:w="1878" w:type="dxa"/>
            <w:tcBorders>
              <w:top w:val="single" w:sz="6" w:space="0" w:color="434343"/>
              <w:left w:val="single" w:sz="6" w:space="0" w:color="434343"/>
              <w:bottom w:val="single" w:sz="6" w:space="0" w:color="434343"/>
              <w:right w:val="single" w:sz="6" w:space="0" w:color="434343"/>
            </w:tcBorders>
          </w:tcPr>
          <w:p w14:paraId="6F87EAD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O88745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C49D8C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Scrapie-responsive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80E48FF"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0.0049</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133E6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4D01C07E"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15EA40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Rtn4rl2</w:t>
            </w:r>
          </w:p>
        </w:tc>
        <w:tc>
          <w:tcPr>
            <w:tcW w:w="1878" w:type="dxa"/>
            <w:tcBorders>
              <w:top w:val="single" w:sz="6" w:space="0" w:color="434343"/>
              <w:left w:val="single" w:sz="6" w:space="0" w:color="434343"/>
              <w:bottom w:val="single" w:sz="6" w:space="0" w:color="434343"/>
              <w:right w:val="single" w:sz="6" w:space="0" w:color="434343"/>
            </w:tcBorders>
          </w:tcPr>
          <w:p w14:paraId="26C7660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Q7M6Z0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AA0F67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Reticulon-4 receptor-like 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C1B8710"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0.0052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19348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307C91CA"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7426F4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Ddx23</w:t>
            </w:r>
          </w:p>
        </w:tc>
        <w:tc>
          <w:tcPr>
            <w:tcW w:w="1878" w:type="dxa"/>
            <w:tcBorders>
              <w:top w:val="single" w:sz="6" w:space="0" w:color="434343"/>
              <w:left w:val="single" w:sz="6" w:space="0" w:color="434343"/>
              <w:bottom w:val="single" w:sz="6" w:space="0" w:color="434343"/>
              <w:right w:val="single" w:sz="6" w:space="0" w:color="434343"/>
            </w:tcBorders>
          </w:tcPr>
          <w:p w14:paraId="2AB2BD0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D3Z0M9</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60B443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DEAD-Box Helicase 23</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9439C36"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0.0055</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CC94F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09E4DEB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35F1D11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Cxadr</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18EF4FF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P97792</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FDBDD8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Coxsackievirus and adenovirus receptor homolog</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0CE1DE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0.0070</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5DA73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6AB8C814"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C4013D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Ppid</w:t>
            </w:r>
          </w:p>
        </w:tc>
        <w:tc>
          <w:tcPr>
            <w:tcW w:w="1878" w:type="dxa"/>
            <w:tcBorders>
              <w:top w:val="single" w:sz="6" w:space="0" w:color="434343"/>
              <w:left w:val="single" w:sz="6" w:space="0" w:color="434343"/>
              <w:bottom w:val="single" w:sz="6" w:space="0" w:color="434343"/>
              <w:right w:val="single" w:sz="6" w:space="0" w:color="434343"/>
            </w:tcBorders>
          </w:tcPr>
          <w:p w14:paraId="31466D1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Q9CR16</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75D3A52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Peptidyl-prolyl cis-trans isomerase D</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372CF69"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0.0076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8BC2B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0015365B"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DE0A81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Ankrd17</w:t>
            </w:r>
          </w:p>
        </w:tc>
        <w:tc>
          <w:tcPr>
            <w:tcW w:w="1878" w:type="dxa"/>
            <w:tcBorders>
              <w:top w:val="single" w:sz="6" w:space="0" w:color="434343"/>
              <w:left w:val="single" w:sz="6" w:space="0" w:color="434343"/>
              <w:bottom w:val="single" w:sz="6" w:space="0" w:color="434343"/>
              <w:right w:val="single" w:sz="6" w:space="0" w:color="434343"/>
            </w:tcBorders>
          </w:tcPr>
          <w:p w14:paraId="3E9C773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Q99NH0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396F13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Ankyrin repeat domain-containing protein 17</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0B0C291"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0.0092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250A9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6386FF2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8D2E43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Hagh</w:t>
            </w:r>
          </w:p>
        </w:tc>
        <w:tc>
          <w:tcPr>
            <w:tcW w:w="1878" w:type="dxa"/>
            <w:tcBorders>
              <w:top w:val="single" w:sz="6" w:space="0" w:color="434343"/>
              <w:left w:val="single" w:sz="6" w:space="0" w:color="434343"/>
              <w:bottom w:val="single" w:sz="6" w:space="0" w:color="434343"/>
              <w:right w:val="single" w:sz="6" w:space="0" w:color="434343"/>
            </w:tcBorders>
          </w:tcPr>
          <w:p w14:paraId="5D8959A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Q99KB8</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794092E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Hydroxyacylglutathione</w:t>
            </w:r>
            <w:proofErr w:type="spellEnd"/>
            <w:r w:rsidRPr="00DA67BB">
              <w:rPr>
                <w:rFonts w:ascii="Times New Roman" w:eastAsia="Times New Roman" w:hAnsi="Times New Roman" w:cs="Times New Roman"/>
                <w:color w:val="000000" w:themeColor="text1"/>
                <w:kern w:val="0"/>
                <w14:ligatures w14:val="none"/>
              </w:rPr>
              <w:t xml:space="preserve"> hydrolase, mitochondrial</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3D50E689"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0.0105</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A8F33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05AD6584"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CF6B51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Map1lc3b</w:t>
            </w:r>
          </w:p>
        </w:tc>
        <w:tc>
          <w:tcPr>
            <w:tcW w:w="1878" w:type="dxa"/>
            <w:tcBorders>
              <w:top w:val="single" w:sz="6" w:space="0" w:color="434343"/>
              <w:left w:val="single" w:sz="6" w:space="0" w:color="434343"/>
              <w:bottom w:val="single" w:sz="6" w:space="0" w:color="434343"/>
              <w:right w:val="single" w:sz="6" w:space="0" w:color="434343"/>
            </w:tcBorders>
          </w:tcPr>
          <w:p w14:paraId="2F8ED36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Q9CQV6</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55012C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Microtubule-associated proteins 1A/1B light chain 3B</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3BECE3F0"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0.0123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F135E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4DA3C79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681C2BD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Tomm5</w:t>
            </w:r>
          </w:p>
        </w:tc>
        <w:tc>
          <w:tcPr>
            <w:tcW w:w="1878" w:type="dxa"/>
            <w:tcBorders>
              <w:top w:val="single" w:sz="6" w:space="0" w:color="434343"/>
              <w:left w:val="single" w:sz="6" w:space="0" w:color="434343"/>
              <w:bottom w:val="single" w:sz="6" w:space="0" w:color="434343"/>
              <w:right w:val="single" w:sz="6" w:space="0" w:color="434343"/>
            </w:tcBorders>
          </w:tcPr>
          <w:p w14:paraId="1BCA4AA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B1AXP6</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3A9F561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Mitochondrial import receptor subunit TOM5 homolog</w:t>
            </w:r>
          </w:p>
        </w:tc>
        <w:tc>
          <w:tcPr>
            <w:tcW w:w="900" w:type="dxa"/>
            <w:tcBorders>
              <w:top w:val="single" w:sz="6" w:space="0" w:color="000000"/>
              <w:left w:val="single" w:sz="6" w:space="0" w:color="434343"/>
              <w:bottom w:val="single" w:sz="6" w:space="0" w:color="000000"/>
              <w:right w:val="single" w:sz="6" w:space="0" w:color="000000"/>
            </w:tcBorders>
            <w:tcMar>
              <w:top w:w="40" w:type="dxa"/>
              <w:left w:w="40" w:type="dxa"/>
              <w:bottom w:w="40" w:type="dxa"/>
              <w:right w:w="40" w:type="dxa"/>
            </w:tcMar>
            <w:vAlign w:val="bottom"/>
            <w:hideMark/>
          </w:tcPr>
          <w:p w14:paraId="0DB78821"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0.0128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EE1B8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males</w:t>
            </w:r>
          </w:p>
        </w:tc>
      </w:tr>
      <w:tr w:rsidR="00FC1EBC" w:rsidRPr="00DA67BB" w14:paraId="31A1FEB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F2CBDC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shd w:val="clear" w:color="auto" w:fill="FFFFFF"/>
                <w14:ligatures w14:val="none"/>
              </w:rPr>
              <w:t>Hccs</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12785D0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P53702</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E96573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Cytochrome c-type heme lyase</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89CF29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0.0002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1325E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7771C4A3"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EB5664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lastRenderedPageBreak/>
              <w:t>Top2b</w:t>
            </w:r>
          </w:p>
        </w:tc>
        <w:tc>
          <w:tcPr>
            <w:tcW w:w="1878" w:type="dxa"/>
            <w:tcBorders>
              <w:top w:val="single" w:sz="6" w:space="0" w:color="434343"/>
              <w:left w:val="single" w:sz="6" w:space="0" w:color="434343"/>
              <w:bottom w:val="single" w:sz="6" w:space="0" w:color="434343"/>
              <w:right w:val="single" w:sz="6" w:space="0" w:color="434343"/>
            </w:tcBorders>
          </w:tcPr>
          <w:p w14:paraId="0020B92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Q64511</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26C22C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DNA topoisomerase 2-beta</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97FE234"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0.0008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158A9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6785DB4E"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62918F3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Arhgef18</w:t>
            </w:r>
          </w:p>
        </w:tc>
        <w:tc>
          <w:tcPr>
            <w:tcW w:w="1878" w:type="dxa"/>
            <w:tcBorders>
              <w:top w:val="single" w:sz="6" w:space="0" w:color="434343"/>
              <w:left w:val="single" w:sz="6" w:space="0" w:color="434343"/>
              <w:bottom w:val="single" w:sz="6" w:space="0" w:color="434343"/>
              <w:right w:val="single" w:sz="6" w:space="0" w:color="434343"/>
            </w:tcBorders>
          </w:tcPr>
          <w:p w14:paraId="0531470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Q6P9R4</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E7E4A3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Rho guanine nucleotide exchange factor 18</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DF1A05B"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A1996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54BF26C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53B1A9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Agfg1</w:t>
            </w:r>
          </w:p>
        </w:tc>
        <w:tc>
          <w:tcPr>
            <w:tcW w:w="1878" w:type="dxa"/>
            <w:tcBorders>
              <w:top w:val="single" w:sz="6" w:space="0" w:color="434343"/>
              <w:left w:val="single" w:sz="6" w:space="0" w:color="434343"/>
              <w:bottom w:val="single" w:sz="6" w:space="0" w:color="434343"/>
              <w:right w:val="single" w:sz="6" w:space="0" w:color="434343"/>
            </w:tcBorders>
          </w:tcPr>
          <w:p w14:paraId="1778429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Q8K2K6</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7B9E662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z w:val="26"/>
                <w:szCs w:val="26"/>
                <w14:ligatures w14:val="none"/>
              </w:rPr>
              <w:t>Arf-GAP domain and FG repeat-containing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6C0D556"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0.0018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C4F38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611C73CE"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43EBA7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Ergic1</w:t>
            </w:r>
          </w:p>
        </w:tc>
        <w:tc>
          <w:tcPr>
            <w:tcW w:w="1878" w:type="dxa"/>
            <w:tcBorders>
              <w:top w:val="single" w:sz="6" w:space="0" w:color="434343"/>
              <w:left w:val="single" w:sz="6" w:space="0" w:color="434343"/>
              <w:bottom w:val="single" w:sz="6" w:space="0" w:color="434343"/>
              <w:right w:val="single" w:sz="6" w:space="0" w:color="434343"/>
            </w:tcBorders>
          </w:tcPr>
          <w:p w14:paraId="358446D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Q9DC16</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E9E774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Endoplasmic reticulum-Golgi intermediate compartment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051C797"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0.0023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62B09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24C7D6B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B938A7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shd w:val="clear" w:color="auto" w:fill="FFFFFF"/>
                <w14:ligatures w14:val="none"/>
              </w:rPr>
              <w:t>Ilvbl</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0633CEE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Q8BU33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C9514F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Acetolactate synthase-like protein</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E51FF2D"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0.0023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B74B1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27370C0B"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184266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Smarcal1</w:t>
            </w:r>
          </w:p>
        </w:tc>
        <w:tc>
          <w:tcPr>
            <w:tcW w:w="1878" w:type="dxa"/>
            <w:tcBorders>
              <w:top w:val="single" w:sz="6" w:space="0" w:color="434343"/>
              <w:left w:val="single" w:sz="6" w:space="0" w:color="434343"/>
              <w:bottom w:val="single" w:sz="6" w:space="0" w:color="434343"/>
              <w:right w:val="single" w:sz="6" w:space="0" w:color="434343"/>
            </w:tcBorders>
          </w:tcPr>
          <w:p w14:paraId="65C14E8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Q8BJL0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3EE4B1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 xml:space="preserve">SWI/SNF-related matrix-associated </w:t>
            </w:r>
            <w:proofErr w:type="gramStart"/>
            <w:r w:rsidRPr="00DA67BB">
              <w:rPr>
                <w:rFonts w:ascii="Times New Roman" w:eastAsia="Times New Roman" w:hAnsi="Times New Roman" w:cs="Times New Roman"/>
                <w:color w:val="000000" w:themeColor="text1"/>
                <w:kern w:val="0"/>
                <w14:ligatures w14:val="none"/>
              </w:rPr>
              <w:t>actin</w:t>
            </w:r>
            <w:proofErr w:type="gramEnd"/>
            <w:r w:rsidRPr="00DA67BB">
              <w:rPr>
                <w:rFonts w:ascii="Times New Roman" w:eastAsia="Times New Roman" w:hAnsi="Times New Roman" w:cs="Times New Roman"/>
                <w:color w:val="000000" w:themeColor="text1"/>
                <w:kern w:val="0"/>
                <w14:ligatures w14:val="none"/>
              </w:rPr>
              <w:t>-dependent regulator of chromatin subfamily A-like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7C4689C"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0.0028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EDF0A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06707559"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5D5CAC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Myo1d</w:t>
            </w:r>
          </w:p>
        </w:tc>
        <w:tc>
          <w:tcPr>
            <w:tcW w:w="1878" w:type="dxa"/>
            <w:tcBorders>
              <w:top w:val="single" w:sz="6" w:space="0" w:color="434343"/>
              <w:left w:val="single" w:sz="6" w:space="0" w:color="434343"/>
              <w:bottom w:val="single" w:sz="6" w:space="0" w:color="434343"/>
              <w:right w:val="single" w:sz="6" w:space="0" w:color="434343"/>
            </w:tcBorders>
          </w:tcPr>
          <w:p w14:paraId="75D00FE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Q5SYD0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9FED6D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Unconventional myosin-Id</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08448A0"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0.004</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E2F22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2330D7A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3528D3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shd w:val="clear" w:color="auto" w:fill="FFFFFF"/>
                <w14:ligatures w14:val="none"/>
              </w:rPr>
              <w:t>Asns</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30FFF4B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Q61024</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665C98E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Asparagine synthetase [glutamine-hydrolyzing]</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962B023"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0.0041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0BD68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2BA97A6C"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3CDCB6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shd w:val="clear" w:color="auto" w:fill="FFFFFF"/>
                <w14:ligatures w14:val="none"/>
              </w:rPr>
              <w:t>Pvalb</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29010EE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Q545M7</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8A6722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Parvalbumin alpha</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47592F7"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0.0041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93D6E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5EF0458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FCA54C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Ncoa5</w:t>
            </w:r>
          </w:p>
        </w:tc>
        <w:tc>
          <w:tcPr>
            <w:tcW w:w="1878" w:type="dxa"/>
            <w:tcBorders>
              <w:top w:val="single" w:sz="6" w:space="0" w:color="434343"/>
              <w:left w:val="single" w:sz="6" w:space="0" w:color="434343"/>
              <w:bottom w:val="single" w:sz="6" w:space="0" w:color="434343"/>
              <w:right w:val="single" w:sz="6" w:space="0" w:color="434343"/>
            </w:tcBorders>
          </w:tcPr>
          <w:p w14:paraId="3023447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Q91W39</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540556F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Nuclear receptor coactivator 5</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6BE689F0"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0.0051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46A33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5E624799"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2A82FF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z w:val="22"/>
                <w:szCs w:val="22"/>
                <w:shd w:val="clear" w:color="auto" w:fill="FFFFFF"/>
                <w14:ligatures w14:val="none"/>
              </w:rPr>
              <w:t>Evi5l</w:t>
            </w:r>
          </w:p>
        </w:tc>
        <w:tc>
          <w:tcPr>
            <w:tcW w:w="1878" w:type="dxa"/>
            <w:tcBorders>
              <w:top w:val="single" w:sz="6" w:space="0" w:color="434343"/>
              <w:left w:val="single" w:sz="6" w:space="0" w:color="434343"/>
              <w:bottom w:val="single" w:sz="6" w:space="0" w:color="434343"/>
              <w:right w:val="single" w:sz="6" w:space="0" w:color="434343"/>
            </w:tcBorders>
          </w:tcPr>
          <w:p w14:paraId="49462F5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Q3U1G0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491FC9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sz w:val="26"/>
                <w:szCs w:val="26"/>
                <w14:ligatures w14:val="none"/>
              </w:rPr>
              <w:t>Ecotropic</w:t>
            </w:r>
            <w:proofErr w:type="spellEnd"/>
            <w:r w:rsidRPr="00DA67BB">
              <w:rPr>
                <w:rFonts w:ascii="Times New Roman" w:eastAsia="Times New Roman" w:hAnsi="Times New Roman" w:cs="Times New Roman"/>
                <w:color w:val="000000" w:themeColor="text1"/>
                <w:kern w:val="0"/>
                <w:sz w:val="26"/>
                <w:szCs w:val="26"/>
                <w14:ligatures w14:val="none"/>
              </w:rPr>
              <w:t xml:space="preserve"> Viral Integration Site 5 Like</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F92D464"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hd w:val="clear" w:color="auto" w:fill="FFFFFF"/>
                <w14:ligatures w14:val="none"/>
              </w:rPr>
              <w:t>0.0053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EEABD0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males</w:t>
            </w:r>
          </w:p>
        </w:tc>
      </w:tr>
      <w:tr w:rsidR="00FC1EBC" w:rsidRPr="00DA67BB" w14:paraId="67C84EF0"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7B61B02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Parl</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6DB0379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Q5XJY4</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C50765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Presenilins</w:t>
            </w:r>
            <w:proofErr w:type="spellEnd"/>
            <w:r w:rsidRPr="00DA67BB">
              <w:rPr>
                <w:rFonts w:ascii="Times New Roman" w:eastAsia="Times New Roman" w:hAnsi="Times New Roman" w:cs="Times New Roman"/>
                <w:color w:val="000000" w:themeColor="text1"/>
                <w:kern w:val="0"/>
                <w14:ligatures w14:val="none"/>
              </w:rPr>
              <w:t xml:space="preserve">-associated rhomboid-like protein, </w:t>
            </w:r>
            <w:proofErr w:type="spellStart"/>
            <w:proofErr w:type="gramStart"/>
            <w:r w:rsidRPr="00DA67BB">
              <w:rPr>
                <w:rFonts w:ascii="Times New Roman" w:eastAsia="Times New Roman" w:hAnsi="Times New Roman" w:cs="Times New Roman"/>
                <w:color w:val="000000" w:themeColor="text1"/>
                <w:kern w:val="0"/>
                <w14:ligatures w14:val="none"/>
              </w:rPr>
              <w:t>mitochondrial;P</w:t>
            </w:r>
            <w:proofErr w:type="gramEnd"/>
            <w:r w:rsidRPr="00DA67BB">
              <w:rPr>
                <w:rFonts w:ascii="Times New Roman" w:eastAsia="Times New Roman" w:hAnsi="Times New Roman" w:cs="Times New Roman"/>
                <w:color w:val="000000" w:themeColor="text1"/>
                <w:kern w:val="0"/>
                <w14:ligatures w14:val="none"/>
              </w:rPr>
              <w:t>-beta</w:t>
            </w:r>
            <w:proofErr w:type="spellEnd"/>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5D8B827"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0.0007</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1D941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589D9118"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A8939C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Samhd1</w:t>
            </w:r>
          </w:p>
        </w:tc>
        <w:tc>
          <w:tcPr>
            <w:tcW w:w="1878" w:type="dxa"/>
            <w:tcBorders>
              <w:top w:val="single" w:sz="6" w:space="0" w:color="434343"/>
              <w:left w:val="single" w:sz="6" w:space="0" w:color="434343"/>
              <w:bottom w:val="single" w:sz="6" w:space="0" w:color="434343"/>
              <w:right w:val="single" w:sz="6" w:space="0" w:color="434343"/>
            </w:tcBorders>
          </w:tcPr>
          <w:p w14:paraId="4D79A8E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Q60710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F50C50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Deoxynucleoside</w:t>
            </w:r>
            <w:proofErr w:type="spellEnd"/>
            <w:r w:rsidRPr="00DA67BB">
              <w:rPr>
                <w:rFonts w:ascii="Times New Roman" w:eastAsia="Times New Roman" w:hAnsi="Times New Roman" w:cs="Times New Roman"/>
                <w:color w:val="000000" w:themeColor="text1"/>
                <w:kern w:val="0"/>
                <w14:ligatures w14:val="none"/>
              </w:rPr>
              <w:t xml:space="preserve"> triphosphate </w:t>
            </w:r>
            <w:proofErr w:type="spellStart"/>
            <w:r w:rsidRPr="00DA67BB">
              <w:rPr>
                <w:rFonts w:ascii="Times New Roman" w:eastAsia="Times New Roman" w:hAnsi="Times New Roman" w:cs="Times New Roman"/>
                <w:color w:val="000000" w:themeColor="text1"/>
                <w:kern w:val="0"/>
                <w14:ligatures w14:val="none"/>
              </w:rPr>
              <w:t>triphosphohydrolase</w:t>
            </w:r>
            <w:proofErr w:type="spellEnd"/>
            <w:r w:rsidRPr="00DA67BB">
              <w:rPr>
                <w:rFonts w:ascii="Times New Roman" w:eastAsia="Times New Roman" w:hAnsi="Times New Roman" w:cs="Times New Roman"/>
                <w:color w:val="000000" w:themeColor="text1"/>
                <w:kern w:val="0"/>
                <w14:ligatures w14:val="none"/>
              </w:rPr>
              <w:t xml:space="preserve"> SAMHD1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68A3C96D"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E734EA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2C49BF7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FD42E8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Bcar1</w:t>
            </w:r>
          </w:p>
        </w:tc>
        <w:tc>
          <w:tcPr>
            <w:tcW w:w="1878" w:type="dxa"/>
            <w:tcBorders>
              <w:top w:val="single" w:sz="6" w:space="0" w:color="434343"/>
              <w:left w:val="single" w:sz="6" w:space="0" w:color="434343"/>
              <w:bottom w:val="single" w:sz="6" w:space="0" w:color="434343"/>
              <w:right w:val="single" w:sz="6" w:space="0" w:color="434343"/>
            </w:tcBorders>
          </w:tcPr>
          <w:p w14:paraId="7A0A68C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Q61140</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7C61A14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Breast cancer anti-estrogen resistance protein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8753A0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0.0064</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3FBD3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41762A3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442263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Uqcr11</w:t>
            </w:r>
          </w:p>
        </w:tc>
        <w:tc>
          <w:tcPr>
            <w:tcW w:w="1878" w:type="dxa"/>
            <w:tcBorders>
              <w:top w:val="single" w:sz="6" w:space="0" w:color="434343"/>
              <w:left w:val="single" w:sz="6" w:space="0" w:color="434343"/>
              <w:bottom w:val="single" w:sz="6" w:space="0" w:color="434343"/>
              <w:right w:val="single" w:sz="6" w:space="0" w:color="434343"/>
            </w:tcBorders>
          </w:tcPr>
          <w:p w14:paraId="18C0255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Q9CPX8</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E64E73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Cytochrome b-c1 complex subunit 10</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00667A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0.0066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0C2EFC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3C961D15"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6D3D85C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Brinp2</w:t>
            </w:r>
          </w:p>
        </w:tc>
        <w:tc>
          <w:tcPr>
            <w:tcW w:w="1878" w:type="dxa"/>
            <w:tcBorders>
              <w:top w:val="single" w:sz="6" w:space="0" w:color="434343"/>
              <w:left w:val="single" w:sz="6" w:space="0" w:color="434343"/>
              <w:bottom w:val="single" w:sz="6" w:space="0" w:color="434343"/>
              <w:right w:val="single" w:sz="6" w:space="0" w:color="434343"/>
            </w:tcBorders>
          </w:tcPr>
          <w:p w14:paraId="6C41CCF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Q6DFY8</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3360862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BMP/retinoic acid-inducible neural-specific protein 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9086EF3"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0.0073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952AC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6BF5FD89"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65E688E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Mmgt1</w:t>
            </w:r>
          </w:p>
        </w:tc>
        <w:tc>
          <w:tcPr>
            <w:tcW w:w="1878" w:type="dxa"/>
            <w:tcBorders>
              <w:top w:val="single" w:sz="6" w:space="0" w:color="434343"/>
              <w:left w:val="single" w:sz="6" w:space="0" w:color="434343"/>
              <w:bottom w:val="single" w:sz="6" w:space="0" w:color="434343"/>
              <w:right w:val="single" w:sz="6" w:space="0" w:color="434343"/>
            </w:tcBorders>
          </w:tcPr>
          <w:p w14:paraId="581F747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Q8K273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9C4C67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Membrane magnesium transporter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CFD872A"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0.0092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370CE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54A833F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70C5CE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Lsm12</w:t>
            </w:r>
          </w:p>
        </w:tc>
        <w:tc>
          <w:tcPr>
            <w:tcW w:w="1878" w:type="dxa"/>
            <w:tcBorders>
              <w:top w:val="single" w:sz="6" w:space="0" w:color="434343"/>
              <w:left w:val="single" w:sz="6" w:space="0" w:color="434343"/>
              <w:bottom w:val="single" w:sz="6" w:space="0" w:color="434343"/>
              <w:right w:val="single" w:sz="6" w:space="0" w:color="434343"/>
            </w:tcBorders>
          </w:tcPr>
          <w:p w14:paraId="105474D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Q9D0R8</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3141A8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Protein LSM12 homolog</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54B6C04"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7B924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6BFB4A5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3DE7A1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Ppm1k</w:t>
            </w:r>
          </w:p>
        </w:tc>
        <w:tc>
          <w:tcPr>
            <w:tcW w:w="1878" w:type="dxa"/>
            <w:tcBorders>
              <w:top w:val="single" w:sz="6" w:space="0" w:color="434343"/>
              <w:left w:val="single" w:sz="6" w:space="0" w:color="434343"/>
              <w:bottom w:val="single" w:sz="6" w:space="0" w:color="434343"/>
              <w:right w:val="single" w:sz="6" w:space="0" w:color="434343"/>
            </w:tcBorders>
          </w:tcPr>
          <w:p w14:paraId="18FE019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Q8BXN7</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6390042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Protein phosphatase 1K, mitochondrial</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6FB2CA6"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EC9AC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6FB6FC8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25EE6D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lastRenderedPageBreak/>
              <w:t>Clptm1</w:t>
            </w:r>
          </w:p>
        </w:tc>
        <w:tc>
          <w:tcPr>
            <w:tcW w:w="1878" w:type="dxa"/>
            <w:tcBorders>
              <w:top w:val="single" w:sz="6" w:space="0" w:color="434343"/>
              <w:left w:val="single" w:sz="6" w:space="0" w:color="434343"/>
              <w:bottom w:val="single" w:sz="6" w:space="0" w:color="434343"/>
              <w:right w:val="single" w:sz="6" w:space="0" w:color="434343"/>
            </w:tcBorders>
          </w:tcPr>
          <w:p w14:paraId="2DCA585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Q8VBZ3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46AAD43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Cleft lip and palate transmembrane protein 1 homolog</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29C5C69"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0.0168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91E97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19C2E7F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A01E57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Snx32</w:t>
            </w:r>
          </w:p>
        </w:tc>
        <w:tc>
          <w:tcPr>
            <w:tcW w:w="1878" w:type="dxa"/>
            <w:tcBorders>
              <w:top w:val="single" w:sz="6" w:space="0" w:color="434343"/>
              <w:left w:val="single" w:sz="6" w:space="0" w:color="434343"/>
              <w:bottom w:val="single" w:sz="6" w:space="0" w:color="434343"/>
              <w:right w:val="single" w:sz="6" w:space="0" w:color="434343"/>
            </w:tcBorders>
          </w:tcPr>
          <w:p w14:paraId="15CDB35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Q80ZJ7</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F66F78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Sorting nexin-32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7C3238AC"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0.018</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B527C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00ACBDB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6549A1D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Golph3</w:t>
            </w:r>
          </w:p>
        </w:tc>
        <w:tc>
          <w:tcPr>
            <w:tcW w:w="1878" w:type="dxa"/>
            <w:tcBorders>
              <w:top w:val="single" w:sz="6" w:space="0" w:color="434343"/>
              <w:left w:val="single" w:sz="6" w:space="0" w:color="434343"/>
              <w:bottom w:val="single" w:sz="6" w:space="0" w:color="434343"/>
              <w:right w:val="single" w:sz="6" w:space="0" w:color="434343"/>
            </w:tcBorders>
          </w:tcPr>
          <w:p w14:paraId="54D23D9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Q9CRA5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090F80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Golgi phosphoprotein 3</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74883D9E"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0.0182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B0DA2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0BEA1D2A"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7DF5EE6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Nedd4</w:t>
            </w:r>
          </w:p>
        </w:tc>
        <w:tc>
          <w:tcPr>
            <w:tcW w:w="1878" w:type="dxa"/>
            <w:tcBorders>
              <w:top w:val="single" w:sz="6" w:space="0" w:color="434343"/>
              <w:left w:val="single" w:sz="6" w:space="0" w:color="434343"/>
              <w:bottom w:val="single" w:sz="6" w:space="0" w:color="434343"/>
              <w:right w:val="single" w:sz="6" w:space="0" w:color="434343"/>
            </w:tcBorders>
          </w:tcPr>
          <w:p w14:paraId="5EC749E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P46935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E6BAEC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E3 ubiquitin-protein ligase NEDD4</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241D3CDF"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0.0183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B5076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Upregulated in females</w:t>
            </w:r>
          </w:p>
        </w:tc>
      </w:tr>
      <w:tr w:rsidR="00FC1EBC" w:rsidRPr="00DA67BB" w14:paraId="7E46B90D"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2F6D9BD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Zwint</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1AFF665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Q9CQU5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5304C62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ZW10 interactor</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7933B89C"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0.0013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3E3A1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2F3585A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7A3612DE"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Armh3</w:t>
            </w:r>
          </w:p>
        </w:tc>
        <w:tc>
          <w:tcPr>
            <w:tcW w:w="1878" w:type="dxa"/>
            <w:tcBorders>
              <w:top w:val="single" w:sz="6" w:space="0" w:color="434343"/>
              <w:left w:val="single" w:sz="6" w:space="0" w:color="434343"/>
              <w:bottom w:val="single" w:sz="6" w:space="0" w:color="434343"/>
              <w:right w:val="single" w:sz="6" w:space="0" w:color="434343"/>
            </w:tcBorders>
            <w:shd w:val="clear" w:color="auto" w:fill="FFFFFF"/>
          </w:tcPr>
          <w:p w14:paraId="077EC54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Q6PD19</w:t>
            </w:r>
          </w:p>
        </w:tc>
        <w:tc>
          <w:tcPr>
            <w:tcW w:w="3690" w:type="dxa"/>
            <w:tcBorders>
              <w:top w:val="single" w:sz="6" w:space="0" w:color="434343"/>
              <w:left w:val="single" w:sz="6" w:space="0" w:color="434343"/>
              <w:bottom w:val="single" w:sz="6" w:space="0" w:color="434343"/>
              <w:right w:val="single" w:sz="6" w:space="0" w:color="434343"/>
            </w:tcBorders>
            <w:shd w:val="clear" w:color="auto" w:fill="FFFFFF"/>
            <w:tcMar>
              <w:top w:w="40" w:type="dxa"/>
              <w:left w:w="40" w:type="dxa"/>
              <w:bottom w:w="40" w:type="dxa"/>
              <w:right w:w="40" w:type="dxa"/>
            </w:tcMar>
            <w:vAlign w:val="bottom"/>
            <w:hideMark/>
          </w:tcPr>
          <w:p w14:paraId="2562637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z w:val="26"/>
                <w:szCs w:val="26"/>
                <w14:ligatures w14:val="none"/>
              </w:rPr>
              <w:t>Armadillo Like Helical Domain Containing 3</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A8FD5E7"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0DE5C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7F9E5BF0"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3354F02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Rap1gds1</w:t>
            </w:r>
          </w:p>
        </w:tc>
        <w:tc>
          <w:tcPr>
            <w:tcW w:w="1878" w:type="dxa"/>
            <w:tcBorders>
              <w:top w:val="single" w:sz="6" w:space="0" w:color="434343"/>
              <w:left w:val="single" w:sz="6" w:space="0" w:color="434343"/>
              <w:bottom w:val="single" w:sz="6" w:space="0" w:color="434343"/>
              <w:right w:val="single" w:sz="6" w:space="0" w:color="434343"/>
            </w:tcBorders>
            <w:shd w:val="clear" w:color="auto" w:fill="FFFFFF"/>
          </w:tcPr>
          <w:p w14:paraId="5C8E8AA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E9Q912</w:t>
            </w:r>
          </w:p>
        </w:tc>
        <w:tc>
          <w:tcPr>
            <w:tcW w:w="3690" w:type="dxa"/>
            <w:tcBorders>
              <w:top w:val="single" w:sz="6" w:space="0" w:color="434343"/>
              <w:left w:val="single" w:sz="6" w:space="0" w:color="434343"/>
              <w:bottom w:val="single" w:sz="6" w:space="0" w:color="434343"/>
              <w:right w:val="single" w:sz="6" w:space="0" w:color="434343"/>
            </w:tcBorders>
            <w:shd w:val="clear" w:color="auto" w:fill="FFFFFF"/>
            <w:tcMar>
              <w:top w:w="40" w:type="dxa"/>
              <w:left w:w="40" w:type="dxa"/>
              <w:bottom w:w="40" w:type="dxa"/>
              <w:right w:w="40" w:type="dxa"/>
            </w:tcMar>
            <w:vAlign w:val="bottom"/>
            <w:hideMark/>
          </w:tcPr>
          <w:p w14:paraId="636AB54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z w:val="26"/>
                <w:szCs w:val="26"/>
                <w14:ligatures w14:val="none"/>
              </w:rPr>
              <w:t>Rap1 GTPase-GDP Dissociation Stimulator 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0FB9925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0.0023</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2F6E1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59F9AC0D"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7939F74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Arfip1</w:t>
            </w:r>
          </w:p>
        </w:tc>
        <w:tc>
          <w:tcPr>
            <w:tcW w:w="1878" w:type="dxa"/>
            <w:tcBorders>
              <w:top w:val="single" w:sz="6" w:space="0" w:color="434343"/>
              <w:left w:val="single" w:sz="6" w:space="0" w:color="434343"/>
              <w:bottom w:val="single" w:sz="6" w:space="0" w:color="434343"/>
              <w:right w:val="single" w:sz="6" w:space="0" w:color="434343"/>
            </w:tcBorders>
          </w:tcPr>
          <w:p w14:paraId="3FCF563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G5E8V9</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102AB76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sz w:val="26"/>
                <w:szCs w:val="26"/>
                <w14:ligatures w14:val="none"/>
              </w:rPr>
              <w:t>Arfaptin-1</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51CB7C5B"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0.0026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6E8BE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6EF9E817"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5A4A631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Nrbf2</w:t>
            </w:r>
          </w:p>
        </w:tc>
        <w:tc>
          <w:tcPr>
            <w:tcW w:w="1878" w:type="dxa"/>
            <w:tcBorders>
              <w:top w:val="single" w:sz="6" w:space="0" w:color="434343"/>
              <w:left w:val="single" w:sz="6" w:space="0" w:color="434343"/>
              <w:bottom w:val="single" w:sz="6" w:space="0" w:color="434343"/>
              <w:right w:val="single" w:sz="6" w:space="0" w:color="434343"/>
            </w:tcBorders>
          </w:tcPr>
          <w:p w14:paraId="72C8203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Q8VCQ3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288433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Nuclear receptor-binding factor 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0880E44"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0.0037</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982CC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6276FF0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4499D7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Rplp2</w:t>
            </w:r>
          </w:p>
        </w:tc>
        <w:tc>
          <w:tcPr>
            <w:tcW w:w="1878" w:type="dxa"/>
            <w:tcBorders>
              <w:top w:val="single" w:sz="6" w:space="0" w:color="434343"/>
              <w:left w:val="single" w:sz="6" w:space="0" w:color="434343"/>
              <w:bottom w:val="single" w:sz="6" w:space="0" w:color="434343"/>
              <w:right w:val="single" w:sz="6" w:space="0" w:color="434343"/>
            </w:tcBorders>
          </w:tcPr>
          <w:p w14:paraId="172B83E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P99027</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7B6EFC71"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60S acidic ribosomal protein P2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6BD7739C"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0.004</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37B0B8D"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5A47FE00"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0A21C0F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Rpl10</w:t>
            </w:r>
          </w:p>
        </w:tc>
        <w:tc>
          <w:tcPr>
            <w:tcW w:w="1878" w:type="dxa"/>
            <w:tcBorders>
              <w:top w:val="single" w:sz="6" w:space="0" w:color="434343"/>
              <w:left w:val="single" w:sz="6" w:space="0" w:color="434343"/>
              <w:bottom w:val="single" w:sz="6" w:space="0" w:color="434343"/>
              <w:right w:val="single" w:sz="6" w:space="0" w:color="434343"/>
            </w:tcBorders>
          </w:tcPr>
          <w:p w14:paraId="4BF4003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Q6ZWV3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6AB94B4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Ribosomal protein;60S ribosomal protein L10a</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618A6C1D"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0.0047</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6275A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11036E76"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16E835A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Rgs14</w:t>
            </w:r>
          </w:p>
        </w:tc>
        <w:tc>
          <w:tcPr>
            <w:tcW w:w="1878" w:type="dxa"/>
            <w:tcBorders>
              <w:top w:val="single" w:sz="6" w:space="0" w:color="434343"/>
              <w:left w:val="single" w:sz="6" w:space="0" w:color="434343"/>
              <w:bottom w:val="single" w:sz="6" w:space="0" w:color="434343"/>
              <w:right w:val="single" w:sz="6" w:space="0" w:color="434343"/>
            </w:tcBorders>
          </w:tcPr>
          <w:p w14:paraId="655EC72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P97492</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00AA5D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Regulator of G-protein signaling 14</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3389FDCE"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0.0056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DA9E9B"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6581BDDC"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BB169A7"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Aftph</w:t>
            </w:r>
            <w:proofErr w:type="spellEnd"/>
          </w:p>
        </w:tc>
        <w:tc>
          <w:tcPr>
            <w:tcW w:w="1878" w:type="dxa"/>
            <w:tcBorders>
              <w:top w:val="single" w:sz="6" w:space="0" w:color="434343"/>
              <w:left w:val="single" w:sz="6" w:space="0" w:color="434343"/>
              <w:bottom w:val="single" w:sz="6" w:space="0" w:color="434343"/>
              <w:right w:val="single" w:sz="6" w:space="0" w:color="434343"/>
            </w:tcBorders>
          </w:tcPr>
          <w:p w14:paraId="702EFBC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Q80WT5</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557D6EB6"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roofErr w:type="spellStart"/>
            <w:r w:rsidRPr="00DA67BB">
              <w:rPr>
                <w:rFonts w:ascii="Times New Roman" w:eastAsia="Times New Roman" w:hAnsi="Times New Roman" w:cs="Times New Roman"/>
                <w:color w:val="000000" w:themeColor="text1"/>
                <w:kern w:val="0"/>
                <w14:ligatures w14:val="none"/>
              </w:rPr>
              <w:t>Aftiphilin</w:t>
            </w:r>
            <w:proofErr w:type="spellEnd"/>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480D1428"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0.0061</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CB2CC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4D43C05C"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3D5D8C85"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Kcna4</w:t>
            </w:r>
          </w:p>
        </w:tc>
        <w:tc>
          <w:tcPr>
            <w:tcW w:w="1878" w:type="dxa"/>
            <w:tcBorders>
              <w:top w:val="single" w:sz="6" w:space="0" w:color="434343"/>
              <w:left w:val="single" w:sz="6" w:space="0" w:color="434343"/>
              <w:bottom w:val="single" w:sz="6" w:space="0" w:color="434343"/>
              <w:right w:val="single" w:sz="6" w:space="0" w:color="434343"/>
            </w:tcBorders>
          </w:tcPr>
          <w:p w14:paraId="48E49DD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Q61423</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0588EF1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Potassium voltage-gated channel subfamily A member 4</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71483976"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0.0066</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D15F59"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4589A5A2"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3B3759F8"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Folh1</w:t>
            </w:r>
          </w:p>
        </w:tc>
        <w:tc>
          <w:tcPr>
            <w:tcW w:w="1878" w:type="dxa"/>
            <w:tcBorders>
              <w:top w:val="single" w:sz="6" w:space="0" w:color="434343"/>
              <w:left w:val="single" w:sz="6" w:space="0" w:color="434343"/>
              <w:bottom w:val="single" w:sz="6" w:space="0" w:color="434343"/>
              <w:right w:val="single" w:sz="6" w:space="0" w:color="434343"/>
            </w:tcBorders>
          </w:tcPr>
          <w:p w14:paraId="5583630C"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O35409</w:t>
            </w: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2C7BA90A"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Glutamate carboxypeptidase 2</w:t>
            </w:r>
          </w:p>
        </w:tc>
        <w:tc>
          <w:tcPr>
            <w:tcW w:w="900" w:type="dxa"/>
            <w:tcBorders>
              <w:top w:val="single" w:sz="6" w:space="0" w:color="000000"/>
              <w:left w:val="single" w:sz="6" w:space="0" w:color="434343"/>
              <w:bottom w:val="single" w:sz="6" w:space="0" w:color="000000"/>
              <w:right w:val="single" w:sz="6" w:space="0" w:color="000000"/>
            </w:tcBorders>
            <w:tcMar>
              <w:top w:w="0" w:type="dxa"/>
              <w:left w:w="100" w:type="dxa"/>
              <w:bottom w:w="0" w:type="dxa"/>
              <w:right w:w="100" w:type="dxa"/>
            </w:tcMar>
            <w:hideMark/>
          </w:tcPr>
          <w:p w14:paraId="1F10AAC5" w14:textId="77777777" w:rsidR="00FC1EBC" w:rsidRPr="00DA67BB" w:rsidRDefault="00FC1EBC" w:rsidP="00AC7926">
            <w:pPr>
              <w:spacing w:after="0" w:line="240" w:lineRule="auto"/>
              <w:jc w:val="right"/>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0.0072</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73FBA4"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r w:rsidR="00FC1EBC" w:rsidRPr="00DA67BB" w14:paraId="6FE991B1" w14:textId="77777777" w:rsidTr="00AC7926">
        <w:trPr>
          <w:trHeight w:val="315"/>
        </w:trPr>
        <w:tc>
          <w:tcPr>
            <w:tcW w:w="0" w:type="auto"/>
            <w:tcBorders>
              <w:top w:val="single" w:sz="6" w:space="0" w:color="000000"/>
              <w:left w:val="single" w:sz="6" w:space="0" w:color="000000"/>
              <w:bottom w:val="single" w:sz="6" w:space="0" w:color="000000"/>
              <w:right w:val="single" w:sz="6" w:space="0" w:color="434343"/>
            </w:tcBorders>
            <w:tcMar>
              <w:top w:w="0" w:type="dxa"/>
              <w:left w:w="100" w:type="dxa"/>
              <w:bottom w:w="0" w:type="dxa"/>
              <w:right w:w="100" w:type="dxa"/>
            </w:tcMar>
            <w:hideMark/>
          </w:tcPr>
          <w:p w14:paraId="4CA416A3"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Trappc10</w:t>
            </w:r>
          </w:p>
        </w:tc>
        <w:tc>
          <w:tcPr>
            <w:tcW w:w="1878" w:type="dxa"/>
            <w:tcBorders>
              <w:top w:val="single" w:sz="6" w:space="0" w:color="434343"/>
              <w:left w:val="single" w:sz="6" w:space="0" w:color="434343"/>
              <w:bottom w:val="single" w:sz="6" w:space="0" w:color="434343"/>
              <w:right w:val="single" w:sz="6" w:space="0" w:color="434343"/>
            </w:tcBorders>
          </w:tcPr>
          <w:p w14:paraId="4E053C70"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p>
        </w:tc>
        <w:tc>
          <w:tcPr>
            <w:tcW w:w="3690" w:type="dxa"/>
            <w:tcBorders>
              <w:top w:val="single" w:sz="6" w:space="0" w:color="434343"/>
              <w:left w:val="single" w:sz="6" w:space="0" w:color="434343"/>
              <w:bottom w:val="single" w:sz="6" w:space="0" w:color="434343"/>
              <w:right w:val="single" w:sz="6" w:space="0" w:color="434343"/>
            </w:tcBorders>
            <w:tcMar>
              <w:top w:w="40" w:type="dxa"/>
              <w:left w:w="40" w:type="dxa"/>
              <w:bottom w:w="40" w:type="dxa"/>
              <w:right w:w="40" w:type="dxa"/>
            </w:tcMar>
            <w:vAlign w:val="bottom"/>
            <w:hideMark/>
          </w:tcPr>
          <w:p w14:paraId="39EC6AA2"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Trafficking protein particle complex subunit 10</w:t>
            </w:r>
          </w:p>
        </w:tc>
        <w:tc>
          <w:tcPr>
            <w:tcW w:w="900" w:type="dxa"/>
            <w:tcBorders>
              <w:top w:val="single" w:sz="6" w:space="0" w:color="000000"/>
              <w:left w:val="single" w:sz="6" w:space="0" w:color="434343"/>
              <w:bottom w:val="single" w:sz="6" w:space="0" w:color="000000"/>
              <w:right w:val="single" w:sz="6" w:space="0" w:color="000000"/>
            </w:tcBorders>
            <w:tcMar>
              <w:top w:w="40" w:type="dxa"/>
              <w:left w:w="40" w:type="dxa"/>
              <w:bottom w:w="40" w:type="dxa"/>
              <w:right w:w="40" w:type="dxa"/>
            </w:tcMar>
            <w:vAlign w:val="bottom"/>
            <w:hideMark/>
          </w:tcPr>
          <w:p w14:paraId="3DC38971" w14:textId="77777777" w:rsidR="00FC1EBC" w:rsidRPr="00DA67BB" w:rsidRDefault="00FC1EBC" w:rsidP="00AC7926">
            <w:pPr>
              <w:spacing w:after="0" w:line="240" w:lineRule="auto"/>
              <w:jc w:val="center"/>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0.009</w:t>
            </w:r>
          </w:p>
        </w:tc>
        <w:tc>
          <w:tcPr>
            <w:tcW w:w="17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7C7D8F" w14:textId="77777777" w:rsidR="00FC1EBC" w:rsidRPr="00DA67BB" w:rsidRDefault="00FC1EBC" w:rsidP="00AC7926">
            <w:pPr>
              <w:spacing w:after="0" w:line="240" w:lineRule="auto"/>
              <w:rPr>
                <w:rFonts w:ascii="Times New Roman" w:eastAsia="Times New Roman" w:hAnsi="Times New Roman" w:cs="Times New Roman"/>
                <w:color w:val="000000" w:themeColor="text1"/>
                <w:kern w:val="0"/>
                <w14:ligatures w14:val="none"/>
              </w:rPr>
            </w:pPr>
            <w:r w:rsidRPr="00DA67BB">
              <w:rPr>
                <w:rFonts w:ascii="Times New Roman" w:eastAsia="Times New Roman" w:hAnsi="Times New Roman" w:cs="Times New Roman"/>
                <w:color w:val="000000" w:themeColor="text1"/>
                <w:kern w:val="0"/>
                <w14:ligatures w14:val="none"/>
              </w:rPr>
              <w:t>Downregulated in females</w:t>
            </w:r>
          </w:p>
        </w:tc>
      </w:tr>
    </w:tbl>
    <w:p w14:paraId="6E871CB9" w14:textId="77777777" w:rsidR="00FC1EBC" w:rsidRPr="00DA67BB" w:rsidRDefault="00FC1EBC" w:rsidP="00FC1EBC">
      <w:pPr>
        <w:rPr>
          <w:rFonts w:ascii="Times New Roman" w:hAnsi="Times New Roman" w:cs="Times New Roman"/>
        </w:rPr>
      </w:pPr>
    </w:p>
    <w:p w14:paraId="234A4B08" w14:textId="77777777" w:rsidR="00FC1EBC" w:rsidRDefault="00FC1EBC" w:rsidP="00436606">
      <w:pPr>
        <w:rPr>
          <w:rFonts w:ascii="Times New Roman" w:hAnsi="Times New Roman" w:cs="Times New Roman"/>
          <w:sz w:val="22"/>
          <w:szCs w:val="22"/>
          <w:vertAlign w:val="superscript"/>
        </w:rPr>
      </w:pPr>
    </w:p>
    <w:p w14:paraId="299E673B" w14:textId="77777777" w:rsidR="00612FFE" w:rsidRDefault="00612FFE" w:rsidP="00436606">
      <w:pPr>
        <w:rPr>
          <w:rFonts w:ascii="Times New Roman" w:hAnsi="Times New Roman" w:cs="Times New Roman"/>
          <w:sz w:val="22"/>
          <w:szCs w:val="22"/>
        </w:rPr>
      </w:pPr>
    </w:p>
    <w:p w14:paraId="24B39105" w14:textId="77777777" w:rsidR="00436606" w:rsidRDefault="00436606" w:rsidP="00436606">
      <w:pPr>
        <w:rPr>
          <w:rFonts w:ascii="Times New Roman" w:hAnsi="Times New Roman" w:cs="Times New Roman"/>
          <w:sz w:val="22"/>
          <w:szCs w:val="22"/>
        </w:rPr>
      </w:pPr>
    </w:p>
    <w:p w14:paraId="46EB262A" w14:textId="77777777" w:rsidR="00AF5AD0" w:rsidRDefault="00AF5AD0" w:rsidP="00436606">
      <w:pPr>
        <w:rPr>
          <w:rFonts w:ascii="Times New Roman" w:hAnsi="Times New Roman" w:cs="Times New Roman"/>
          <w:b/>
          <w:bCs/>
        </w:rPr>
      </w:pPr>
    </w:p>
    <w:p w14:paraId="6E933C56" w14:textId="77777777" w:rsidR="00AF5AD0" w:rsidRDefault="00AF5AD0" w:rsidP="00436606">
      <w:pPr>
        <w:rPr>
          <w:rFonts w:ascii="Times New Roman" w:hAnsi="Times New Roman" w:cs="Times New Roman"/>
          <w:b/>
          <w:bCs/>
        </w:rPr>
      </w:pPr>
    </w:p>
    <w:p w14:paraId="1B52A622" w14:textId="77777777" w:rsidR="00FC1EBC" w:rsidRPr="00E21075" w:rsidRDefault="00FC1EBC" w:rsidP="00FC1EBC">
      <w:pPr>
        <w:rPr>
          <w:rFonts w:ascii="Times New Roman" w:hAnsi="Times New Roman" w:cs="Times New Roman"/>
          <w:sz w:val="22"/>
          <w:szCs w:val="22"/>
        </w:rPr>
      </w:pPr>
      <w:r>
        <w:rPr>
          <w:rFonts w:ascii="Times New Roman" w:hAnsi="Times New Roman" w:cs="Times New Roman"/>
          <w:b/>
          <w:bCs/>
        </w:rPr>
        <w:t>S</w:t>
      </w:r>
      <w:r w:rsidRPr="00436606">
        <w:rPr>
          <w:rFonts w:ascii="Times New Roman" w:hAnsi="Times New Roman" w:cs="Times New Roman"/>
          <w:b/>
          <w:bCs/>
        </w:rPr>
        <w:t>upplementary Table S1</w:t>
      </w:r>
      <w:r>
        <w:rPr>
          <w:rFonts w:ascii="Times New Roman" w:hAnsi="Times New Roman" w:cs="Times New Roman"/>
          <w:b/>
          <w:bCs/>
        </w:rPr>
        <w:t>.2</w:t>
      </w:r>
      <w:r w:rsidRPr="00436606">
        <w:rPr>
          <w:rFonts w:ascii="Times New Roman" w:hAnsi="Times New Roman" w:cs="Times New Roman"/>
          <w:b/>
          <w:bCs/>
        </w:rPr>
        <w:t>:</w:t>
      </w:r>
      <w:r w:rsidRPr="00436606">
        <w:rPr>
          <w:rFonts w:ascii="Times New Roman" w:hAnsi="Times New Roman" w:cs="Times New Roman"/>
        </w:rPr>
        <w:t xml:space="preserve"> </w:t>
      </w:r>
      <w:r w:rsidRPr="00E21075">
        <w:rPr>
          <w:rFonts w:ascii="Times New Roman" w:hAnsi="Times New Roman" w:cs="Times New Roman"/>
          <w:sz w:val="22"/>
          <w:szCs w:val="22"/>
        </w:rPr>
        <w:t>Common differentially abundant proteins in both male and female hippocampus with their protein codes (Protein), Protein name, Differential abundance, and Neurological relevance</w:t>
      </w:r>
      <w:r>
        <w:rPr>
          <w:rFonts w:ascii="Times New Roman" w:hAnsi="Times New Roman" w:cs="Times New Roman"/>
          <w:sz w:val="22"/>
          <w:szCs w:val="22"/>
        </w:rPr>
        <w:t xml:space="preserve"> with citation (references below the table)</w:t>
      </w:r>
    </w:p>
    <w:p w14:paraId="4CBC21FF" w14:textId="77777777" w:rsidR="00FC1EBC" w:rsidRPr="00E21075" w:rsidRDefault="00FC1EBC" w:rsidP="00FC1EBC">
      <w:pPr>
        <w:rPr>
          <w:rFonts w:ascii="Times New Roman" w:hAnsi="Times New Roman" w:cs="Times New Roman"/>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924"/>
        <w:gridCol w:w="2009"/>
        <w:gridCol w:w="1974"/>
        <w:gridCol w:w="2874"/>
        <w:gridCol w:w="1563"/>
      </w:tblGrid>
      <w:tr w:rsidR="00FC1EBC" w:rsidRPr="00E21075" w14:paraId="2EC9289C" w14:textId="77777777" w:rsidTr="00AC7926">
        <w:trPr>
          <w:trHeight w:val="330"/>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68710917" w14:textId="77777777" w:rsidR="00FC1EBC" w:rsidRPr="00E21075" w:rsidRDefault="00FC1EBC" w:rsidP="00AC7926">
            <w:pPr>
              <w:rPr>
                <w:rFonts w:ascii="Times New Roman" w:hAnsi="Times New Roman" w:cs="Times New Roman"/>
                <w:b/>
                <w:bCs/>
                <w:sz w:val="22"/>
                <w:szCs w:val="22"/>
              </w:rPr>
            </w:pPr>
            <w:r w:rsidRPr="00E21075">
              <w:rPr>
                <w:rFonts w:ascii="Times New Roman" w:hAnsi="Times New Roman" w:cs="Times New Roman"/>
                <w:b/>
                <w:bCs/>
                <w:sz w:val="22"/>
                <w:szCs w:val="22"/>
              </w:rPr>
              <w:t>Protein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5376AA98" w14:textId="77777777" w:rsidR="00FC1EBC" w:rsidRPr="00E21075" w:rsidRDefault="00FC1EBC" w:rsidP="00AC7926">
            <w:pPr>
              <w:rPr>
                <w:rFonts w:ascii="Times New Roman" w:hAnsi="Times New Roman" w:cs="Times New Roman"/>
                <w:b/>
                <w:bCs/>
                <w:sz w:val="22"/>
                <w:szCs w:val="22"/>
              </w:rPr>
            </w:pPr>
            <w:r w:rsidRPr="00E21075">
              <w:rPr>
                <w:rFonts w:ascii="Times New Roman" w:hAnsi="Times New Roman" w:cs="Times New Roman"/>
                <w:b/>
                <w:bCs/>
                <w:sz w:val="22"/>
                <w:szCs w:val="22"/>
              </w:rPr>
              <w:t>Protein name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0A7B70FF" w14:textId="77777777" w:rsidR="00FC1EBC" w:rsidRPr="00E21075" w:rsidRDefault="00FC1EBC" w:rsidP="00AC7926">
            <w:pPr>
              <w:rPr>
                <w:rFonts w:ascii="Times New Roman" w:hAnsi="Times New Roman" w:cs="Times New Roman"/>
                <w:b/>
                <w:bCs/>
                <w:sz w:val="22"/>
                <w:szCs w:val="22"/>
              </w:rPr>
            </w:pPr>
            <w:r w:rsidRPr="00E21075">
              <w:rPr>
                <w:rFonts w:ascii="Times New Roman" w:hAnsi="Times New Roman" w:cs="Times New Roman"/>
                <w:b/>
                <w:bCs/>
                <w:sz w:val="22"/>
                <w:szCs w:val="22"/>
              </w:rPr>
              <w:t>Differential abundance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3CAAB011" w14:textId="77777777" w:rsidR="00FC1EBC" w:rsidRPr="00E21075" w:rsidRDefault="00FC1EBC" w:rsidP="00AC7926">
            <w:pPr>
              <w:rPr>
                <w:rFonts w:ascii="Times New Roman" w:hAnsi="Times New Roman" w:cs="Times New Roman"/>
                <w:b/>
                <w:bCs/>
                <w:sz w:val="22"/>
                <w:szCs w:val="22"/>
              </w:rPr>
            </w:pPr>
            <w:r w:rsidRPr="00E21075">
              <w:rPr>
                <w:rFonts w:ascii="Times New Roman" w:hAnsi="Times New Roman" w:cs="Times New Roman"/>
                <w:b/>
                <w:bCs/>
                <w:sz w:val="22"/>
                <w:szCs w:val="22"/>
              </w:rPr>
              <w:t>Neurological relevance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14:paraId="7B315650" w14:textId="77777777" w:rsidR="00FC1EBC" w:rsidRPr="00E21075" w:rsidRDefault="00FC1EBC" w:rsidP="00AC7926">
            <w:pPr>
              <w:rPr>
                <w:rFonts w:ascii="Times New Roman" w:hAnsi="Times New Roman" w:cs="Times New Roman"/>
                <w:b/>
                <w:bCs/>
                <w:sz w:val="22"/>
                <w:szCs w:val="22"/>
              </w:rPr>
            </w:pPr>
            <w:r w:rsidRPr="00E21075">
              <w:rPr>
                <w:rFonts w:ascii="Times New Roman" w:hAnsi="Times New Roman" w:cs="Times New Roman"/>
                <w:b/>
                <w:bCs/>
                <w:sz w:val="22"/>
                <w:szCs w:val="22"/>
              </w:rPr>
              <w:t>Citations</w:t>
            </w:r>
          </w:p>
        </w:tc>
      </w:tr>
      <w:tr w:rsidR="00FC1EBC" w:rsidRPr="00E21075" w14:paraId="0671BB8A" w14:textId="77777777" w:rsidTr="00AC7926">
        <w:trPr>
          <w:trHeight w:val="69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627B1B9"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Bcat2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BDA0A3A"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Branched-chain-amino-acid aminotransferase, mitochondrial</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6C7555F"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822F28E"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Supports neurotransmitter balance and central nervous system function.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FC011A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Choi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2024</w:t>
            </w:r>
          </w:p>
        </w:tc>
      </w:tr>
      <w:tr w:rsidR="00FC1EBC" w:rsidRPr="00E21075" w14:paraId="50797DC3" w14:textId="77777777" w:rsidTr="00AC7926">
        <w:trPr>
          <w:trHeight w:val="5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434537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Ca</w:t>
            </w:r>
            <w:proofErr w:type="gramStart"/>
            <w:r w:rsidRPr="00E21075">
              <w:rPr>
                <w:rFonts w:ascii="Times New Roman" w:hAnsi="Times New Roman" w:cs="Times New Roman"/>
                <w:sz w:val="22"/>
                <w:szCs w:val="22"/>
              </w:rPr>
              <w:t>2;Car</w:t>
            </w:r>
            <w:proofErr w:type="gramEnd"/>
            <w:r w:rsidRPr="00E21075">
              <w:rPr>
                <w:rFonts w:ascii="Times New Roman" w:hAnsi="Times New Roman" w:cs="Times New Roman"/>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6727D6D"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Carbonic anhydrase 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142BB35"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814966E"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Involved in neurodevelopment and depletion of Ca2 is associated with the pathogenesis of cerebral calcifications and mental retardation.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8DBB9F3"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Kida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2006</w:t>
            </w:r>
          </w:p>
        </w:tc>
      </w:tr>
      <w:tr w:rsidR="00FC1EBC" w:rsidRPr="00E21075" w14:paraId="5DB4C5C0" w14:textId="77777777" w:rsidTr="00AC7926">
        <w:trPr>
          <w:trHeight w:val="33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FDA7D8D" w14:textId="77777777" w:rsidR="00FC1EBC" w:rsidRPr="00E21075" w:rsidRDefault="00FC1EBC" w:rsidP="00AC7926">
            <w:pPr>
              <w:rPr>
                <w:rFonts w:ascii="Times New Roman" w:hAnsi="Times New Roman" w:cs="Times New Roman"/>
                <w:sz w:val="22"/>
                <w:szCs w:val="22"/>
              </w:rPr>
            </w:pPr>
            <w:proofErr w:type="spellStart"/>
            <w:r w:rsidRPr="00E21075">
              <w:rPr>
                <w:rFonts w:ascii="Times New Roman" w:hAnsi="Times New Roman" w:cs="Times New Roman"/>
                <w:sz w:val="22"/>
                <w:szCs w:val="22"/>
              </w:rPr>
              <w:t>Ermn</w:t>
            </w:r>
            <w:proofErr w:type="spellEnd"/>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C0F70A6"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Ermin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76175C2"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0EF6B11"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Marker of myelinating oligodendroglia </w:t>
            </w:r>
            <w:proofErr w:type="gramStart"/>
            <w:r w:rsidRPr="00E21075">
              <w:rPr>
                <w:rFonts w:ascii="Times New Roman" w:hAnsi="Times New Roman" w:cs="Times New Roman"/>
                <w:sz w:val="22"/>
                <w:szCs w:val="22"/>
              </w:rPr>
              <w:t>and also</w:t>
            </w:r>
            <w:proofErr w:type="gramEnd"/>
            <w:r w:rsidRPr="00E21075">
              <w:rPr>
                <w:rFonts w:ascii="Times New Roman" w:hAnsi="Times New Roman" w:cs="Times New Roman"/>
                <w:sz w:val="22"/>
                <w:szCs w:val="22"/>
              </w:rPr>
              <w:t xml:space="preserve"> plays a role in cytoskeletal rearrangements.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BEB51FB" w14:textId="77777777" w:rsidR="00FC1EBC" w:rsidRPr="00E21075" w:rsidRDefault="00FC1EBC" w:rsidP="00AC7926">
            <w:pPr>
              <w:rPr>
                <w:rFonts w:ascii="Times New Roman" w:hAnsi="Times New Roman" w:cs="Times New Roman"/>
                <w:sz w:val="22"/>
                <w:szCs w:val="22"/>
              </w:rPr>
            </w:pPr>
            <w:proofErr w:type="spellStart"/>
            <w:r w:rsidRPr="00E21075">
              <w:rPr>
                <w:rFonts w:ascii="Times New Roman" w:hAnsi="Times New Roman" w:cs="Times New Roman"/>
                <w:sz w:val="22"/>
                <w:szCs w:val="22"/>
              </w:rPr>
              <w:t>Brockschnieder</w:t>
            </w:r>
            <w:proofErr w:type="spellEnd"/>
            <w:r w:rsidRPr="00E21075">
              <w:rPr>
                <w:rFonts w:ascii="Times New Roman" w:hAnsi="Times New Roman" w:cs="Times New Roman"/>
                <w:sz w:val="22"/>
                <w:szCs w:val="22"/>
              </w:rPr>
              <w:t xml:space="preserve">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2006</w:t>
            </w:r>
          </w:p>
        </w:tc>
      </w:tr>
      <w:tr w:rsidR="00FC1EBC" w:rsidRPr="00E21075" w14:paraId="516D4A22" w14:textId="77777777" w:rsidTr="00AC7926">
        <w:trPr>
          <w:trHeight w:val="5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B134019"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Ero1l</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C8EE7C2"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ERO1-like protein alpha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15DCDE1"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6AFE066"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Involved in the endoplasmic reticulum stress response and contributes to the neuroprotective mechanism.</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4404A40"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Jin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2025</w:t>
            </w:r>
          </w:p>
        </w:tc>
      </w:tr>
      <w:tr w:rsidR="00FC1EBC" w:rsidRPr="00E21075" w14:paraId="5CBA50A3" w14:textId="77777777" w:rsidTr="00AC7926">
        <w:trPr>
          <w:trHeight w:val="33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8C1EA7B" w14:textId="77777777" w:rsidR="00FC1EBC" w:rsidRPr="00E21075" w:rsidRDefault="00FC1EBC" w:rsidP="00AC7926">
            <w:pPr>
              <w:rPr>
                <w:rFonts w:ascii="Times New Roman" w:hAnsi="Times New Roman" w:cs="Times New Roman"/>
                <w:sz w:val="22"/>
                <w:szCs w:val="22"/>
              </w:rPr>
            </w:pPr>
          </w:p>
          <w:p w14:paraId="724D5708"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Fam45a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C10D2C2"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Fam45a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C7211E6"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F2591F3"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Plays a crucial role in neurite outgrowth.</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F5CF89B"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Li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2025</w:t>
            </w:r>
          </w:p>
        </w:tc>
      </w:tr>
      <w:tr w:rsidR="00FC1EBC" w:rsidRPr="00E21075" w14:paraId="717CE965" w14:textId="77777777" w:rsidTr="00AC7926">
        <w:trPr>
          <w:trHeight w:val="5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2B460A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Lsm12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CEC7535"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Protein LSM12 homolog</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6592F05"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male hippocampus and upregulated in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66DB893"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Functions in neuroprotective pathways sustaining nucleocytoplasmic transport.</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A4E862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Lee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2020 </w:t>
            </w:r>
          </w:p>
        </w:tc>
      </w:tr>
      <w:tr w:rsidR="00FC1EBC" w:rsidRPr="00E21075" w14:paraId="096DAB4F" w14:textId="77777777" w:rsidTr="00AC7926">
        <w:trPr>
          <w:trHeight w:val="5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012AB1F" w14:textId="77777777" w:rsidR="00FC1EBC" w:rsidRPr="00E21075" w:rsidRDefault="00FC1EBC" w:rsidP="00AC7926">
            <w:pPr>
              <w:rPr>
                <w:rFonts w:ascii="Times New Roman" w:hAnsi="Times New Roman" w:cs="Times New Roman"/>
                <w:sz w:val="22"/>
                <w:szCs w:val="22"/>
              </w:rPr>
            </w:pPr>
            <w:proofErr w:type="spellStart"/>
            <w:r w:rsidRPr="00E21075">
              <w:rPr>
                <w:rFonts w:ascii="Times New Roman" w:hAnsi="Times New Roman" w:cs="Times New Roman"/>
                <w:sz w:val="22"/>
                <w:szCs w:val="22"/>
              </w:rPr>
              <w:t>Nanp</w:t>
            </w:r>
            <w:proofErr w:type="spellEnd"/>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73B9F99"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N-acylneuraminate-9-phosphatase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5669A88"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C43271A" w14:textId="77777777" w:rsidR="00FC1EBC" w:rsidRPr="00E21075" w:rsidRDefault="00FC1EBC" w:rsidP="00AC7926">
            <w:pPr>
              <w:rPr>
                <w:rFonts w:ascii="Times New Roman" w:hAnsi="Times New Roman"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73FE62B" w14:textId="77777777" w:rsidR="00FC1EBC" w:rsidRPr="00E21075" w:rsidRDefault="00FC1EBC" w:rsidP="00AC7926">
            <w:pPr>
              <w:rPr>
                <w:rFonts w:ascii="Times New Roman" w:hAnsi="Times New Roman" w:cs="Times New Roman"/>
                <w:sz w:val="22"/>
                <w:szCs w:val="22"/>
              </w:rPr>
            </w:pPr>
          </w:p>
        </w:tc>
      </w:tr>
      <w:tr w:rsidR="00FC1EBC" w:rsidRPr="00E21075" w14:paraId="309CC5A0" w14:textId="77777777" w:rsidTr="00AC7926">
        <w:trPr>
          <w:trHeight w:val="5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F51A53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lastRenderedPageBreak/>
              <w:t>Sf1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A3B9BE1"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Splicing factor 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BD7AE01"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Downregulated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C3B16BC"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Involved in the neurodevelopmental disorder. </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1E3F0E1"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Bou-</w:t>
            </w:r>
            <w:proofErr w:type="spellStart"/>
            <w:r w:rsidRPr="00E21075">
              <w:rPr>
                <w:rFonts w:ascii="Times New Roman" w:hAnsi="Times New Roman" w:cs="Times New Roman"/>
                <w:sz w:val="22"/>
                <w:szCs w:val="22"/>
              </w:rPr>
              <w:t>Rouphael</w:t>
            </w:r>
            <w:proofErr w:type="spellEnd"/>
            <w:r w:rsidRPr="00E21075">
              <w:rPr>
                <w:rFonts w:ascii="Times New Roman" w:hAnsi="Times New Roman" w:cs="Times New Roman"/>
                <w:sz w:val="22"/>
                <w:szCs w:val="22"/>
              </w:rPr>
              <w:t xml:space="preserve">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2025</w:t>
            </w:r>
          </w:p>
        </w:tc>
      </w:tr>
      <w:tr w:rsidR="00FC1EBC" w:rsidRPr="00E21075" w14:paraId="40B197E9" w14:textId="77777777" w:rsidTr="00AC7926">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9565575"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Snx32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019242C"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Sorting nexin-32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F8D8E70"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Upregulated in both male and female hippocampus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49E5274"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Regulates cargo sorting and neurite outgrowth.</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8CDF80A" w14:textId="77777777" w:rsidR="00FC1EBC" w:rsidRPr="00E21075" w:rsidRDefault="00FC1EBC" w:rsidP="00AC7926">
            <w:pPr>
              <w:rPr>
                <w:rFonts w:ascii="Times New Roman" w:hAnsi="Times New Roman" w:cs="Times New Roman"/>
                <w:sz w:val="22"/>
                <w:szCs w:val="22"/>
              </w:rPr>
            </w:pPr>
            <w:r w:rsidRPr="00E21075">
              <w:rPr>
                <w:rFonts w:ascii="Times New Roman" w:hAnsi="Times New Roman" w:cs="Times New Roman"/>
                <w:sz w:val="22"/>
                <w:szCs w:val="22"/>
              </w:rPr>
              <w:t xml:space="preserve">Sugatha </w:t>
            </w:r>
            <w:r w:rsidRPr="00E21075">
              <w:rPr>
                <w:rFonts w:ascii="Times New Roman" w:hAnsi="Times New Roman" w:cs="Times New Roman"/>
                <w:i/>
                <w:iCs/>
                <w:sz w:val="22"/>
                <w:szCs w:val="22"/>
              </w:rPr>
              <w:t xml:space="preserve">et al., </w:t>
            </w:r>
            <w:r w:rsidRPr="00E21075">
              <w:rPr>
                <w:rFonts w:ascii="Times New Roman" w:hAnsi="Times New Roman" w:cs="Times New Roman"/>
                <w:sz w:val="22"/>
                <w:szCs w:val="22"/>
              </w:rPr>
              <w:t>2023</w:t>
            </w:r>
          </w:p>
        </w:tc>
      </w:tr>
    </w:tbl>
    <w:p w14:paraId="781D9E48" w14:textId="77777777" w:rsidR="00FC1EBC" w:rsidRPr="002039A3" w:rsidRDefault="00FC1EBC" w:rsidP="00FC1EBC">
      <w:pPr>
        <w:rPr>
          <w:rFonts w:ascii="Times New Roman" w:hAnsi="Times New Roman" w:cs="Times New Roman"/>
          <w:b/>
          <w:bCs/>
          <w:sz w:val="22"/>
          <w:szCs w:val="22"/>
        </w:rPr>
      </w:pPr>
      <w:r w:rsidRPr="002039A3">
        <w:rPr>
          <w:rFonts w:ascii="Times New Roman" w:hAnsi="Times New Roman" w:cs="Times New Roman"/>
          <w:b/>
          <w:bCs/>
          <w:sz w:val="22"/>
          <w:szCs w:val="22"/>
        </w:rPr>
        <w:t>References:</w:t>
      </w:r>
    </w:p>
    <w:p w14:paraId="234E2BCA" w14:textId="77777777" w:rsidR="00FC1EBC" w:rsidRPr="005C6002"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0"/>
          <w:szCs w:val="20"/>
        </w:rPr>
        <w:t> </w:t>
      </w:r>
      <w:r w:rsidRPr="005C6002">
        <w:rPr>
          <w:rFonts w:ascii="Times New Roman" w:hAnsi="Times New Roman" w:cs="Times New Roman"/>
          <w:sz w:val="22"/>
          <w:szCs w:val="22"/>
        </w:rPr>
        <w:t xml:space="preserve">Choi BH, Hyun S, Koo SH. The role of BCAA metabolism in metabolic health and disease. Experimental &amp; Molecular Medicine. 2024 Jul 1;56(7):1552–9. </w:t>
      </w:r>
      <w:hyperlink r:id="rId5" w:history="1">
        <w:r w:rsidRPr="005C6002">
          <w:rPr>
            <w:rStyle w:val="Hyperlink"/>
            <w:rFonts w:ascii="Times New Roman" w:hAnsi="Times New Roman" w:cs="Times New Roman"/>
            <w:sz w:val="22"/>
            <w:szCs w:val="22"/>
          </w:rPr>
          <w:t>https://doi.org/10.1038/s12276-024-01263-6</w:t>
        </w:r>
      </w:hyperlink>
      <w:r w:rsidRPr="005C6002">
        <w:rPr>
          <w:rFonts w:ascii="Times New Roman" w:hAnsi="Times New Roman" w:cs="Times New Roman"/>
          <w:sz w:val="22"/>
          <w:szCs w:val="22"/>
        </w:rPr>
        <w:t xml:space="preserve"> </w:t>
      </w:r>
    </w:p>
    <w:p w14:paraId="08F2B323" w14:textId="77777777" w:rsidR="00FC1EBC" w:rsidRPr="005C6002"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2"/>
          <w:szCs w:val="22"/>
        </w:rPr>
        <w:t xml:space="preserve">Kida E, </w:t>
      </w:r>
      <w:proofErr w:type="spellStart"/>
      <w:r w:rsidRPr="005C6002">
        <w:rPr>
          <w:rFonts w:ascii="Times New Roman" w:hAnsi="Times New Roman" w:cs="Times New Roman"/>
          <w:sz w:val="22"/>
          <w:szCs w:val="22"/>
        </w:rPr>
        <w:t>Palminiello</w:t>
      </w:r>
      <w:proofErr w:type="spellEnd"/>
      <w:r w:rsidRPr="005C6002">
        <w:rPr>
          <w:rFonts w:ascii="Times New Roman" w:hAnsi="Times New Roman" w:cs="Times New Roman"/>
          <w:sz w:val="22"/>
          <w:szCs w:val="22"/>
        </w:rPr>
        <w:t xml:space="preserve"> S, Wisniewski KE, Walus M, Albertini G, Wierzba-Bobrowicz T, et al. Carbonic Anhydrase II in the Developing and Adult Human Brain. Journal of Neuropathology and Experimental Neurology. 2006 Jul 1;65(7):664–74. </w:t>
      </w:r>
      <w:hyperlink r:id="rId6" w:history="1">
        <w:r w:rsidRPr="005C6002">
          <w:rPr>
            <w:rStyle w:val="Hyperlink"/>
            <w:rFonts w:ascii="Times New Roman" w:hAnsi="Times New Roman" w:cs="Times New Roman"/>
            <w:sz w:val="22"/>
            <w:szCs w:val="22"/>
          </w:rPr>
          <w:t>https://doi.org/10.1097/01.jnen.0000225905.52002.3e</w:t>
        </w:r>
      </w:hyperlink>
      <w:r w:rsidRPr="005C6002">
        <w:rPr>
          <w:rFonts w:ascii="Times New Roman" w:hAnsi="Times New Roman" w:cs="Times New Roman"/>
          <w:sz w:val="22"/>
          <w:szCs w:val="22"/>
        </w:rPr>
        <w:t xml:space="preserve"> </w:t>
      </w:r>
    </w:p>
    <w:p w14:paraId="61CEF584" w14:textId="77777777" w:rsidR="00FC1EBC" w:rsidRPr="005C6002" w:rsidRDefault="00FC1EBC" w:rsidP="00FC1EBC">
      <w:pPr>
        <w:pStyle w:val="ListParagraph"/>
        <w:numPr>
          <w:ilvl w:val="0"/>
          <w:numId w:val="3"/>
        </w:numPr>
        <w:rPr>
          <w:rFonts w:ascii="Times New Roman" w:hAnsi="Times New Roman" w:cs="Times New Roman"/>
          <w:sz w:val="22"/>
          <w:szCs w:val="22"/>
        </w:rPr>
      </w:pPr>
      <w:proofErr w:type="spellStart"/>
      <w:r w:rsidRPr="005C6002">
        <w:rPr>
          <w:rFonts w:ascii="Times New Roman" w:hAnsi="Times New Roman" w:cs="Times New Roman"/>
          <w:sz w:val="22"/>
          <w:szCs w:val="22"/>
        </w:rPr>
        <w:t>Brockschnieder</w:t>
      </w:r>
      <w:proofErr w:type="spellEnd"/>
      <w:r w:rsidRPr="005C6002">
        <w:rPr>
          <w:rFonts w:ascii="Times New Roman" w:hAnsi="Times New Roman" w:cs="Times New Roman"/>
          <w:sz w:val="22"/>
          <w:szCs w:val="22"/>
        </w:rPr>
        <w:t xml:space="preserve"> D, </w:t>
      </w:r>
      <w:proofErr w:type="spellStart"/>
      <w:r w:rsidRPr="005C6002">
        <w:rPr>
          <w:rFonts w:ascii="Times New Roman" w:hAnsi="Times New Roman" w:cs="Times New Roman"/>
          <w:sz w:val="22"/>
          <w:szCs w:val="22"/>
        </w:rPr>
        <w:t>Riethmacher</w:t>
      </w:r>
      <w:proofErr w:type="spellEnd"/>
      <w:r w:rsidRPr="005C6002">
        <w:rPr>
          <w:rFonts w:ascii="Times New Roman" w:hAnsi="Times New Roman" w:cs="Times New Roman"/>
          <w:sz w:val="22"/>
          <w:szCs w:val="22"/>
        </w:rPr>
        <w:t xml:space="preserve"> D, </w:t>
      </w:r>
      <w:proofErr w:type="spellStart"/>
      <w:r w:rsidRPr="005C6002">
        <w:rPr>
          <w:rFonts w:ascii="Times New Roman" w:hAnsi="Times New Roman" w:cs="Times New Roman"/>
          <w:sz w:val="22"/>
          <w:szCs w:val="22"/>
        </w:rPr>
        <w:t>Sabanay</w:t>
      </w:r>
      <w:proofErr w:type="spellEnd"/>
      <w:r w:rsidRPr="005C6002">
        <w:rPr>
          <w:rFonts w:ascii="Times New Roman" w:hAnsi="Times New Roman" w:cs="Times New Roman"/>
          <w:sz w:val="22"/>
          <w:szCs w:val="22"/>
        </w:rPr>
        <w:t xml:space="preserve"> H, Peles E. Ermin, A Myelinating Oligodendrocyte-Specific Protein That Regulates Cell Morphology. The Journal of Neuroscience. 2006 Jan 18;26(3):757–62. </w:t>
      </w:r>
      <w:hyperlink r:id="rId7" w:history="1">
        <w:r w:rsidRPr="005C6002">
          <w:rPr>
            <w:rStyle w:val="Hyperlink"/>
            <w:rFonts w:ascii="Times New Roman" w:hAnsi="Times New Roman" w:cs="Times New Roman"/>
            <w:sz w:val="22"/>
            <w:szCs w:val="22"/>
          </w:rPr>
          <w:t>https://doi.org/10.1523/jneurosci.4317-05.2006</w:t>
        </w:r>
      </w:hyperlink>
      <w:r w:rsidRPr="005C6002">
        <w:rPr>
          <w:rFonts w:ascii="Times New Roman" w:hAnsi="Times New Roman" w:cs="Times New Roman"/>
          <w:sz w:val="22"/>
          <w:szCs w:val="22"/>
        </w:rPr>
        <w:t xml:space="preserve"> </w:t>
      </w:r>
    </w:p>
    <w:p w14:paraId="5BADC4CF" w14:textId="77777777" w:rsidR="00FC1EBC" w:rsidRPr="005C6002"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2"/>
          <w:szCs w:val="22"/>
        </w:rPr>
        <w:t xml:space="preserve">Jin H, Chen L, Huan Y, Chu G, Zhao H, Gong S, et al. Functional characterization of key protein biomarkers in spontaneous intracerebral hemorrhage pathogenesis: Structure and function of NUAK1 protein and ERO1L protein macromolecules. International journal of biological macromolecules. 2025 May 1;309(Pt 2):142959. </w:t>
      </w:r>
      <w:hyperlink r:id="rId8" w:history="1">
        <w:r w:rsidRPr="005C6002">
          <w:rPr>
            <w:rStyle w:val="Hyperlink"/>
            <w:rFonts w:ascii="Times New Roman" w:hAnsi="Times New Roman" w:cs="Times New Roman"/>
            <w:sz w:val="22"/>
            <w:szCs w:val="22"/>
          </w:rPr>
          <w:t>https://doi.org/10.1016/j.ijbiomac.2025.142959</w:t>
        </w:r>
      </w:hyperlink>
      <w:r w:rsidRPr="005C6002">
        <w:rPr>
          <w:rFonts w:ascii="Times New Roman" w:hAnsi="Times New Roman" w:cs="Times New Roman"/>
          <w:sz w:val="22"/>
          <w:szCs w:val="22"/>
        </w:rPr>
        <w:t xml:space="preserve"> </w:t>
      </w:r>
    </w:p>
    <w:p w14:paraId="34641CB4" w14:textId="77777777" w:rsidR="00FC1EBC" w:rsidRPr="005C6002"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2"/>
          <w:szCs w:val="22"/>
        </w:rPr>
        <w:t xml:space="preserve">Li A, Zhang J, Ma C, Qi L, Hu Q, Li Q, et al. Endosomal protein DENND10 promotes developmental competence of neurite extension. </w:t>
      </w:r>
      <w:proofErr w:type="spellStart"/>
      <w:r w:rsidRPr="005C6002">
        <w:rPr>
          <w:rFonts w:ascii="Times New Roman" w:hAnsi="Times New Roman" w:cs="Times New Roman"/>
          <w:sz w:val="22"/>
          <w:szCs w:val="22"/>
        </w:rPr>
        <w:t>iScience</w:t>
      </w:r>
      <w:proofErr w:type="spellEnd"/>
      <w:r w:rsidRPr="005C6002">
        <w:rPr>
          <w:rFonts w:ascii="Times New Roman" w:hAnsi="Times New Roman" w:cs="Times New Roman"/>
          <w:sz w:val="22"/>
          <w:szCs w:val="22"/>
        </w:rPr>
        <w:t xml:space="preserve">. 2025 May 1;28(5):112385. </w:t>
      </w:r>
      <w:hyperlink r:id="rId9" w:history="1">
        <w:r w:rsidRPr="005C6002">
          <w:rPr>
            <w:rStyle w:val="Hyperlink"/>
            <w:rFonts w:ascii="Times New Roman" w:hAnsi="Times New Roman" w:cs="Times New Roman"/>
            <w:sz w:val="22"/>
            <w:szCs w:val="22"/>
          </w:rPr>
          <w:t>https://doi.org/10.1016/j.isci.2025.112385</w:t>
        </w:r>
      </w:hyperlink>
      <w:r w:rsidRPr="005C6002">
        <w:rPr>
          <w:rFonts w:ascii="Times New Roman" w:hAnsi="Times New Roman" w:cs="Times New Roman"/>
          <w:sz w:val="22"/>
          <w:szCs w:val="22"/>
        </w:rPr>
        <w:t xml:space="preserve"> </w:t>
      </w:r>
    </w:p>
    <w:p w14:paraId="7FAE079E" w14:textId="77777777" w:rsidR="00FC1EBC" w:rsidRPr="005C6002"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2"/>
          <w:szCs w:val="22"/>
        </w:rPr>
        <w:t>Lee J, Kim YK, Yoon KJ, Park TE, Lim C, Lee G, et al. LSM12-EPAC1 defines a neuroprotective pathway that sustains the nucleocytoplasmic RAN gradient. PLOS Biology. 2020 Dec 23;18(12</w:t>
      </w:r>
      <w:proofErr w:type="gramStart"/>
      <w:r w:rsidRPr="005C6002">
        <w:rPr>
          <w:rFonts w:ascii="Times New Roman" w:hAnsi="Times New Roman" w:cs="Times New Roman"/>
          <w:sz w:val="22"/>
          <w:szCs w:val="22"/>
        </w:rPr>
        <w:t>):e</w:t>
      </w:r>
      <w:proofErr w:type="gramEnd"/>
      <w:r w:rsidRPr="005C6002">
        <w:rPr>
          <w:rFonts w:ascii="Times New Roman" w:hAnsi="Times New Roman" w:cs="Times New Roman"/>
          <w:sz w:val="22"/>
          <w:szCs w:val="22"/>
        </w:rPr>
        <w:t xml:space="preserve">3001002. </w:t>
      </w:r>
      <w:hyperlink r:id="rId10" w:history="1">
        <w:r w:rsidRPr="005C6002">
          <w:rPr>
            <w:rStyle w:val="Hyperlink"/>
            <w:rFonts w:ascii="Times New Roman" w:hAnsi="Times New Roman" w:cs="Times New Roman"/>
            <w:sz w:val="22"/>
            <w:szCs w:val="22"/>
          </w:rPr>
          <w:t>https://doi.org/10.1371/journal.pbio.3001002</w:t>
        </w:r>
      </w:hyperlink>
      <w:r w:rsidRPr="005C6002">
        <w:rPr>
          <w:rFonts w:ascii="Times New Roman" w:hAnsi="Times New Roman" w:cs="Times New Roman"/>
          <w:sz w:val="22"/>
          <w:szCs w:val="22"/>
        </w:rPr>
        <w:t xml:space="preserve"> </w:t>
      </w:r>
    </w:p>
    <w:p w14:paraId="52673D9F" w14:textId="77777777" w:rsidR="00FC1EBC" w:rsidRDefault="00FC1EBC" w:rsidP="00FC1EBC">
      <w:pPr>
        <w:pStyle w:val="ListParagraph"/>
        <w:numPr>
          <w:ilvl w:val="0"/>
          <w:numId w:val="3"/>
        </w:numPr>
        <w:rPr>
          <w:rFonts w:ascii="Times New Roman" w:hAnsi="Times New Roman" w:cs="Times New Roman"/>
          <w:sz w:val="22"/>
          <w:szCs w:val="22"/>
        </w:rPr>
      </w:pPr>
      <w:r w:rsidRPr="005C6002">
        <w:rPr>
          <w:rFonts w:ascii="Times New Roman" w:hAnsi="Times New Roman" w:cs="Times New Roman"/>
          <w:sz w:val="22"/>
          <w:szCs w:val="22"/>
        </w:rPr>
        <w:t>Bou-</w:t>
      </w:r>
      <w:proofErr w:type="spellStart"/>
      <w:r w:rsidRPr="005C6002">
        <w:rPr>
          <w:rFonts w:ascii="Times New Roman" w:hAnsi="Times New Roman" w:cs="Times New Roman"/>
          <w:sz w:val="22"/>
          <w:szCs w:val="22"/>
        </w:rPr>
        <w:t>Rouphael</w:t>
      </w:r>
      <w:proofErr w:type="spellEnd"/>
      <w:r w:rsidRPr="005C6002">
        <w:rPr>
          <w:rFonts w:ascii="Times New Roman" w:hAnsi="Times New Roman" w:cs="Times New Roman"/>
          <w:sz w:val="22"/>
          <w:szCs w:val="22"/>
        </w:rPr>
        <w:t xml:space="preserve"> J, </w:t>
      </w:r>
      <w:proofErr w:type="spellStart"/>
      <w:r w:rsidRPr="005C6002">
        <w:rPr>
          <w:rFonts w:ascii="Times New Roman" w:hAnsi="Times New Roman" w:cs="Times New Roman"/>
          <w:sz w:val="22"/>
          <w:szCs w:val="22"/>
        </w:rPr>
        <w:t>Cospain</w:t>
      </w:r>
      <w:proofErr w:type="spellEnd"/>
      <w:r w:rsidRPr="005C6002">
        <w:rPr>
          <w:rFonts w:ascii="Times New Roman" w:hAnsi="Times New Roman" w:cs="Times New Roman"/>
          <w:sz w:val="22"/>
          <w:szCs w:val="22"/>
        </w:rPr>
        <w:t xml:space="preserve"> A, Courtin T, Keren B, Marie C, Lesieur-</w:t>
      </w:r>
      <w:proofErr w:type="spellStart"/>
      <w:r w:rsidRPr="005C6002">
        <w:rPr>
          <w:rFonts w:ascii="Times New Roman" w:hAnsi="Times New Roman" w:cs="Times New Roman"/>
          <w:sz w:val="22"/>
          <w:szCs w:val="22"/>
        </w:rPr>
        <w:t>Sebellin</w:t>
      </w:r>
      <w:proofErr w:type="spellEnd"/>
      <w:r w:rsidRPr="005C6002">
        <w:rPr>
          <w:rFonts w:ascii="Times New Roman" w:hAnsi="Times New Roman" w:cs="Times New Roman"/>
          <w:sz w:val="22"/>
          <w:szCs w:val="22"/>
        </w:rPr>
        <w:t xml:space="preserve"> M, et al. Heterozygous pathogenic variants in the splicing factor SF1 lead to a large spectrum of neurodevelopmental disorders. American journal of human genetics. 2025 Nov 1;112(11):2605–24. </w:t>
      </w:r>
      <w:hyperlink r:id="rId11" w:history="1">
        <w:r w:rsidRPr="005C6002">
          <w:rPr>
            <w:rStyle w:val="Hyperlink"/>
            <w:rFonts w:ascii="Times New Roman" w:hAnsi="Times New Roman" w:cs="Times New Roman"/>
            <w:sz w:val="22"/>
            <w:szCs w:val="22"/>
          </w:rPr>
          <w:t>https://doi.org/10.1016/j.ajhg.2025.09.001</w:t>
        </w:r>
      </w:hyperlink>
      <w:r w:rsidRPr="005C6002">
        <w:rPr>
          <w:rFonts w:ascii="Times New Roman" w:hAnsi="Times New Roman" w:cs="Times New Roman"/>
          <w:sz w:val="22"/>
          <w:szCs w:val="22"/>
        </w:rPr>
        <w:t xml:space="preserve"> </w:t>
      </w:r>
    </w:p>
    <w:p w14:paraId="5D5EBE31" w14:textId="77777777" w:rsidR="00FC1EBC" w:rsidRPr="00FC1EBC" w:rsidRDefault="00FC1EBC" w:rsidP="00FC1EBC">
      <w:pPr>
        <w:pStyle w:val="ListParagraph"/>
        <w:numPr>
          <w:ilvl w:val="0"/>
          <w:numId w:val="3"/>
        </w:numPr>
        <w:rPr>
          <w:rFonts w:ascii="Times New Roman" w:hAnsi="Times New Roman" w:cs="Times New Roman"/>
          <w:sz w:val="22"/>
          <w:szCs w:val="22"/>
        </w:rPr>
      </w:pPr>
      <w:r w:rsidRPr="00FC1EBC">
        <w:rPr>
          <w:rFonts w:ascii="Times New Roman" w:hAnsi="Times New Roman" w:cs="Times New Roman"/>
          <w:sz w:val="22"/>
          <w:szCs w:val="22"/>
        </w:rPr>
        <w:t xml:space="preserve">Sugatha J, Jose A, Raj P, Datta S, Swaminathan U, Jaimon E, et al. Insights into cargo sorting by SNX32 and its role in neurite outgrowth. </w:t>
      </w:r>
      <w:proofErr w:type="spellStart"/>
      <w:r w:rsidRPr="00FC1EBC">
        <w:rPr>
          <w:rFonts w:ascii="Times New Roman" w:hAnsi="Times New Roman" w:cs="Times New Roman"/>
          <w:sz w:val="22"/>
          <w:szCs w:val="22"/>
        </w:rPr>
        <w:t>eLife</w:t>
      </w:r>
      <w:proofErr w:type="spellEnd"/>
      <w:r w:rsidRPr="00FC1EBC">
        <w:rPr>
          <w:rFonts w:ascii="Times New Roman" w:hAnsi="Times New Roman" w:cs="Times New Roman"/>
          <w:sz w:val="22"/>
          <w:szCs w:val="22"/>
        </w:rPr>
        <w:t xml:space="preserve">. 2023 May 9;12. </w:t>
      </w:r>
      <w:hyperlink r:id="rId12" w:history="1">
        <w:r w:rsidRPr="00FC1EBC">
          <w:rPr>
            <w:rStyle w:val="Hyperlink"/>
            <w:rFonts w:ascii="Times New Roman" w:hAnsi="Times New Roman" w:cs="Times New Roman"/>
            <w:sz w:val="22"/>
            <w:szCs w:val="22"/>
          </w:rPr>
          <w:t>https://doi.org/10.7554/elife.84396</w:t>
        </w:r>
      </w:hyperlink>
    </w:p>
    <w:p w14:paraId="7769DDB8" w14:textId="77777777" w:rsidR="00FC1EBC" w:rsidRDefault="00FC1EBC" w:rsidP="00FC1EBC">
      <w:pPr>
        <w:rPr>
          <w:rFonts w:ascii="Times New Roman" w:hAnsi="Times New Roman" w:cs="Times New Roman"/>
          <w:sz w:val="22"/>
          <w:szCs w:val="22"/>
        </w:rPr>
      </w:pPr>
    </w:p>
    <w:p w14:paraId="6CC75FFC" w14:textId="77777777" w:rsidR="00436606" w:rsidRPr="00E21075" w:rsidRDefault="00436606" w:rsidP="00436606">
      <w:pPr>
        <w:rPr>
          <w:rFonts w:ascii="Times New Roman" w:hAnsi="Times New Roman" w:cs="Times New Roman"/>
          <w:sz w:val="22"/>
          <w:szCs w:val="22"/>
        </w:rPr>
      </w:pPr>
    </w:p>
    <w:p w14:paraId="43C725A8" w14:textId="77777777" w:rsidR="002039A3" w:rsidRDefault="002039A3" w:rsidP="002039A3">
      <w:pPr>
        <w:rPr>
          <w:rFonts w:ascii="Times New Roman" w:hAnsi="Times New Roman" w:cs="Times New Roman"/>
          <w:sz w:val="22"/>
          <w:szCs w:val="22"/>
        </w:rPr>
      </w:pPr>
      <w:r w:rsidRPr="00E21075">
        <w:rPr>
          <w:rFonts w:ascii="Times New Roman" w:hAnsi="Times New Roman" w:cs="Times New Roman"/>
          <w:noProof/>
          <w:sz w:val="22"/>
          <w:szCs w:val="22"/>
        </w:rPr>
        <w:lastRenderedPageBreak/>
        <w:drawing>
          <wp:inline distT="0" distB="0" distL="0" distR="0" wp14:anchorId="76055261" wp14:editId="4536437B">
            <wp:extent cx="4635500" cy="5518453"/>
            <wp:effectExtent l="0" t="0" r="0" b="6350"/>
            <wp:docPr id="384431688"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31688" name="Picture 2" descr="A screenshot of a grap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2028" cy="5526224"/>
                    </a:xfrm>
                    <a:prstGeom prst="rect">
                      <a:avLst/>
                    </a:prstGeom>
                    <a:noFill/>
                    <a:ln>
                      <a:noFill/>
                    </a:ln>
                  </pic:spPr>
                </pic:pic>
              </a:graphicData>
            </a:graphic>
          </wp:inline>
        </w:drawing>
      </w:r>
    </w:p>
    <w:p w14:paraId="49FC7AF1" w14:textId="77777777" w:rsidR="002039A3" w:rsidRDefault="002039A3" w:rsidP="002039A3">
      <w:pPr>
        <w:spacing w:line="240" w:lineRule="auto"/>
        <w:jc w:val="both"/>
        <w:rPr>
          <w:rFonts w:ascii="Times New Roman" w:hAnsi="Times New Roman" w:cs="Times New Roman"/>
          <w:sz w:val="22"/>
          <w:szCs w:val="22"/>
        </w:rPr>
      </w:pPr>
      <w:r w:rsidRPr="00E21075">
        <w:rPr>
          <w:rFonts w:ascii="Times New Roman" w:hAnsi="Times New Roman" w:cs="Times New Roman"/>
          <w:b/>
          <w:bCs/>
          <w:sz w:val="22"/>
          <w:szCs w:val="22"/>
        </w:rPr>
        <w:t>Supplementary Figure 1: Male Gene Ontology (GO)</w:t>
      </w:r>
      <w:r w:rsidRPr="00E21075">
        <w:rPr>
          <w:rFonts w:ascii="Times New Roman" w:hAnsi="Times New Roman" w:cs="Times New Roman"/>
          <w:sz w:val="22"/>
          <w:szCs w:val="22"/>
        </w:rPr>
        <w:t xml:space="preserve"> Enrichment Analysis for significantly upregulated proteins (p-value &lt;0.05) in male </w:t>
      </w:r>
      <w:r w:rsidRPr="00E21075">
        <w:rPr>
          <w:rFonts w:ascii="Times New Roman" w:hAnsi="Times New Roman" w:cs="Times New Roman"/>
          <w:i/>
          <w:iCs/>
          <w:sz w:val="22"/>
          <w:szCs w:val="22"/>
        </w:rPr>
        <w:t>Negr1</w:t>
      </w:r>
      <w:r w:rsidRPr="00E21075">
        <w:rPr>
          <w:rFonts w:ascii="Times New Roman" w:hAnsi="Times New Roman" w:cs="Times New Roman"/>
          <w:i/>
          <w:iCs/>
          <w:sz w:val="22"/>
          <w:szCs w:val="22"/>
          <w:vertAlign w:val="superscript"/>
        </w:rPr>
        <w:t>-/-</w:t>
      </w:r>
      <w:r w:rsidRPr="00E21075">
        <w:rPr>
          <w:rFonts w:ascii="Times New Roman" w:hAnsi="Times New Roman" w:cs="Times New Roman"/>
          <w:i/>
          <w:iCs/>
          <w:sz w:val="22"/>
          <w:szCs w:val="22"/>
        </w:rPr>
        <w:t xml:space="preserve"> </w:t>
      </w:r>
      <w:r w:rsidRPr="00E21075">
        <w:rPr>
          <w:rFonts w:ascii="Times New Roman" w:hAnsi="Times New Roman" w:cs="Times New Roman"/>
          <w:sz w:val="22"/>
          <w:szCs w:val="22"/>
        </w:rPr>
        <w:t xml:space="preserve">mice using STRING analysis. GO term enrichment for (a) Biological Process, (b) Cellular Component and (c) </w:t>
      </w:r>
      <w:proofErr w:type="spellStart"/>
      <w:r w:rsidRPr="00E21075">
        <w:rPr>
          <w:rFonts w:ascii="Times New Roman" w:hAnsi="Times New Roman" w:cs="Times New Roman"/>
          <w:sz w:val="22"/>
          <w:szCs w:val="22"/>
        </w:rPr>
        <w:t>Reactome</w:t>
      </w:r>
      <w:proofErr w:type="spellEnd"/>
      <w:r w:rsidRPr="00E21075">
        <w:rPr>
          <w:rFonts w:ascii="Times New Roman" w:hAnsi="Times New Roman" w:cs="Times New Roman"/>
          <w:sz w:val="22"/>
          <w:szCs w:val="22"/>
        </w:rPr>
        <w:t xml:space="preserve"> Pathway. Bar plots show the top enriched GO terms, with the x-axis representing enrichment strength, and bar color indicates the FDR (false discovery rate). (d) displays a network plot of the top 25 GO enrichment terms. Nodes represent GO terms, and edges represent shared genes between terms. Node size corresponds to gene count, edge thickness indicates the number of shared genes, and node color indicates the FDR.</w:t>
      </w:r>
    </w:p>
    <w:p w14:paraId="7DD2691C" w14:textId="77777777" w:rsidR="00436606" w:rsidRDefault="00436606"/>
    <w:sectPr w:rsidR="00436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56BCC"/>
    <w:multiLevelType w:val="hybridMultilevel"/>
    <w:tmpl w:val="69902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128C9"/>
    <w:multiLevelType w:val="multilevel"/>
    <w:tmpl w:val="C752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4D4036"/>
    <w:multiLevelType w:val="multilevel"/>
    <w:tmpl w:val="446A0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639831">
    <w:abstractNumId w:val="2"/>
  </w:num>
  <w:num w:numId="2" w16cid:durableId="375937679">
    <w:abstractNumId w:val="1"/>
  </w:num>
  <w:num w:numId="3" w16cid:durableId="209743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06"/>
    <w:rsid w:val="002039A3"/>
    <w:rsid w:val="0041786E"/>
    <w:rsid w:val="00436606"/>
    <w:rsid w:val="00612FFE"/>
    <w:rsid w:val="00651D39"/>
    <w:rsid w:val="007D2BF3"/>
    <w:rsid w:val="0097366C"/>
    <w:rsid w:val="00AF5AD0"/>
    <w:rsid w:val="00FC1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D6C2C"/>
  <w15:chartTrackingRefBased/>
  <w15:docId w15:val="{9F0AC41A-6FE1-4ED5-AAD4-67D0834F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606"/>
  </w:style>
  <w:style w:type="paragraph" w:styleId="Heading1">
    <w:name w:val="heading 1"/>
    <w:basedOn w:val="Normal"/>
    <w:next w:val="Normal"/>
    <w:link w:val="Heading1Char"/>
    <w:uiPriority w:val="9"/>
    <w:qFormat/>
    <w:rsid w:val="00436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606"/>
    <w:rPr>
      <w:rFonts w:eastAsiaTheme="majorEastAsia" w:cstheme="majorBidi"/>
      <w:color w:val="272727" w:themeColor="text1" w:themeTint="D8"/>
    </w:rPr>
  </w:style>
  <w:style w:type="paragraph" w:styleId="Title">
    <w:name w:val="Title"/>
    <w:basedOn w:val="Normal"/>
    <w:next w:val="Normal"/>
    <w:link w:val="TitleChar"/>
    <w:uiPriority w:val="10"/>
    <w:qFormat/>
    <w:rsid w:val="00436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606"/>
    <w:pPr>
      <w:spacing w:before="160"/>
      <w:jc w:val="center"/>
    </w:pPr>
    <w:rPr>
      <w:i/>
      <w:iCs/>
      <w:color w:val="404040" w:themeColor="text1" w:themeTint="BF"/>
    </w:rPr>
  </w:style>
  <w:style w:type="character" w:customStyle="1" w:styleId="QuoteChar">
    <w:name w:val="Quote Char"/>
    <w:basedOn w:val="DefaultParagraphFont"/>
    <w:link w:val="Quote"/>
    <w:uiPriority w:val="29"/>
    <w:rsid w:val="00436606"/>
    <w:rPr>
      <w:i/>
      <w:iCs/>
      <w:color w:val="404040" w:themeColor="text1" w:themeTint="BF"/>
    </w:rPr>
  </w:style>
  <w:style w:type="paragraph" w:styleId="ListParagraph">
    <w:name w:val="List Paragraph"/>
    <w:basedOn w:val="Normal"/>
    <w:uiPriority w:val="34"/>
    <w:qFormat/>
    <w:rsid w:val="00436606"/>
    <w:pPr>
      <w:ind w:left="720"/>
      <w:contextualSpacing/>
    </w:pPr>
  </w:style>
  <w:style w:type="character" w:styleId="IntenseEmphasis">
    <w:name w:val="Intense Emphasis"/>
    <w:basedOn w:val="DefaultParagraphFont"/>
    <w:uiPriority w:val="21"/>
    <w:qFormat/>
    <w:rsid w:val="00436606"/>
    <w:rPr>
      <w:i/>
      <w:iCs/>
      <w:color w:val="0F4761" w:themeColor="accent1" w:themeShade="BF"/>
    </w:rPr>
  </w:style>
  <w:style w:type="paragraph" w:styleId="IntenseQuote">
    <w:name w:val="Intense Quote"/>
    <w:basedOn w:val="Normal"/>
    <w:next w:val="Normal"/>
    <w:link w:val="IntenseQuoteChar"/>
    <w:uiPriority w:val="30"/>
    <w:qFormat/>
    <w:rsid w:val="00436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606"/>
    <w:rPr>
      <w:i/>
      <w:iCs/>
      <w:color w:val="0F4761" w:themeColor="accent1" w:themeShade="BF"/>
    </w:rPr>
  </w:style>
  <w:style w:type="character" w:styleId="IntenseReference">
    <w:name w:val="Intense Reference"/>
    <w:basedOn w:val="DefaultParagraphFont"/>
    <w:uiPriority w:val="32"/>
    <w:qFormat/>
    <w:rsid w:val="00436606"/>
    <w:rPr>
      <w:b/>
      <w:bCs/>
      <w:smallCaps/>
      <w:color w:val="0F4761" w:themeColor="accent1" w:themeShade="BF"/>
      <w:spacing w:val="5"/>
    </w:rPr>
  </w:style>
  <w:style w:type="character" w:styleId="Hyperlink">
    <w:name w:val="Hyperlink"/>
    <w:basedOn w:val="DefaultParagraphFont"/>
    <w:uiPriority w:val="99"/>
    <w:unhideWhenUsed/>
    <w:rsid w:val="00436606"/>
    <w:rPr>
      <w:color w:val="467886" w:themeColor="hyperlink"/>
      <w:u w:val="single"/>
    </w:rPr>
  </w:style>
  <w:style w:type="character" w:styleId="CommentReference">
    <w:name w:val="annotation reference"/>
    <w:basedOn w:val="DefaultParagraphFont"/>
    <w:uiPriority w:val="99"/>
    <w:semiHidden/>
    <w:unhideWhenUsed/>
    <w:rsid w:val="0043660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biomac.2025.142959"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oi.org/10.1523/jneurosci.4317-05.2006" TargetMode="External"/><Relationship Id="rId12" Type="http://schemas.openxmlformats.org/officeDocument/2006/relationships/hyperlink" Target="https://doi.org/10.7554/elife.843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7/01.jnen.0000225905.52002.3e" TargetMode="External"/><Relationship Id="rId11" Type="http://schemas.openxmlformats.org/officeDocument/2006/relationships/hyperlink" Target="https://doi.org/10.1016/j.ajhg.2025.09.001" TargetMode="External"/><Relationship Id="rId5" Type="http://schemas.openxmlformats.org/officeDocument/2006/relationships/hyperlink" Target="https://doi.org/10.1038/s12276-024-01263-6" TargetMode="External"/><Relationship Id="rId15" Type="http://schemas.openxmlformats.org/officeDocument/2006/relationships/theme" Target="theme/theme1.xml"/><Relationship Id="rId10" Type="http://schemas.openxmlformats.org/officeDocument/2006/relationships/hyperlink" Target="https://doi.org/10.1371/journal.pbio.3001002" TargetMode="External"/><Relationship Id="rId4" Type="http://schemas.openxmlformats.org/officeDocument/2006/relationships/webSettings" Target="webSettings.xml"/><Relationship Id="rId9" Type="http://schemas.openxmlformats.org/officeDocument/2006/relationships/hyperlink" Target="https://doi.org/10.1016/j.isci.2025.11238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8355</Characters>
  <Application>Microsoft Office Word</Application>
  <DocSecurity>0</DocSecurity>
  <Lines>491</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katyayani singh</dc:creator>
  <cp:keywords/>
  <dc:description/>
  <cp:lastModifiedBy>katyayani singh</cp:lastModifiedBy>
  <cp:revision>2</cp:revision>
  <dcterms:created xsi:type="dcterms:W3CDTF">2025-11-23T13:23:00Z</dcterms:created>
  <dcterms:modified xsi:type="dcterms:W3CDTF">2025-11-23T13:23:00Z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fea86776-64aa-43f6-b9d6-c91f98c080bf</vt:lpwstr>
  </property>
</Properties>
</file>