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8B891" w14:textId="53B79E61" w:rsidR="00F03A79" w:rsidRDefault="00F03A79" w:rsidP="00F03A79">
      <w:pPr>
        <w:rPr>
          <w:rFonts w:cstheme="minorHAnsi"/>
          <w:b/>
          <w:bCs/>
          <w:szCs w:val="22"/>
        </w:rPr>
      </w:pPr>
      <w:r w:rsidRPr="00F03A79">
        <w:rPr>
          <w:rFonts w:cstheme="minorHAnsi"/>
          <w:b/>
          <w:bCs/>
          <w:szCs w:val="22"/>
        </w:rPr>
        <w:t>Operationalization of risk factors</w:t>
      </w:r>
    </w:p>
    <w:p w14:paraId="39E2FAAD" w14:textId="77777777" w:rsidR="00F03A79" w:rsidRPr="00F03A79" w:rsidRDefault="00F03A79" w:rsidP="00F03A79">
      <w:pPr>
        <w:rPr>
          <w:rFonts w:cstheme="minorHAnsi"/>
          <w:b/>
          <w:bCs/>
          <w:szCs w:val="22"/>
        </w:rPr>
      </w:pPr>
    </w:p>
    <w:p w14:paraId="4ABD59DB" w14:textId="77777777" w:rsidR="00F03A79" w:rsidRPr="00F03A79" w:rsidRDefault="00F03A79" w:rsidP="00F03A79">
      <w:pPr>
        <w:rPr>
          <w:rFonts w:cstheme="minorHAnsi"/>
          <w:szCs w:val="22"/>
        </w:rPr>
      </w:pPr>
      <w:r w:rsidRPr="00F03A79">
        <w:rPr>
          <w:rFonts w:cstheme="minorHAnsi"/>
          <w:szCs w:val="22"/>
        </w:rPr>
        <w:t>For all risk factors, participants who responded “do not know” or refused to answer were excluded from the analyses.</w:t>
      </w:r>
    </w:p>
    <w:p w14:paraId="200A1A5E" w14:textId="77777777" w:rsidR="00F03A79" w:rsidRPr="00F03A79" w:rsidRDefault="00F03A79" w:rsidP="00F03A79">
      <w:pPr>
        <w:rPr>
          <w:rFonts w:cstheme="minorHAnsi"/>
          <w:szCs w:val="22"/>
        </w:rPr>
      </w:pPr>
    </w:p>
    <w:p w14:paraId="462E705E" w14:textId="617D9696" w:rsidR="00F03A79" w:rsidRPr="00F03A79" w:rsidRDefault="00F03A79" w:rsidP="00F03A79">
      <w:pPr>
        <w:rPr>
          <w:rFonts w:cstheme="minorHAnsi"/>
          <w:szCs w:val="22"/>
        </w:rPr>
      </w:pPr>
      <w:r w:rsidRPr="00F03A79">
        <w:rPr>
          <w:rFonts w:cstheme="minorHAnsi"/>
          <w:szCs w:val="22"/>
        </w:rPr>
        <w:t>Education was obtained from a question on the highest grade of school or year of college completed and was a continuous variable. A score of zero was assigned for no formal education. Scores 1 through 11 were assigned for completing grades 1 through 11. A score of 12 was assigned for obtaining a high school diploma. A score of 13-15 was assigned for completing some college. A score of 16 was assigned for obtaining a college degree. Lastly, a score of 17 was assigned for completing any amount of formal education beyond obtaining a college degree.</w:t>
      </w:r>
    </w:p>
    <w:p w14:paraId="7E99A2D5" w14:textId="77777777" w:rsidR="00F03A79" w:rsidRPr="00F03A79" w:rsidRDefault="00F03A79" w:rsidP="00F03A79">
      <w:pPr>
        <w:tabs>
          <w:tab w:val="left" w:pos="1529"/>
        </w:tabs>
        <w:rPr>
          <w:rFonts w:cstheme="minorHAnsi"/>
          <w:szCs w:val="22"/>
        </w:rPr>
      </w:pPr>
      <w:r w:rsidRPr="00F03A79">
        <w:rPr>
          <w:rFonts w:cstheme="minorHAnsi"/>
          <w:szCs w:val="22"/>
        </w:rPr>
        <w:tab/>
      </w:r>
    </w:p>
    <w:p w14:paraId="6708B9AA" w14:textId="0D535787" w:rsidR="00F03A79" w:rsidRPr="00F03A79" w:rsidRDefault="00F03A79" w:rsidP="00F03A79">
      <w:pPr>
        <w:rPr>
          <w:rFonts w:cstheme="minorHAnsi"/>
          <w:szCs w:val="22"/>
        </w:rPr>
      </w:pPr>
      <w:r w:rsidRPr="00F03A79">
        <w:rPr>
          <w:rFonts w:cstheme="minorHAnsi"/>
          <w:szCs w:val="22"/>
        </w:rPr>
        <w:t xml:space="preserve">Hearing status was obtained from a question asking the participant to rate their perceived hearing. The response options included, “excellent,” “very good,” “good,” “fair,” and “poor.” Mirroring similar questionnaires on self-rated hearing ability, responses of “excellent” and “very good” were coded as good hearing, while responses of “good,” “fair,” and “poor” were coded as hearing loss </w:t>
      </w:r>
      <w:r w:rsidRPr="00F03A79">
        <w:rPr>
          <w:rFonts w:cstheme="minorHAnsi"/>
          <w:szCs w:val="22"/>
        </w:rPr>
        <w:fldChar w:fldCharType="begin"/>
      </w:r>
      <w:r>
        <w:rPr>
          <w:rFonts w:cstheme="minorHAnsi"/>
          <w:szCs w:val="22"/>
        </w:rPr>
        <w:instrText xml:space="preserve"> ADDIN ZOTERO_ITEM CSL_CITATION {"citationID":"gq7M3tp8","properties":{"formattedCitation":"[1,2]","plainCitation":"[1,2]","noteIndex":0},"citationItems":[{"id":4783,"uris":["http://zotero.org/users/2543385/items/IKZQK7NW"],"itemData":{"id":4783,"type":"article-journal","abstract":"Objectives: \n          Self-reported hearing impairment is often used to gauge objective hearing loss in both clinical settings and research studies. The aim of this study was to examine whether demographic factors affect the accuracy of subjective, self-reported hearing in older adults.\n          Design: \n          We examined 3557 participants aged 50 and older in the National Health and Nutrition Examination Survey cycles 1999–2006 and 2009–2010. We examined the relationship between objective and subjective hearing impairment using percent correct classification and misclassification bias in analyses stratified by gender, age group, race/ethnicity, and education.\n          Results: \n          We found that younger participants tended to overestimate and older participants underestimate their hearing impairment. Older women, blacks, and Hispanics were less accurate in self-reporting than their respective younger age groups.\n          Conclusions: \n          The association between subjective and objective hearing differs across gender, age, race/ethnicity, and education, and this observation should be considered by clinicians and researchers employing self-reported hearing.","container-title":"Ear and Hearing","DOI":"10.1097/AUD.0000000000000075","ISSN":"1538-4667","issue":"1","language":"en-US","page":"164","source":"journals.lww.com","title":"Factors Associated With the Accuracy of Subjective Assessments of Hearing Impairment","volume":"36","author":[{"family":"Kamil","given":"Rebecca J."},{"family":"Genther","given":"Dane J."},{"family":"Lin","given":"Frank R."}],"issued":{"date-parts":[["2015",1]]}}},{"id":4809,"uris":["http://zotero.org/users/2543385/items/UQHRXZSH"],"itemData":{"id":4809,"type":"article-journal","abstract":"IMPORTANCE An effective and sustainable hearing loss (HL) screening strategy for the early detection of and intervention for HL in older adults is needed.","container-title":"JAMA Network Open","DOI":"10.1001/jamanetworkopen.2020.15009","ISSN":"2574-3805","issue":"8","journalAbbreviation":"JAMA Netw Open","language":"en","page":"e2015009","source":"DOI.org (Crossref)","title":"Comparison of Self-reported Measures of Hearing With an Objective Audiometric Measure in Adults in the English Longitudinal Study of Ageing","volume":"3","author":[{"family":"Tsimpida","given":"Dialechti"},{"family":"Kontopantelis","given":"Evangelos"},{"family":"Ashcroft","given":"Darren"},{"family":"Panagioti","given":"Maria"}],"issued":{"date-parts":[["2020",8,27]]}}}],"schema":"https://github.com/citation-style-language/schema/raw/master/csl-citation.json"} </w:instrText>
      </w:r>
      <w:r w:rsidRPr="00F03A79">
        <w:rPr>
          <w:rFonts w:cstheme="minorHAnsi"/>
          <w:szCs w:val="22"/>
        </w:rPr>
        <w:fldChar w:fldCharType="separate"/>
      </w:r>
      <w:r>
        <w:rPr>
          <w:rFonts w:cstheme="minorHAnsi"/>
          <w:szCs w:val="22"/>
        </w:rPr>
        <w:t>[1,2]</w:t>
      </w:r>
      <w:r w:rsidRPr="00F03A79">
        <w:rPr>
          <w:rFonts w:cstheme="minorHAnsi"/>
          <w:szCs w:val="22"/>
        </w:rPr>
        <w:fldChar w:fldCharType="end"/>
      </w:r>
      <w:r w:rsidRPr="00F03A79">
        <w:rPr>
          <w:rFonts w:cstheme="minorHAnsi"/>
          <w:szCs w:val="22"/>
        </w:rPr>
        <w:t xml:space="preserve">. Other work has shown that self-reported hearing ability has approximately 70% sensitivity compared to objective hearing tests </w:t>
      </w:r>
      <w:r w:rsidRPr="00F03A79">
        <w:rPr>
          <w:rFonts w:cstheme="minorHAnsi"/>
          <w:szCs w:val="22"/>
        </w:rPr>
        <w:fldChar w:fldCharType="begin"/>
      </w:r>
      <w:r>
        <w:rPr>
          <w:rFonts w:cstheme="minorHAnsi"/>
          <w:szCs w:val="22"/>
        </w:rPr>
        <w:instrText xml:space="preserve"> ADDIN ZOTERO_ITEM CSL_CITATION {"citationID":"u5Ygegf1","properties":{"formattedCitation":"[3]","plainCitation":"[3]","noteIndex":0},"citationItems":[{"id":4779,"uris":["http://zotero.org/users/2543385/items/GX9MWPA9"],"itemData":{"id":4779,"type":"article-journal","abstract":"Background Hearing loss is highly prevalent among older adults with cognitive impairment and may exacerbate neuropsychiatric symptoms and affect interactions with others. Although audiometry is the gold standard for measuring hearing, it is not always used in research or clinical settings focused on the care of individuals with cognitive impairment. Subjective assessments of hearing, both self- and proxy-rated, are widespread but may not adequately capture the presence of hearing loss as compared to audiometry. This study investigates the concordance between subjective and objective hearing assessments among older adults with and without cognitive impairment and evaluates factors associated with concordance. Methods Participants were a subset of the Atherosclerosis Risk in Communities Neurocognitive Study (ARIC-NCS), a prospective cohort study representing four US communities with adjudicated cognitive diagnoses and audiometric data, totaling 3326 self-rated and 520 proxy-rated hearing assessments. Sensitivity and specificity were calculated, and multivariable logistic regression estimated the magnitude of the association between the concordance of hearing assessments and variables of interest. Results Sensitivity and specificity for self-rated hearing status were 71.2% and 85.9% among cognitively normal older adults, 61.1% and 84.9% among persons with MCI, and 52.6% and 81.2% among persons with dementia, respectively. For proxy-rated hearing, sensitivity and specificity were 65.7% and 83.3% for persons with MCI and 73.3% and 60.3% for persons with dementia, respectively. Female sex was positively associated with concordance for self-rated hearing assessments. Conclusions The low sensitivity of self- and proxy-rated hearing assessments compared to audiometry suggests that hearing loss among older adults with cognitive impairment may go underreported and unaddressed in subjective assessments. Clinicians and researchers should recognize the limitations of using self- and proxy-rated hearing assessments as measures of hearing status and incorporate objective audiometric evaluation whenever possible.","container-title":"Journal of the American Geriatrics Society","DOI":"10.1111/jgs.17558","ISSN":"1532-5415","issue":"2","language":"en","note":"_eprint: https://onlinelibrary.wiley.com/doi/pdf/10.1111/jgs.17558","page":"490-500","source":"Wiley Online Library","title":"Accuracy of self- and proxy-rated hearing among older adults with and without cognitive impairment","volume":"70","author":[{"family":"Kim","given":"Alexander S."},{"family":"Betz","given":"Joshua F."},{"family":"Albert","given":"Marilyn"},{"family":"Deal","given":"Jennifer A."},{"family":"Faucette","given":"Sarah P."},{"family":"Oh","given":"Esther S."},{"family":"Reed","given":"Nicholas S."},{"family":"Lin","given":"Frank R."},{"family":"Nieman","given":"Carrie L."}],"issued":{"date-parts":[["2022"]]}}}],"schema":"https://github.com/citation-style-language/schema/raw/master/csl-citation.json"} </w:instrText>
      </w:r>
      <w:r w:rsidRPr="00F03A79">
        <w:rPr>
          <w:rFonts w:cstheme="minorHAnsi"/>
          <w:szCs w:val="22"/>
        </w:rPr>
        <w:fldChar w:fldCharType="separate"/>
      </w:r>
      <w:r>
        <w:rPr>
          <w:rFonts w:cstheme="minorHAnsi"/>
          <w:szCs w:val="22"/>
        </w:rPr>
        <w:t>[3]</w:t>
      </w:r>
      <w:r w:rsidRPr="00F03A79">
        <w:rPr>
          <w:rFonts w:cstheme="minorHAnsi"/>
          <w:szCs w:val="22"/>
        </w:rPr>
        <w:fldChar w:fldCharType="end"/>
      </w:r>
      <w:r w:rsidRPr="00F03A79">
        <w:rPr>
          <w:rFonts w:cstheme="minorHAnsi"/>
          <w:szCs w:val="22"/>
        </w:rPr>
        <w:t>.</w:t>
      </w:r>
    </w:p>
    <w:p w14:paraId="54C7AB5D" w14:textId="77777777" w:rsidR="00F03A79" w:rsidRPr="00F03A79" w:rsidRDefault="00F03A79" w:rsidP="00F03A79">
      <w:pPr>
        <w:rPr>
          <w:rFonts w:cstheme="minorHAnsi"/>
          <w:szCs w:val="22"/>
        </w:rPr>
      </w:pPr>
    </w:p>
    <w:p w14:paraId="4DA5175B" w14:textId="424D7B5B" w:rsidR="00E52528" w:rsidRDefault="00E52528" w:rsidP="00E52528">
      <w:pPr>
        <w:rPr>
          <w:rFonts w:cstheme="minorHAnsi"/>
          <w:szCs w:val="22"/>
        </w:rPr>
      </w:pPr>
      <w:r>
        <w:rPr>
          <w:rFonts w:cstheme="minorHAnsi"/>
          <w:szCs w:val="22"/>
        </w:rPr>
        <w:t xml:space="preserve">Cholesterol levels were obtained from an analysis of dried blood spots, which were collected in the 2006-2016 study waves. Given the shift in the field away from dried blood spots to venous blood collection, and the difference in values between these methods, the Health and Retirement Study team previously transformed the dried blood spot values to be equivalent to venous blood values (further details regarding the rationale and methods can be reviewed here </w:t>
      </w:r>
      <w:r>
        <w:rPr>
          <w:rFonts w:cstheme="minorHAnsi"/>
          <w:szCs w:val="22"/>
        </w:rPr>
        <w:fldChar w:fldCharType="begin"/>
      </w:r>
      <w:r w:rsidR="00CF3527">
        <w:rPr>
          <w:rFonts w:cstheme="minorHAnsi"/>
          <w:szCs w:val="22"/>
        </w:rPr>
        <w:instrText xml:space="preserve"> ADDIN ZOTERO_ITEM CSL_CITATION {"citationID":"gxuTxUlp","properties":{"formattedCitation":"[4]","plainCitation":"[4]","noteIndex":0},"citationItems":[{"id":5380,"uris":["http://zotero.org/users/2543385/items/AM448ITD"],"itemData":{"id":5380,"type":"webpage","note":"publisher-place: Ann Arbor, Michigan","publisher":"Institute for Social Research, University of Michigan","title":"Documentation of Biomarkers in the 2006 and 2008 Health and Retirement Study","author":[{"family":"Crimmins","given":"Eileen"},{"family":"Faul","given":"Jessica"},{"family":"Kim","given":"Jung"},{"family":"Guyer","given":"Heidi"},{"family":"Langa","given":"Kenneth"},{"family":"Ofstedal","given":"Mary"},{"family":"Sonnega","given":"Amanda"},{"family":"Wallace","given":"Robert"},{"family":"Weir","given":"David"}],"issued":{"date-parts":[["2013"]]}}}],"schema":"https://github.com/citation-style-language/schema/raw/master/csl-citation.json"} </w:instrText>
      </w:r>
      <w:r>
        <w:rPr>
          <w:rFonts w:cstheme="minorHAnsi"/>
          <w:szCs w:val="22"/>
        </w:rPr>
        <w:fldChar w:fldCharType="separate"/>
      </w:r>
      <w:r>
        <w:rPr>
          <w:rFonts w:cstheme="minorHAnsi"/>
          <w:noProof/>
          <w:szCs w:val="22"/>
        </w:rPr>
        <w:t>[4]</w:t>
      </w:r>
      <w:r>
        <w:rPr>
          <w:rFonts w:cstheme="minorHAnsi"/>
          <w:szCs w:val="22"/>
        </w:rPr>
        <w:fldChar w:fldCharType="end"/>
      </w:r>
      <w:r>
        <w:rPr>
          <w:rFonts w:cstheme="minorHAnsi"/>
          <w:szCs w:val="22"/>
        </w:rPr>
        <w:t xml:space="preserve">). These values were made available to other users of the Health and Retirement Study data. Assays for total cholesterol and high-density lipoprotein cholesterol, but not low-density lipoprotein cholesterol were obtained. Our study uses the transformed total cholesterol values in </w:t>
      </w:r>
      <w:r>
        <w:t>mg/dL</w:t>
      </w:r>
      <w:r>
        <w:rPr>
          <w:rFonts w:cstheme="minorHAnsi"/>
          <w:szCs w:val="22"/>
        </w:rPr>
        <w:t xml:space="preserve">, as recommended by the Health and Retirement Study team </w:t>
      </w:r>
      <w:r>
        <w:rPr>
          <w:rFonts w:cstheme="minorHAnsi"/>
          <w:szCs w:val="22"/>
        </w:rPr>
        <w:fldChar w:fldCharType="begin"/>
      </w:r>
      <w:r w:rsidR="00CF3527">
        <w:rPr>
          <w:rFonts w:cstheme="minorHAnsi"/>
          <w:szCs w:val="22"/>
        </w:rPr>
        <w:instrText xml:space="preserve"> ADDIN ZOTERO_ITEM CSL_CITATION {"citationID":"P7y6ngEM","properties":{"formattedCitation":"[4]","plainCitation":"[4]","noteIndex":0},"citationItems":[{"id":5380,"uris":["http://zotero.org/users/2543385/items/AM448ITD"],"itemData":{"id":5380,"type":"webpage","note":"publisher-place: Ann Arbor, Michigan","publisher":"Institute for Social Research, University of Michigan","title":"Documentation of Biomarkers in the 2006 and 2008 Health and Retirement Study","author":[{"family":"Crimmins","given":"Eileen"},{"family":"Faul","given":"Jessica"},{"family":"Kim","given":"Jung"},{"family":"Guyer","given":"Heidi"},{"family":"Langa","given":"Kenneth"},{"family":"Ofstedal","given":"Mary"},{"family":"Sonnega","given":"Amanda"},{"family":"Wallace","given":"Robert"},{"family":"Weir","given":"David"}],"issued":{"date-parts":[["2013"]]}}}],"schema":"https://github.com/citation-style-language/schema/raw/master/csl-citation.json"} </w:instrText>
      </w:r>
      <w:r>
        <w:rPr>
          <w:rFonts w:cstheme="minorHAnsi"/>
          <w:szCs w:val="22"/>
        </w:rPr>
        <w:fldChar w:fldCharType="separate"/>
      </w:r>
      <w:r>
        <w:rPr>
          <w:rFonts w:cstheme="minorHAnsi"/>
          <w:noProof/>
          <w:szCs w:val="22"/>
        </w:rPr>
        <w:t>[4]</w:t>
      </w:r>
      <w:r>
        <w:rPr>
          <w:rFonts w:cstheme="minorHAnsi"/>
          <w:szCs w:val="22"/>
        </w:rPr>
        <w:fldChar w:fldCharType="end"/>
      </w:r>
      <w:r>
        <w:rPr>
          <w:rFonts w:cstheme="minorHAnsi"/>
          <w:szCs w:val="22"/>
        </w:rPr>
        <w:t>.</w:t>
      </w:r>
    </w:p>
    <w:p w14:paraId="27B7B4F0" w14:textId="77777777" w:rsidR="00E52528" w:rsidRDefault="00E52528" w:rsidP="00F03A79">
      <w:pPr>
        <w:rPr>
          <w:rFonts w:cstheme="minorHAnsi"/>
          <w:szCs w:val="22"/>
        </w:rPr>
      </w:pPr>
    </w:p>
    <w:p w14:paraId="0B05EB40" w14:textId="5E9C2802" w:rsidR="00F03A79" w:rsidRPr="00F03A79" w:rsidRDefault="00F03A79" w:rsidP="00F03A79">
      <w:pPr>
        <w:rPr>
          <w:rFonts w:cstheme="minorHAnsi"/>
          <w:szCs w:val="22"/>
        </w:rPr>
      </w:pPr>
      <w:r w:rsidRPr="00F03A79">
        <w:rPr>
          <w:rFonts w:cstheme="minorHAnsi"/>
          <w:szCs w:val="22"/>
        </w:rPr>
        <w:t>Depression status was obtained from a question asking if the participant “felt sad, blue, or depressed” for two or more consecutive weeks in the prior 12 months. The response options included, “yes,” “no,” or “did not feel depressed because on anti-depressant medication.” Participants who responded that they did not experience depression due to taking medication were excluded from the analyses.</w:t>
      </w:r>
    </w:p>
    <w:p w14:paraId="7D1EAF44" w14:textId="77777777" w:rsidR="00F03A79" w:rsidRPr="00F03A79" w:rsidRDefault="00F03A79" w:rsidP="00F03A79">
      <w:pPr>
        <w:rPr>
          <w:rFonts w:cstheme="minorHAnsi"/>
          <w:szCs w:val="22"/>
        </w:rPr>
      </w:pPr>
    </w:p>
    <w:p w14:paraId="1D36CCAD" w14:textId="77777777" w:rsidR="00F03A79" w:rsidRPr="00F03A79" w:rsidRDefault="00F03A79" w:rsidP="00F03A79">
      <w:pPr>
        <w:rPr>
          <w:rFonts w:cstheme="minorHAnsi"/>
          <w:szCs w:val="22"/>
        </w:rPr>
      </w:pPr>
      <w:r w:rsidRPr="00F03A79">
        <w:rPr>
          <w:rFonts w:cstheme="minorHAnsi"/>
          <w:szCs w:val="22"/>
        </w:rPr>
        <w:t>Physical inactivity was obtained from two questions on frequency of either moderate or vigorous activity. Moderate physical activity was described in the questionnaire as activities like “light gardening, cleaning the car, walking at a moderate pace, dancing, and floor or stretching exercises.” Vigorous physical activity was described as activities like “running or jogging, swimming, cycling, aerobics or gym workout, tennis, or digging with a spade or shovel.” For both moderate and vigorous physical activity, the responses for activity frequency included, “every day,” “more than once a week,” “once a week,” “one to three times a month,” and “hardly ever or never.” Physical inactivity was coded as responding to both vigorous and moderate physical activity with once a week or less frequency.</w:t>
      </w:r>
    </w:p>
    <w:p w14:paraId="5A56BDD2" w14:textId="77777777" w:rsidR="00F03A79" w:rsidRPr="00F03A79" w:rsidRDefault="00F03A79" w:rsidP="00F03A79">
      <w:pPr>
        <w:rPr>
          <w:rFonts w:cstheme="minorHAnsi"/>
          <w:szCs w:val="22"/>
        </w:rPr>
      </w:pPr>
    </w:p>
    <w:p w14:paraId="4CBD0B3D" w14:textId="77777777" w:rsidR="00F03A79" w:rsidRPr="00F03A79" w:rsidRDefault="00F03A79" w:rsidP="00F03A79">
      <w:pPr>
        <w:rPr>
          <w:rFonts w:cstheme="minorHAnsi"/>
          <w:szCs w:val="22"/>
        </w:rPr>
      </w:pPr>
      <w:r w:rsidRPr="00F03A79">
        <w:rPr>
          <w:rFonts w:cstheme="minorHAnsi"/>
          <w:szCs w:val="22"/>
        </w:rPr>
        <w:t xml:space="preserve">Diabetes status was obtained from a question asking the participant if a doctor previously diagnosed them with diabetes or high blood sugar. If the participant was newly enrolled in this wave, the response options were, “yes” or “no.” If the participant had completed previous waves, they were asked to confirm their previous endorsement of their diabetes status. The response options for these participants included, “yes,” “no,” “disputes previous wave record, </w:t>
      </w:r>
      <w:r w:rsidRPr="00F03A79">
        <w:rPr>
          <w:rFonts w:cstheme="minorHAnsi"/>
          <w:szCs w:val="22"/>
        </w:rPr>
        <w:lastRenderedPageBreak/>
        <w:t>but now has condition,” and “disputes previous wave record, does not have condition.” Those who disputed their previous response were excluded from the analyses.</w:t>
      </w:r>
    </w:p>
    <w:p w14:paraId="0B64F6DC" w14:textId="77777777" w:rsidR="00F03A79" w:rsidRPr="00F03A79" w:rsidRDefault="00F03A79" w:rsidP="00F03A79">
      <w:pPr>
        <w:rPr>
          <w:rFonts w:cstheme="minorHAnsi"/>
          <w:szCs w:val="22"/>
        </w:rPr>
      </w:pPr>
    </w:p>
    <w:p w14:paraId="3B5F0547" w14:textId="77777777" w:rsidR="00F03A79" w:rsidRPr="00F03A79" w:rsidRDefault="00F03A79" w:rsidP="00F03A79">
      <w:pPr>
        <w:rPr>
          <w:rFonts w:cstheme="minorHAnsi"/>
          <w:szCs w:val="22"/>
        </w:rPr>
      </w:pPr>
      <w:r w:rsidRPr="00F03A79">
        <w:rPr>
          <w:rFonts w:cstheme="minorHAnsi"/>
          <w:szCs w:val="22"/>
        </w:rPr>
        <w:t>Smoking status was obtained from a question asking the participant if they smoke cigarettes currently. The response options included, “yes” or “no.”</w:t>
      </w:r>
    </w:p>
    <w:p w14:paraId="475A46D7" w14:textId="77777777" w:rsidR="00F03A79" w:rsidRPr="00F03A79" w:rsidRDefault="00F03A79" w:rsidP="00F03A79">
      <w:pPr>
        <w:rPr>
          <w:rFonts w:cstheme="minorHAnsi"/>
          <w:szCs w:val="22"/>
        </w:rPr>
      </w:pPr>
    </w:p>
    <w:p w14:paraId="6D5C7BF9" w14:textId="77777777" w:rsidR="00F03A79" w:rsidRPr="00F03A79" w:rsidRDefault="00F03A79" w:rsidP="00F03A79">
      <w:pPr>
        <w:rPr>
          <w:rFonts w:cstheme="minorHAnsi"/>
          <w:szCs w:val="22"/>
        </w:rPr>
      </w:pPr>
      <w:r w:rsidRPr="00F03A79">
        <w:rPr>
          <w:rFonts w:cstheme="minorHAnsi"/>
          <w:szCs w:val="22"/>
        </w:rPr>
        <w:t>Hypertension status was obtained from a question asking the participant if a doctor previously diagnosed them with high blood pressure or hypertension. If the participant was newly enrolled in this wave, the response options were, “yes” or “no.” If the participant had completed previous waves, they were asked to confirm their previous endorsement of their hypertension diagnosis. The response options for these participants included, “yes,” “no,” “disputes previous wave record, but now has condition,” and “disputes previous wave record, does not have condition.” Those who disputed their previous response were excluded from the analyses.</w:t>
      </w:r>
    </w:p>
    <w:p w14:paraId="0767FC13" w14:textId="77777777" w:rsidR="00F03A79" w:rsidRPr="00F03A79" w:rsidRDefault="00F03A79" w:rsidP="00F03A79">
      <w:pPr>
        <w:rPr>
          <w:rFonts w:cstheme="minorHAnsi"/>
          <w:szCs w:val="22"/>
        </w:rPr>
      </w:pPr>
    </w:p>
    <w:p w14:paraId="58E4BFC0" w14:textId="5D563FA7" w:rsidR="00F03A79" w:rsidRPr="00F03A79" w:rsidRDefault="00F03A79" w:rsidP="00F03A79">
      <w:pPr>
        <w:rPr>
          <w:rFonts w:cstheme="minorHAnsi"/>
          <w:szCs w:val="22"/>
        </w:rPr>
      </w:pPr>
      <w:r w:rsidRPr="00F03A79">
        <w:rPr>
          <w:rFonts w:cstheme="minorHAnsi"/>
          <w:szCs w:val="22"/>
        </w:rPr>
        <w:t xml:space="preserve">Obesity was obtained by calculating the body mass index (BMI) for each participant using measurements of height (in inches) and weight (in pounds) obtained during the physical assessment. BMI was calculated as a continuous variable using the standard equation for imperial units, </w:t>
      </w:r>
      <m:oMath>
        <m:d>
          <m:dPr>
            <m:ctrlPr>
              <w:rPr>
                <w:rFonts w:ascii="Cambria Math" w:hAnsi="Cambria Math" w:cstheme="minorHAnsi"/>
                <w:i/>
                <w:szCs w:val="22"/>
              </w:rPr>
            </m:ctrlPr>
          </m:dPr>
          <m:e>
            <m:f>
              <m:fPr>
                <m:ctrlPr>
                  <w:rPr>
                    <w:rFonts w:ascii="Cambria Math" w:hAnsi="Cambria Math" w:cstheme="minorHAnsi"/>
                    <w:i/>
                    <w:szCs w:val="22"/>
                  </w:rPr>
                </m:ctrlPr>
              </m:fPr>
              <m:num>
                <m:r>
                  <w:rPr>
                    <w:rFonts w:ascii="Cambria Math" w:hAnsi="Cambria Math" w:cstheme="minorHAnsi"/>
                    <w:szCs w:val="22"/>
                  </w:rPr>
                  <m:t>weight</m:t>
                </m:r>
              </m:num>
              <m:den>
                <m:sSup>
                  <m:sSupPr>
                    <m:ctrlPr>
                      <w:rPr>
                        <w:rFonts w:ascii="Cambria Math" w:hAnsi="Cambria Math" w:cstheme="minorHAnsi"/>
                        <w:i/>
                        <w:szCs w:val="22"/>
                      </w:rPr>
                    </m:ctrlPr>
                  </m:sSupPr>
                  <m:e>
                    <m:r>
                      <w:rPr>
                        <w:rFonts w:ascii="Cambria Math" w:hAnsi="Cambria Math" w:cstheme="minorHAnsi"/>
                        <w:szCs w:val="22"/>
                      </w:rPr>
                      <m:t>height</m:t>
                    </m:r>
                  </m:e>
                  <m:sup>
                    <m:r>
                      <w:rPr>
                        <w:rFonts w:ascii="Cambria Math" w:hAnsi="Cambria Math" w:cstheme="minorHAnsi"/>
                        <w:szCs w:val="22"/>
                      </w:rPr>
                      <m:t>2</m:t>
                    </m:r>
                  </m:sup>
                </m:sSup>
              </m:den>
            </m:f>
          </m:e>
        </m:d>
        <m:r>
          <w:rPr>
            <w:rFonts w:ascii="Cambria Math" w:hAnsi="Cambria Math" w:cstheme="minorHAnsi"/>
            <w:szCs w:val="22"/>
          </w:rPr>
          <m:t>*703</m:t>
        </m:r>
      </m:oMath>
      <w:r w:rsidRPr="00F03A79">
        <w:rPr>
          <w:rFonts w:cstheme="minorHAnsi"/>
          <w:szCs w:val="22"/>
        </w:rPr>
        <w:t>. Histograms were examined to identify extreme outlying values (presumably, data entry errors) in both height and weight measurements. Participants with values less than 30 inches for height and less than 60 pounds for weight were excluded from the analyses (n=9).</w:t>
      </w:r>
    </w:p>
    <w:p w14:paraId="5A9D1073" w14:textId="77777777" w:rsidR="00F03A79" w:rsidRPr="00F03A79" w:rsidRDefault="00F03A79" w:rsidP="00F03A79">
      <w:pPr>
        <w:rPr>
          <w:rFonts w:cstheme="minorHAnsi"/>
          <w:szCs w:val="22"/>
        </w:rPr>
      </w:pPr>
    </w:p>
    <w:p w14:paraId="568CF49A" w14:textId="3B4926E2" w:rsidR="00F03A79" w:rsidRPr="00F03A79" w:rsidRDefault="00F03A79" w:rsidP="00F03A79">
      <w:pPr>
        <w:rPr>
          <w:rFonts w:cstheme="minorHAnsi"/>
          <w:szCs w:val="22"/>
        </w:rPr>
      </w:pPr>
      <w:r w:rsidRPr="00F03A79">
        <w:rPr>
          <w:rFonts w:cstheme="minorHAnsi"/>
          <w:szCs w:val="22"/>
        </w:rPr>
        <w:t xml:space="preserve">Alcohol use was obtained by calculating the number of alcoholic drinks per week based on responses to two questions. The number of days per week the participant drinks was multiplied by the number of drinks per day the participant consumes. Participants who consumed 13 or more drinks per week were coded as having excessive alcohol consumption, as defined by the Lancet Commission </w:t>
      </w:r>
      <w:r w:rsidRPr="00F03A79">
        <w:rPr>
          <w:rFonts w:cstheme="minorHAnsi"/>
          <w:szCs w:val="22"/>
        </w:rPr>
        <w:fldChar w:fldCharType="begin"/>
      </w:r>
      <w:r w:rsidR="00CF3527">
        <w:rPr>
          <w:rFonts w:cstheme="minorHAnsi"/>
          <w:szCs w:val="22"/>
        </w:rPr>
        <w:instrText xml:space="preserve"> ADDIN ZOTERO_ITEM CSL_CITATION {"citationID":"0Vh3v8nh","properties":{"formattedCitation":"[5]","plainCitation":"[5]","noteIndex":0},"citationItems":[{"id":4664,"uris":["http://zotero.org/users/2543385/items/FAJAA8FA"],"itemData":{"id":4664,"type":"article-journal","container-title":"The Lancet","DOI":"10.1016/S0140-6736(24)01296-0","ISSN":"0140-6736, 1474-547X","issue":"10452","journalAbbreviation":"The Lancet","language":"English","page":"572-628","PMID":"39096926","publisher":"Elsevier","source":"www.thelancet.com","title":"Dementia prevention, intervention, and care: 2024 report of the Lancet standing Commission","title-short":"Dementia prevention, intervention, and care","volume":"404","author":[{"family":"Livingston","given":"Gill"},{"family":"Huntley","given":"Jonathan"},{"family":"Liu","given":"Kathy Y."},{"family":"Costafreda","given":"Sergi G."},{"family":"Selbæk","given":"Geir"},{"family":"Alladi","given":"Suvarna"},{"family":"Ames","given":"David"},{"family":"Banerjee","given":"Sube"},{"family":"Burns","given":"Alistair"},{"family":"Brayne","given":"Carol"},{"family":"Fox","given":"Nick C."},{"family":"Ferri","given":"Cleusa P."},{"family":"Gitlin","given":"Laura N."},{"family":"Howard","given":"Robert"},{"family":"Kales","given":"Helen C."},{"family":"Kivimäki","given":"Mika"},{"family":"Larson","given":"Eric B."},{"family":"Nakasujja","given":"Noeline"},{"family":"Rockwood","given":"Kenneth"},{"family":"Samus","given":"Quincy"},{"family":"Shirai","given":"Kokoro"},{"family":"Singh-Manoux","given":"Archana"},{"family":"Schneider","given":"Lon S."},{"family":"Walsh","given":"Sebastian"},{"family":"Yao","given":"Yao"},{"family":"Sommerlad","given":"Andrew"},{"family":"Mukadam","given":"Naaheed"}],"issued":{"date-parts":[["2024",8,10]]}}}],"schema":"https://github.com/citation-style-language/schema/raw/master/csl-citation.json"} </w:instrText>
      </w:r>
      <w:r w:rsidRPr="00F03A79">
        <w:rPr>
          <w:rFonts w:cstheme="minorHAnsi"/>
          <w:szCs w:val="22"/>
        </w:rPr>
        <w:fldChar w:fldCharType="separate"/>
      </w:r>
      <w:r w:rsidR="008A1580">
        <w:rPr>
          <w:rFonts w:cstheme="minorHAnsi"/>
          <w:szCs w:val="22"/>
        </w:rPr>
        <w:t>[5]</w:t>
      </w:r>
      <w:r w:rsidRPr="00F03A79">
        <w:rPr>
          <w:rFonts w:cstheme="minorHAnsi"/>
          <w:szCs w:val="22"/>
        </w:rPr>
        <w:fldChar w:fldCharType="end"/>
      </w:r>
      <w:r w:rsidRPr="00F03A79">
        <w:rPr>
          <w:rFonts w:cstheme="minorHAnsi"/>
          <w:szCs w:val="22"/>
        </w:rPr>
        <w:t xml:space="preserve">. </w:t>
      </w:r>
    </w:p>
    <w:p w14:paraId="78909634" w14:textId="77777777" w:rsidR="00F03A79" w:rsidRPr="00F03A79" w:rsidRDefault="00F03A79" w:rsidP="00F03A79">
      <w:pPr>
        <w:rPr>
          <w:rFonts w:cstheme="minorHAnsi"/>
          <w:szCs w:val="22"/>
        </w:rPr>
      </w:pPr>
    </w:p>
    <w:p w14:paraId="5DDF360F" w14:textId="1594C78F" w:rsidR="00F03A79" w:rsidRPr="00F03A79" w:rsidRDefault="00F03A79" w:rsidP="00F03A79">
      <w:pPr>
        <w:rPr>
          <w:rFonts w:cstheme="minorHAnsi"/>
          <w:szCs w:val="22"/>
        </w:rPr>
      </w:pPr>
      <w:r w:rsidRPr="00F03A79">
        <w:rPr>
          <w:rFonts w:cstheme="minorHAnsi"/>
          <w:szCs w:val="22"/>
        </w:rPr>
        <w:t xml:space="preserve">Social isolation was obtained by summarizing and normalizing seven items derived from the Psychological and Lifestyle Questionnaire, following previously published methods </w:t>
      </w:r>
      <w:r w:rsidRPr="00F03A79">
        <w:rPr>
          <w:rFonts w:cstheme="minorHAnsi"/>
          <w:szCs w:val="22"/>
        </w:rPr>
        <w:fldChar w:fldCharType="begin"/>
      </w:r>
      <w:r w:rsidR="00CF3527">
        <w:rPr>
          <w:rFonts w:cstheme="minorHAnsi"/>
          <w:szCs w:val="22"/>
        </w:rPr>
        <w:instrText xml:space="preserve"> ADDIN ZOTERO_ITEM CSL_CITATION {"citationID":"p8ZUNXdB","properties":{"formattedCitation":"[6,7]","plainCitation":"[6,7]","noteIndex":0},"citationItems":[{"id":4812,"uris":["http://zotero.org/users/2543385/items/SIFHTQJ7"],"itemData":{"id":4812,"type":"article-journal","abstract":"Previous research has identified a wide range of indicators of social isolation that pose health risks, including living alone, having a small social network, infrequent participation in social activities, and feelings of loneliness. However, multiple forms of isolation are rarely studied together, making it difficult to determine which aspects of isolation are most deleterious for health. Using population-based data from the National Social Life, Health, and Aging Project, we combine multiple indicators of social isolation into scales assessing social disconnectedness (e.g., small social network, infrequent participation in social activities) and perceived isolation (e.g., loneliness, perceived lack of social support). We examine the extent to which social disconnectedness and perceived isolation have distinct associations with physical and mental health among older adults. Results indicate that social disconnectedness and perceived isolation are independently associated with lower levels of self-rated physical health. However, the association between disconnectedness and mental health may operate through the strong relationship between perceived isolation and mental health. We conclude that health researchers need to consider social disconnectedness and perceived isolation simultaneously.","container-title":"Journal of Health and Social Behavior","DOI":"10.1177/002214650905000103","ISSN":"0022-1465","issue":"1","journalAbbreviation":"J Health Soc Behav","language":"en","page":"31-48","publisher":"SAGE Publications Inc","source":"SAGE Journals","title":"Social Disconnectedness, Perceived Isolation, and Health among Older Adults","volume":"50","author":[{"family":"Cornwell","given":"Erin York"},{"family":"Waite","given":"Linda J."}],"issued":{"date-parts":[["2009",3,1]]}}},{"id":4810,"uris":["http://zotero.org/users/2543385/items/CU46D394"],"itemData":{"id":4810,"type":"article-journal","abstract":"Objective: The purpose of this study was to evaluate the impact of objective isolation and loneliness on Medicare spending and outcomes. Method: We linked Health and Retirement Study data to Medicare claims to analyze objective isolation (scaled composite of social contacts and network) and loneliness (positive response to three-item loneliness scale) as predictors of subsequent Medicare spending. In multivariable regression adjusting for health and demographics, we determined marginal differences in Medicare expenditures. Secondary outcomes included spending by setting, and mortality. Results: Objective isolation predicts greater spending, US$1,644 (p &lt; .001) per beneficiary annually, whereas loneliness predicts reduced spending, −US$768 (p &lt; .001). Increased spending concentrated in inpatient and nursing home (skilled nursing facilities [SNFs]) care; despite more health care, objectively isolated beneficiaries had 31% (p &lt; .001) greater risk of death. Loneliness did not predict SNF use or mortality, but predicted slightly less inpatient and outpatient care. Discussion: Objectively isolated seniors have higher Medicare spending, driven by increased hospitalization and institutionalization, and face greater mortality. Policies supporting social connectedness could reap significant savings.","container-title":"Journal of Aging and Health","DOI":"10.1177/0898264317703559","ISSN":"0898-2643","issue":"7","journalAbbreviation":"J Aging Health","language":"en","page":"1119-1143","publisher":"SAGE Publications Inc","source":"SAGE Journals","title":"Social Isolation and Medicare Spending: Among Older Adults, Objective Isolation Increases Expenditures While Loneliness Does Not","title-short":"Social Isolation and Medicare Spending","volume":"29","author":[{"family":"Shaw","given":"Jonathan G."},{"family":"Farid","given":"Monica"},{"family":"Noel-Miller","given":"Claire"},{"family":"Joseph","given":"Neesha"},{"family":"Houser","given":"Ari"},{"family":"Asch","given":"Steven M."},{"family":"Bhattacharya","given":"Jay"},{"family":"Flowers","given":"Lynda"}],"issued":{"date-parts":[["2017",10,1]]}}}],"schema":"https://github.com/citation-style-language/schema/raw/master/csl-citation.json"} </w:instrText>
      </w:r>
      <w:r w:rsidRPr="00F03A79">
        <w:rPr>
          <w:rFonts w:cstheme="minorHAnsi"/>
          <w:szCs w:val="22"/>
        </w:rPr>
        <w:fldChar w:fldCharType="separate"/>
      </w:r>
      <w:r w:rsidR="008A1580">
        <w:rPr>
          <w:rFonts w:cstheme="minorHAnsi"/>
          <w:szCs w:val="22"/>
        </w:rPr>
        <w:t>[6,7]</w:t>
      </w:r>
      <w:r w:rsidRPr="00F03A79">
        <w:rPr>
          <w:rFonts w:cstheme="minorHAnsi"/>
          <w:szCs w:val="22"/>
        </w:rPr>
        <w:fldChar w:fldCharType="end"/>
      </w:r>
      <w:r w:rsidRPr="00F03A79">
        <w:rPr>
          <w:rFonts w:cstheme="minorHAnsi"/>
          <w:szCs w:val="22"/>
        </w:rPr>
        <w:t xml:space="preserve">. Briefly, the seven items included: 1) network size, which was computed as the total number of family and friends with which the participant has a close relationship; 2) network range, which was computed as the number of close relationship types (children, family, or friends); 3) number of friends with which the participant has a close relationship; 4) the frequency with which the participant has any contact with the people in their network; and 5) how often the participant meets in person with their children; 6) family; and 7) friends. For items four through seven, responses and corresponding point values included, “1=less than once a year,” “2=once or twice a year,” “3=every few months,” “4=once or twice a month,” “5=once or twice a week,” “6=three or more times a week.” These seven items were summed and </w:t>
      </w:r>
      <w:proofErr w:type="gramStart"/>
      <w:r w:rsidRPr="00F03A79">
        <w:rPr>
          <w:rFonts w:cstheme="minorHAnsi"/>
          <w:szCs w:val="22"/>
        </w:rPr>
        <w:t>z-scored</w:t>
      </w:r>
      <w:proofErr w:type="gramEnd"/>
      <w:r w:rsidRPr="00F03A79">
        <w:rPr>
          <w:rFonts w:cstheme="minorHAnsi"/>
          <w:szCs w:val="22"/>
        </w:rPr>
        <w:t>. Those who were greater than one standard deviation below the mean were considered socially isolated. Those who were within one standard deviation or greater than one standard deviation above the mean were considered not isolated.</w:t>
      </w:r>
    </w:p>
    <w:p w14:paraId="5729D050" w14:textId="77777777" w:rsidR="00F03A79" w:rsidRPr="00F03A79" w:rsidRDefault="00F03A79" w:rsidP="00F03A79">
      <w:pPr>
        <w:rPr>
          <w:rFonts w:cstheme="minorHAnsi"/>
          <w:szCs w:val="22"/>
        </w:rPr>
      </w:pPr>
    </w:p>
    <w:p w14:paraId="7A29785B" w14:textId="77777777" w:rsidR="00F03A79" w:rsidRPr="00F03A79" w:rsidRDefault="00F03A79" w:rsidP="00F03A79">
      <w:pPr>
        <w:rPr>
          <w:rFonts w:cstheme="minorHAnsi"/>
          <w:szCs w:val="22"/>
        </w:rPr>
      </w:pPr>
      <w:r w:rsidRPr="00F03A79">
        <w:rPr>
          <w:rFonts w:cstheme="minorHAnsi"/>
          <w:szCs w:val="22"/>
        </w:rPr>
        <w:t>Poor vision was obtained from questions asking the participant if they previously had been treated for glaucoma or had undergone cataract surgery. The response options included, “yes” or “no.” A “yes” response to either question was coded as having poor vision.</w:t>
      </w:r>
    </w:p>
    <w:p w14:paraId="23FB3F75" w14:textId="77777777" w:rsidR="00F03A79" w:rsidRPr="00F03A79" w:rsidRDefault="00F03A79" w:rsidP="00F03A79">
      <w:pPr>
        <w:rPr>
          <w:rFonts w:cstheme="minorHAnsi"/>
          <w:szCs w:val="22"/>
        </w:rPr>
      </w:pPr>
    </w:p>
    <w:p w14:paraId="78BE43D7" w14:textId="77777777" w:rsidR="00F03A79" w:rsidRPr="00F03A79" w:rsidRDefault="00F03A79" w:rsidP="00F03A79">
      <w:pPr>
        <w:rPr>
          <w:rFonts w:cstheme="minorHAnsi"/>
          <w:szCs w:val="22"/>
        </w:rPr>
      </w:pPr>
      <w:r w:rsidRPr="00F03A79">
        <w:rPr>
          <w:rFonts w:cstheme="minorHAnsi"/>
          <w:szCs w:val="22"/>
        </w:rPr>
        <w:t xml:space="preserve">Poor sleep was obtained from a question asking the participant if they feel rested upon waking in the morning. Response options included, “most of the time,” “sometimes,” “rarely or never.” </w:t>
      </w:r>
      <w:r w:rsidRPr="00F03A79">
        <w:rPr>
          <w:rFonts w:cstheme="minorHAnsi"/>
          <w:szCs w:val="22"/>
        </w:rPr>
        <w:lastRenderedPageBreak/>
        <w:t>Those who responded with “sometimes” or “rarely or never” were categorized as having poor sleep.</w:t>
      </w:r>
    </w:p>
    <w:p w14:paraId="1B2AE91C" w14:textId="77777777" w:rsidR="0020484B" w:rsidRDefault="0020484B">
      <w:pPr>
        <w:rPr>
          <w:rFonts w:cstheme="minorHAnsi"/>
          <w:szCs w:val="22"/>
        </w:rPr>
      </w:pPr>
    </w:p>
    <w:p w14:paraId="140E1B1E" w14:textId="77777777" w:rsidR="00F03A79" w:rsidRDefault="00F03A79">
      <w:pPr>
        <w:rPr>
          <w:rFonts w:cstheme="minorHAnsi"/>
          <w:szCs w:val="22"/>
        </w:rPr>
      </w:pPr>
    </w:p>
    <w:p w14:paraId="4D44007A" w14:textId="36705C5B" w:rsidR="00F03A79" w:rsidRDefault="00F03A79">
      <w:pPr>
        <w:rPr>
          <w:rFonts w:cstheme="minorHAnsi"/>
          <w:b/>
          <w:bCs/>
          <w:szCs w:val="22"/>
        </w:rPr>
      </w:pPr>
      <w:r w:rsidRPr="00F03A79">
        <w:rPr>
          <w:rFonts w:cstheme="minorHAnsi"/>
          <w:b/>
          <w:bCs/>
          <w:szCs w:val="22"/>
        </w:rPr>
        <w:t>References:</w:t>
      </w:r>
    </w:p>
    <w:p w14:paraId="3AEAF8F1" w14:textId="77777777" w:rsidR="00CF3527" w:rsidRPr="00CF3527" w:rsidRDefault="00F03A79" w:rsidP="00CF3527">
      <w:pPr>
        <w:pStyle w:val="Bibliography"/>
        <w:rPr>
          <w:rFonts w:ascii="Arial" w:cs="Arial"/>
        </w:rPr>
      </w:pPr>
      <w:r>
        <w:rPr>
          <w:rFonts w:cstheme="minorHAnsi"/>
          <w:b/>
          <w:bCs/>
          <w:szCs w:val="22"/>
        </w:rPr>
        <w:fldChar w:fldCharType="begin"/>
      </w:r>
      <w:r w:rsidR="00CF3527">
        <w:rPr>
          <w:rFonts w:cstheme="minorHAnsi"/>
          <w:b/>
          <w:bCs/>
          <w:szCs w:val="22"/>
        </w:rPr>
        <w:instrText xml:space="preserve"> ADDIN ZOTERO_BIBL {"uncited":[],"omitted":[],"custom":[]} CSL_BIBLIOGRAPHY </w:instrText>
      </w:r>
      <w:r>
        <w:rPr>
          <w:rFonts w:cstheme="minorHAnsi"/>
          <w:b/>
          <w:bCs/>
          <w:szCs w:val="22"/>
        </w:rPr>
        <w:fldChar w:fldCharType="separate"/>
      </w:r>
      <w:r w:rsidR="00CF3527" w:rsidRPr="00CF3527">
        <w:rPr>
          <w:rFonts w:ascii="Arial" w:cs="Arial"/>
        </w:rPr>
        <w:t>[1]</w:t>
      </w:r>
      <w:r w:rsidR="00CF3527" w:rsidRPr="00CF3527">
        <w:rPr>
          <w:rFonts w:ascii="Arial" w:cs="Arial"/>
        </w:rPr>
        <w:tab/>
        <w:t xml:space="preserve">Kamil RJ, Genther DJ, Lin FR. Factors Associated </w:t>
      </w:r>
      <w:proofErr w:type="gramStart"/>
      <w:r w:rsidR="00CF3527" w:rsidRPr="00CF3527">
        <w:rPr>
          <w:rFonts w:ascii="Arial" w:cs="Arial"/>
        </w:rPr>
        <w:t>With</w:t>
      </w:r>
      <w:proofErr w:type="gramEnd"/>
      <w:r w:rsidR="00CF3527" w:rsidRPr="00CF3527">
        <w:rPr>
          <w:rFonts w:ascii="Arial" w:cs="Arial"/>
        </w:rPr>
        <w:t xml:space="preserve"> the Accuracy of Subjective Assessments of Hearing Impairment. Ear and Hearing </w:t>
      </w:r>
      <w:proofErr w:type="gramStart"/>
      <w:r w:rsidR="00CF3527" w:rsidRPr="00CF3527">
        <w:rPr>
          <w:rFonts w:ascii="Arial" w:cs="Arial"/>
        </w:rPr>
        <w:t>2015;36:164</w:t>
      </w:r>
      <w:proofErr w:type="gramEnd"/>
      <w:r w:rsidR="00CF3527" w:rsidRPr="00CF3527">
        <w:rPr>
          <w:rFonts w:ascii="Arial" w:cs="Arial"/>
        </w:rPr>
        <w:t>. https://doi.org/10.1097/AUD.0000000000000075.</w:t>
      </w:r>
    </w:p>
    <w:p w14:paraId="635D1322" w14:textId="77777777" w:rsidR="00CF3527" w:rsidRPr="00CF3527" w:rsidRDefault="00CF3527" w:rsidP="00CF3527">
      <w:pPr>
        <w:pStyle w:val="Bibliography"/>
        <w:rPr>
          <w:rFonts w:ascii="Arial" w:cs="Arial"/>
        </w:rPr>
      </w:pPr>
      <w:r w:rsidRPr="00CF3527">
        <w:rPr>
          <w:rFonts w:ascii="Arial" w:cs="Arial"/>
        </w:rPr>
        <w:t>[2]</w:t>
      </w:r>
      <w:r w:rsidRPr="00CF3527">
        <w:rPr>
          <w:rFonts w:ascii="Arial" w:cs="Arial"/>
        </w:rPr>
        <w:tab/>
      </w:r>
      <w:proofErr w:type="spellStart"/>
      <w:r w:rsidRPr="00CF3527">
        <w:rPr>
          <w:rFonts w:ascii="Arial" w:cs="Arial"/>
        </w:rPr>
        <w:t>Tsimpida</w:t>
      </w:r>
      <w:proofErr w:type="spellEnd"/>
      <w:r w:rsidRPr="00CF3527">
        <w:rPr>
          <w:rFonts w:ascii="Arial" w:cs="Arial"/>
        </w:rPr>
        <w:t xml:space="preserve"> D, </w:t>
      </w:r>
      <w:proofErr w:type="spellStart"/>
      <w:r w:rsidRPr="00CF3527">
        <w:rPr>
          <w:rFonts w:ascii="Arial" w:cs="Arial"/>
        </w:rPr>
        <w:t>Kontopantelis</w:t>
      </w:r>
      <w:proofErr w:type="spellEnd"/>
      <w:r w:rsidRPr="00CF3527">
        <w:rPr>
          <w:rFonts w:ascii="Arial" w:cs="Arial"/>
        </w:rPr>
        <w:t xml:space="preserve"> E, Ashcroft D, </w:t>
      </w:r>
      <w:proofErr w:type="spellStart"/>
      <w:r w:rsidRPr="00CF3527">
        <w:rPr>
          <w:rFonts w:ascii="Arial" w:cs="Arial"/>
        </w:rPr>
        <w:t>Panagioti</w:t>
      </w:r>
      <w:proofErr w:type="spellEnd"/>
      <w:r w:rsidRPr="00CF3527">
        <w:rPr>
          <w:rFonts w:ascii="Arial" w:cs="Arial"/>
        </w:rPr>
        <w:t xml:space="preserve"> M. Comparison of Self-reported Measures of Hearing </w:t>
      </w:r>
      <w:proofErr w:type="gramStart"/>
      <w:r w:rsidRPr="00CF3527">
        <w:rPr>
          <w:rFonts w:ascii="Arial" w:cs="Arial"/>
        </w:rPr>
        <w:t>With</w:t>
      </w:r>
      <w:proofErr w:type="gramEnd"/>
      <w:r w:rsidRPr="00CF3527">
        <w:rPr>
          <w:rFonts w:ascii="Arial" w:cs="Arial"/>
        </w:rPr>
        <w:t xml:space="preserve"> an Objective Audiometric Measure in Adults in the English Longitudinal Study of Ageing. JAMA </w:t>
      </w:r>
      <w:proofErr w:type="spellStart"/>
      <w:r w:rsidRPr="00CF3527">
        <w:rPr>
          <w:rFonts w:ascii="Arial" w:cs="Arial"/>
        </w:rPr>
        <w:t>Netw</w:t>
      </w:r>
      <w:proofErr w:type="spellEnd"/>
      <w:r w:rsidRPr="00CF3527">
        <w:rPr>
          <w:rFonts w:ascii="Arial" w:cs="Arial"/>
        </w:rPr>
        <w:t xml:space="preserve"> Open 2020;</w:t>
      </w:r>
      <w:proofErr w:type="gramStart"/>
      <w:r w:rsidRPr="00CF3527">
        <w:rPr>
          <w:rFonts w:ascii="Arial" w:cs="Arial"/>
        </w:rPr>
        <w:t>3:e</w:t>
      </w:r>
      <w:proofErr w:type="gramEnd"/>
      <w:r w:rsidRPr="00CF3527">
        <w:rPr>
          <w:rFonts w:ascii="Arial" w:cs="Arial"/>
        </w:rPr>
        <w:t>2015009. https://doi.org/10.1001/jamanetworkopen.2020.15009.</w:t>
      </w:r>
    </w:p>
    <w:p w14:paraId="04B3FA8A" w14:textId="77777777" w:rsidR="00CF3527" w:rsidRPr="00CF3527" w:rsidRDefault="00CF3527" w:rsidP="00CF3527">
      <w:pPr>
        <w:pStyle w:val="Bibliography"/>
        <w:rPr>
          <w:rFonts w:ascii="Arial" w:cs="Arial"/>
        </w:rPr>
      </w:pPr>
      <w:r w:rsidRPr="00CF3527">
        <w:rPr>
          <w:rFonts w:ascii="Arial" w:cs="Arial"/>
        </w:rPr>
        <w:t>[3]</w:t>
      </w:r>
      <w:r w:rsidRPr="00CF3527">
        <w:rPr>
          <w:rFonts w:ascii="Arial" w:cs="Arial"/>
        </w:rPr>
        <w:tab/>
        <w:t xml:space="preserve">Kim AS, Betz JF, Albert M, Deal JA, Faucette SP, Oh ES, et al. Accuracy of self- and proxy-rated hearing among older adults with and without cognitive impairment. Journal of the American Geriatrics Society </w:t>
      </w:r>
      <w:proofErr w:type="gramStart"/>
      <w:r w:rsidRPr="00CF3527">
        <w:rPr>
          <w:rFonts w:ascii="Arial" w:cs="Arial"/>
        </w:rPr>
        <w:t>2022;70:490</w:t>
      </w:r>
      <w:proofErr w:type="gramEnd"/>
      <w:r w:rsidRPr="00CF3527">
        <w:rPr>
          <w:rFonts w:ascii="Arial" w:cs="Arial"/>
        </w:rPr>
        <w:t>–500. https://doi.org/10.1111/jgs.17558.</w:t>
      </w:r>
    </w:p>
    <w:p w14:paraId="079F24ED" w14:textId="77777777" w:rsidR="00CF3527" w:rsidRPr="00CF3527" w:rsidRDefault="00CF3527" w:rsidP="00CF3527">
      <w:pPr>
        <w:pStyle w:val="Bibliography"/>
        <w:rPr>
          <w:rFonts w:ascii="Arial" w:cs="Arial"/>
        </w:rPr>
      </w:pPr>
      <w:r w:rsidRPr="00CF3527">
        <w:rPr>
          <w:rFonts w:ascii="Arial" w:cs="Arial"/>
        </w:rPr>
        <w:t>[4]</w:t>
      </w:r>
      <w:r w:rsidRPr="00CF3527">
        <w:rPr>
          <w:rFonts w:ascii="Arial" w:cs="Arial"/>
        </w:rPr>
        <w:tab/>
        <w:t xml:space="preserve">Crimmins E, Faul J, Kim J, Guyer H, Langa K, </w:t>
      </w:r>
      <w:proofErr w:type="spellStart"/>
      <w:r w:rsidRPr="00CF3527">
        <w:rPr>
          <w:rFonts w:ascii="Arial" w:cs="Arial"/>
        </w:rPr>
        <w:t>Ofstedal</w:t>
      </w:r>
      <w:proofErr w:type="spellEnd"/>
      <w:r w:rsidRPr="00CF3527">
        <w:rPr>
          <w:rFonts w:ascii="Arial" w:cs="Arial"/>
        </w:rPr>
        <w:t xml:space="preserve"> M, et al. Documentation of Biomarkers in the 2006 and 2008 Health and Retirement Study 2013.</w:t>
      </w:r>
    </w:p>
    <w:p w14:paraId="7F5852B0" w14:textId="77777777" w:rsidR="00CF3527" w:rsidRPr="00CF3527" w:rsidRDefault="00CF3527" w:rsidP="00CF3527">
      <w:pPr>
        <w:pStyle w:val="Bibliography"/>
        <w:rPr>
          <w:rFonts w:ascii="Arial" w:cs="Arial"/>
        </w:rPr>
      </w:pPr>
      <w:r w:rsidRPr="00CF3527">
        <w:rPr>
          <w:rFonts w:ascii="Arial" w:cs="Arial"/>
        </w:rPr>
        <w:t>[5]</w:t>
      </w:r>
      <w:r w:rsidRPr="00CF3527">
        <w:rPr>
          <w:rFonts w:ascii="Arial" w:cs="Arial"/>
        </w:rPr>
        <w:tab/>
        <w:t xml:space="preserve">Livingston G, Huntley J, Liu KY, </w:t>
      </w:r>
      <w:proofErr w:type="spellStart"/>
      <w:r w:rsidRPr="00CF3527">
        <w:rPr>
          <w:rFonts w:ascii="Arial" w:cs="Arial"/>
        </w:rPr>
        <w:t>Costafreda</w:t>
      </w:r>
      <w:proofErr w:type="spellEnd"/>
      <w:r w:rsidRPr="00CF3527">
        <w:rPr>
          <w:rFonts w:ascii="Arial" w:cs="Arial"/>
        </w:rPr>
        <w:t xml:space="preserve"> SG, </w:t>
      </w:r>
      <w:proofErr w:type="spellStart"/>
      <w:r w:rsidRPr="00CF3527">
        <w:rPr>
          <w:rFonts w:ascii="Arial" w:cs="Arial"/>
        </w:rPr>
        <w:t>Selbæk</w:t>
      </w:r>
      <w:proofErr w:type="spellEnd"/>
      <w:r w:rsidRPr="00CF3527">
        <w:rPr>
          <w:rFonts w:ascii="Arial" w:cs="Arial"/>
        </w:rPr>
        <w:t xml:space="preserve"> G, Alladi S, et al. Dementia prevention, intervention, and care: 2024 report of the Lancet standing Commission. The Lancet </w:t>
      </w:r>
      <w:proofErr w:type="gramStart"/>
      <w:r w:rsidRPr="00CF3527">
        <w:rPr>
          <w:rFonts w:ascii="Arial" w:cs="Arial"/>
        </w:rPr>
        <w:t>2024;404:572</w:t>
      </w:r>
      <w:proofErr w:type="gramEnd"/>
      <w:r w:rsidRPr="00CF3527">
        <w:rPr>
          <w:rFonts w:ascii="Arial" w:cs="Arial"/>
        </w:rPr>
        <w:t>–628. https://doi.org/10.1016/S0140-6736(24)01296-0.</w:t>
      </w:r>
    </w:p>
    <w:p w14:paraId="7A692BC9" w14:textId="77777777" w:rsidR="00CF3527" w:rsidRPr="00CF3527" w:rsidRDefault="00CF3527" w:rsidP="00CF3527">
      <w:pPr>
        <w:pStyle w:val="Bibliography"/>
        <w:rPr>
          <w:rFonts w:ascii="Arial" w:cs="Arial"/>
        </w:rPr>
      </w:pPr>
      <w:r w:rsidRPr="00CF3527">
        <w:rPr>
          <w:rFonts w:ascii="Arial" w:cs="Arial"/>
        </w:rPr>
        <w:t>[6]</w:t>
      </w:r>
      <w:r w:rsidRPr="00CF3527">
        <w:rPr>
          <w:rFonts w:ascii="Arial" w:cs="Arial"/>
        </w:rPr>
        <w:tab/>
        <w:t xml:space="preserve">Cornwell EY, Waite LJ. Social Disconnectedness, Perceived Isolation, and Health among Older Adults. J Health Soc </w:t>
      </w:r>
      <w:proofErr w:type="spellStart"/>
      <w:r w:rsidRPr="00CF3527">
        <w:rPr>
          <w:rFonts w:ascii="Arial" w:cs="Arial"/>
        </w:rPr>
        <w:t>Behav</w:t>
      </w:r>
      <w:proofErr w:type="spellEnd"/>
      <w:r w:rsidRPr="00CF3527">
        <w:rPr>
          <w:rFonts w:ascii="Arial" w:cs="Arial"/>
        </w:rPr>
        <w:t xml:space="preserve"> </w:t>
      </w:r>
      <w:proofErr w:type="gramStart"/>
      <w:r w:rsidRPr="00CF3527">
        <w:rPr>
          <w:rFonts w:ascii="Arial" w:cs="Arial"/>
        </w:rPr>
        <w:t>2009;50:31</w:t>
      </w:r>
      <w:proofErr w:type="gramEnd"/>
      <w:r w:rsidRPr="00CF3527">
        <w:rPr>
          <w:rFonts w:ascii="Arial" w:cs="Arial"/>
        </w:rPr>
        <w:t>–48. https://doi.org/10.1177/002214650905000103.</w:t>
      </w:r>
    </w:p>
    <w:p w14:paraId="2FC1B5FB" w14:textId="77777777" w:rsidR="00CF3527" w:rsidRPr="00CF3527" w:rsidRDefault="00CF3527" w:rsidP="00CF3527">
      <w:pPr>
        <w:pStyle w:val="Bibliography"/>
        <w:rPr>
          <w:rFonts w:ascii="Arial" w:cs="Arial"/>
        </w:rPr>
      </w:pPr>
      <w:r w:rsidRPr="00CF3527">
        <w:rPr>
          <w:rFonts w:ascii="Arial" w:cs="Arial"/>
        </w:rPr>
        <w:t>[7]</w:t>
      </w:r>
      <w:r w:rsidRPr="00CF3527">
        <w:rPr>
          <w:rFonts w:ascii="Arial" w:cs="Arial"/>
        </w:rPr>
        <w:tab/>
        <w:t xml:space="preserve">Shaw JG, Farid M, Noel-Miller C, Joseph N, Houser A, Asch SM, et al. Social Isolation and Medicare Spending: Among Older Adults, Objective Isolation Increases Expenditures While Loneliness Does Not. J Aging Health </w:t>
      </w:r>
      <w:proofErr w:type="gramStart"/>
      <w:r w:rsidRPr="00CF3527">
        <w:rPr>
          <w:rFonts w:ascii="Arial" w:cs="Arial"/>
        </w:rPr>
        <w:t>2017;29:1119</w:t>
      </w:r>
      <w:proofErr w:type="gramEnd"/>
      <w:r w:rsidRPr="00CF3527">
        <w:rPr>
          <w:rFonts w:ascii="Arial" w:cs="Arial"/>
        </w:rPr>
        <w:t>–43. https://doi.org/10.1177/0898264317703559.</w:t>
      </w:r>
    </w:p>
    <w:p w14:paraId="384C31E0" w14:textId="356F30AE" w:rsidR="00F03A79" w:rsidRPr="00F03A79" w:rsidRDefault="00F03A79" w:rsidP="00CF3527">
      <w:pPr>
        <w:pStyle w:val="Bibliography"/>
        <w:rPr>
          <w:rFonts w:cstheme="minorHAnsi"/>
          <w:b/>
          <w:bCs/>
          <w:szCs w:val="22"/>
        </w:rPr>
      </w:pPr>
      <w:r>
        <w:rPr>
          <w:rFonts w:cstheme="minorHAnsi"/>
          <w:b/>
          <w:bCs/>
          <w:szCs w:val="22"/>
        </w:rPr>
        <w:fldChar w:fldCharType="end"/>
      </w:r>
    </w:p>
    <w:sectPr w:rsidR="00F03A79" w:rsidRPr="00F03A79" w:rsidSect="00336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Body CS)">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79"/>
    <w:rsid w:val="000D1990"/>
    <w:rsid w:val="000D363A"/>
    <w:rsid w:val="00155E15"/>
    <w:rsid w:val="00170562"/>
    <w:rsid w:val="001D49EA"/>
    <w:rsid w:val="0020484B"/>
    <w:rsid w:val="00205048"/>
    <w:rsid w:val="0021682D"/>
    <w:rsid w:val="00301A64"/>
    <w:rsid w:val="0030716B"/>
    <w:rsid w:val="00322A65"/>
    <w:rsid w:val="00336AFC"/>
    <w:rsid w:val="0034092A"/>
    <w:rsid w:val="003677D1"/>
    <w:rsid w:val="0037525C"/>
    <w:rsid w:val="004A2197"/>
    <w:rsid w:val="004B2A96"/>
    <w:rsid w:val="004F0CE5"/>
    <w:rsid w:val="005066E1"/>
    <w:rsid w:val="00534442"/>
    <w:rsid w:val="005E733D"/>
    <w:rsid w:val="006B307D"/>
    <w:rsid w:val="00810986"/>
    <w:rsid w:val="00817017"/>
    <w:rsid w:val="00822F43"/>
    <w:rsid w:val="008A03D0"/>
    <w:rsid w:val="008A1580"/>
    <w:rsid w:val="008C1FCA"/>
    <w:rsid w:val="00917BED"/>
    <w:rsid w:val="009B1110"/>
    <w:rsid w:val="009C335F"/>
    <w:rsid w:val="009F592F"/>
    <w:rsid w:val="00A4002F"/>
    <w:rsid w:val="00A744F5"/>
    <w:rsid w:val="00A76907"/>
    <w:rsid w:val="00AE5FC3"/>
    <w:rsid w:val="00B25AF9"/>
    <w:rsid w:val="00BA2A97"/>
    <w:rsid w:val="00C61BB6"/>
    <w:rsid w:val="00C96298"/>
    <w:rsid w:val="00CC5B60"/>
    <w:rsid w:val="00CD32E6"/>
    <w:rsid w:val="00CD5E9F"/>
    <w:rsid w:val="00CF3527"/>
    <w:rsid w:val="00D12CBB"/>
    <w:rsid w:val="00D474E3"/>
    <w:rsid w:val="00D61080"/>
    <w:rsid w:val="00D775A1"/>
    <w:rsid w:val="00DD7E44"/>
    <w:rsid w:val="00E47F36"/>
    <w:rsid w:val="00E52528"/>
    <w:rsid w:val="00E57007"/>
    <w:rsid w:val="00EB4367"/>
    <w:rsid w:val="00EE18E7"/>
    <w:rsid w:val="00F03A79"/>
    <w:rsid w:val="00FD1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2B44E"/>
  <w15:chartTrackingRefBased/>
  <w15:docId w15:val="{2BD8468E-EBDA-4405-8BA9-62084AC4E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Body CS)"/>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A79"/>
  </w:style>
  <w:style w:type="paragraph" w:styleId="Heading1">
    <w:name w:val="heading 1"/>
    <w:basedOn w:val="Normal"/>
    <w:next w:val="Normal"/>
    <w:link w:val="Heading1Char"/>
    <w:uiPriority w:val="9"/>
    <w:qFormat/>
    <w:rsid w:val="00F03A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3A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3A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3A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3A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3A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A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A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A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A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3A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3A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3A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3A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3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A79"/>
    <w:rPr>
      <w:rFonts w:eastAsiaTheme="majorEastAsia" w:cstheme="majorBidi"/>
      <w:color w:val="272727" w:themeColor="text1" w:themeTint="D8"/>
    </w:rPr>
  </w:style>
  <w:style w:type="paragraph" w:styleId="Title">
    <w:name w:val="Title"/>
    <w:basedOn w:val="Normal"/>
    <w:next w:val="Normal"/>
    <w:link w:val="TitleChar"/>
    <w:uiPriority w:val="10"/>
    <w:qFormat/>
    <w:rsid w:val="00F03A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A7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A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3A79"/>
    <w:rPr>
      <w:i/>
      <w:iCs/>
      <w:color w:val="404040" w:themeColor="text1" w:themeTint="BF"/>
    </w:rPr>
  </w:style>
  <w:style w:type="paragraph" w:styleId="ListParagraph">
    <w:name w:val="List Paragraph"/>
    <w:basedOn w:val="Normal"/>
    <w:uiPriority w:val="34"/>
    <w:qFormat/>
    <w:rsid w:val="00F03A79"/>
    <w:pPr>
      <w:ind w:left="720"/>
      <w:contextualSpacing/>
    </w:pPr>
  </w:style>
  <w:style w:type="character" w:styleId="IntenseEmphasis">
    <w:name w:val="Intense Emphasis"/>
    <w:basedOn w:val="DefaultParagraphFont"/>
    <w:uiPriority w:val="21"/>
    <w:qFormat/>
    <w:rsid w:val="00F03A79"/>
    <w:rPr>
      <w:i/>
      <w:iCs/>
      <w:color w:val="2F5496" w:themeColor="accent1" w:themeShade="BF"/>
    </w:rPr>
  </w:style>
  <w:style w:type="paragraph" w:styleId="IntenseQuote">
    <w:name w:val="Intense Quote"/>
    <w:basedOn w:val="Normal"/>
    <w:next w:val="Normal"/>
    <w:link w:val="IntenseQuoteChar"/>
    <w:uiPriority w:val="30"/>
    <w:qFormat/>
    <w:rsid w:val="00F03A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3A79"/>
    <w:rPr>
      <w:i/>
      <w:iCs/>
      <w:color w:val="2F5496" w:themeColor="accent1" w:themeShade="BF"/>
    </w:rPr>
  </w:style>
  <w:style w:type="character" w:styleId="IntenseReference">
    <w:name w:val="Intense Reference"/>
    <w:basedOn w:val="DefaultParagraphFont"/>
    <w:uiPriority w:val="32"/>
    <w:qFormat/>
    <w:rsid w:val="00F03A79"/>
    <w:rPr>
      <w:b/>
      <w:bCs/>
      <w:smallCaps/>
      <w:color w:val="2F5496" w:themeColor="accent1" w:themeShade="BF"/>
      <w:spacing w:val="5"/>
    </w:rPr>
  </w:style>
  <w:style w:type="paragraph" w:styleId="Bibliography">
    <w:name w:val="Bibliography"/>
    <w:basedOn w:val="Normal"/>
    <w:next w:val="Normal"/>
    <w:uiPriority w:val="37"/>
    <w:unhideWhenUsed/>
    <w:rsid w:val="00F03A79"/>
    <w:pPr>
      <w:tabs>
        <w:tab w:val="left" w:pos="380"/>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3504</Words>
  <Characters>19974</Characters>
  <Application>Microsoft Office Word</Application>
  <DocSecurity>0</DocSecurity>
  <Lines>166</Lines>
  <Paragraphs>46</Paragraphs>
  <ScaleCrop>false</ScaleCrop>
  <Company/>
  <LinksUpToDate>false</LinksUpToDate>
  <CharactersWithSpaces>23432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Fitzhugh</dc:creator>
  <cp:keywords/>
  <dc:description/>
  <cp:lastModifiedBy>Megan Fitzhugh</cp:lastModifiedBy>
  <cp:revision>9</cp:revision>
  <dcterms:created xsi:type="dcterms:W3CDTF">2025-10-14T22:45:00Z</dcterms:created>
  <dcterms:modified xsi:type="dcterms:W3CDTF">2026-01-15T21:51:00Z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2">
    <vt:lpwstr>ldType" value="Field"/&gt;&lt;/prefs&gt;&lt;/data&gt;</vt:lpwstr>
  </property>
  <property fmtid="{D5CDD505-2E9C-101B-9397-08002B2CF9AE}" pid="3" name="ZOTERO_PREF_1">
    <vt:lpwstr>&lt;data data-version="3" zotero-version="7.0.32"&gt;&lt;session id="PiBWqKZT"/&gt;&lt;style id="http://www.zotero.org/styles/alzheimers-and-dementia-diagnosis-assessment-and-disease-monitoring" hasBibliography="1" bibliographyStyleHasBeenSet="1"/&gt;&lt;prefs&gt;&lt;pref name="fie</vt:lpwstr>
  </property>
</Properties>
</file>