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529C" w14:textId="082EC2E5" w:rsidR="004F6890" w:rsidRDefault="004F6890" w:rsidP="004F6890">
      <w:pPr>
        <w:spacing w:after="0" w:line="480" w:lineRule="auto"/>
        <w:rPr>
          <w:rStyle w:val="normaltextrun"/>
          <w:rFonts w:ascii="Arial" w:eastAsia="Times New Roman" w:hAnsi="Arial" w:cs="Arial"/>
          <w:sz w:val="20"/>
          <w:szCs w:val="20"/>
        </w:rPr>
      </w:pPr>
      <w:r w:rsidRPr="004A40B3">
        <w:rPr>
          <w:rStyle w:val="normaltextrun"/>
          <w:rFonts w:ascii="Arial" w:eastAsia="Times New Roman" w:hAnsi="Arial" w:cs="Arial"/>
          <w:b/>
          <w:bCs/>
          <w:sz w:val="20"/>
          <w:szCs w:val="20"/>
        </w:rPr>
        <w:t xml:space="preserve">Table </w:t>
      </w:r>
      <w:r w:rsidR="005B48A7">
        <w:rPr>
          <w:rStyle w:val="normaltextrun"/>
          <w:rFonts w:ascii="Arial" w:eastAsia="Times New Roman" w:hAnsi="Arial" w:cs="Arial"/>
          <w:b/>
          <w:bCs/>
          <w:sz w:val="20"/>
          <w:szCs w:val="20"/>
        </w:rPr>
        <w:t>S</w:t>
      </w:r>
      <w:r>
        <w:rPr>
          <w:rStyle w:val="normaltextrun"/>
          <w:rFonts w:ascii="Arial" w:eastAsia="Times New Roman" w:hAnsi="Arial" w:cs="Arial"/>
          <w:b/>
          <w:bCs/>
          <w:sz w:val="20"/>
          <w:szCs w:val="20"/>
        </w:rPr>
        <w:t>1</w:t>
      </w:r>
      <w:r w:rsidRPr="004A40B3">
        <w:rPr>
          <w:rStyle w:val="normaltextrun"/>
          <w:rFonts w:ascii="Arial" w:eastAsia="Times New Roman" w:hAnsi="Arial" w:cs="Arial"/>
          <w:b/>
          <w:bCs/>
          <w:sz w:val="20"/>
          <w:szCs w:val="20"/>
        </w:rPr>
        <w:t>.</w:t>
      </w:r>
      <w:r w:rsidRPr="004A40B3">
        <w:rPr>
          <w:rStyle w:val="normaltextrun"/>
          <w:rFonts w:ascii="Arial" w:eastAsia="Times New Roman" w:hAnsi="Arial" w:cs="Arial"/>
          <w:sz w:val="20"/>
          <w:szCs w:val="20"/>
        </w:rPr>
        <w:t xml:space="preserve"> </w:t>
      </w:r>
      <w:r w:rsidR="005D1811">
        <w:rPr>
          <w:rStyle w:val="normaltextrun"/>
          <w:rFonts w:ascii="Arial" w:eastAsia="Times New Roman" w:hAnsi="Arial" w:cs="Arial"/>
          <w:sz w:val="20"/>
          <w:szCs w:val="20"/>
        </w:rPr>
        <w:t>Excluded s</w:t>
      </w:r>
      <w:r w:rsidRPr="004A40B3">
        <w:rPr>
          <w:rStyle w:val="normaltextrun"/>
          <w:rFonts w:ascii="Arial" w:eastAsia="Times New Roman" w:hAnsi="Arial" w:cs="Arial"/>
          <w:sz w:val="20"/>
          <w:szCs w:val="20"/>
        </w:rPr>
        <w:t>tudies</w:t>
      </w:r>
      <w:r>
        <w:rPr>
          <w:rStyle w:val="normaltextrun"/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for meta-analysis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1333"/>
        <w:gridCol w:w="7598"/>
      </w:tblGrid>
      <w:tr w:rsidR="004F6890" w:rsidRPr="00F6627A" w14:paraId="280C9DC6" w14:textId="77777777" w:rsidTr="004F6890">
        <w:tc>
          <w:tcPr>
            <w:tcW w:w="1134" w:type="dxa"/>
          </w:tcPr>
          <w:p w14:paraId="39531DD6" w14:textId="77777777" w:rsidR="004F6890" w:rsidRPr="00330A6B" w:rsidRDefault="004F6890" w:rsidP="00CB6D93">
            <w:pPr>
              <w:rPr>
                <w:rFonts w:cstheme="minorHAnsi"/>
                <w:b/>
                <w:bCs/>
              </w:rPr>
            </w:pPr>
            <w:r w:rsidRPr="00330A6B">
              <w:rPr>
                <w:rFonts w:cstheme="minorHAnsi"/>
                <w:b/>
                <w:bCs/>
              </w:rPr>
              <w:t>First Author, Year</w:t>
            </w:r>
          </w:p>
        </w:tc>
        <w:tc>
          <w:tcPr>
            <w:tcW w:w="7797" w:type="dxa"/>
          </w:tcPr>
          <w:p w14:paraId="44AC7B8D" w14:textId="77777777" w:rsidR="004F6890" w:rsidRPr="007A60D8" w:rsidRDefault="004F6890" w:rsidP="00CB6D93">
            <w:pPr>
              <w:rPr>
                <w:rFonts w:cstheme="minorHAnsi"/>
                <w:b/>
                <w:bCs/>
              </w:rPr>
            </w:pPr>
            <w:r w:rsidRPr="007A60D8">
              <w:rPr>
                <w:rFonts w:cstheme="minorHAnsi"/>
                <w:b/>
                <w:bCs/>
              </w:rPr>
              <w:t>Exclusion reason</w:t>
            </w:r>
          </w:p>
        </w:tc>
      </w:tr>
      <w:tr w:rsidR="004F6890" w:rsidRPr="00F6627A" w14:paraId="5195ACA8" w14:textId="77777777" w:rsidTr="004F6890">
        <w:tc>
          <w:tcPr>
            <w:tcW w:w="1134" w:type="dxa"/>
          </w:tcPr>
          <w:p w14:paraId="070D8EB3" w14:textId="77777777" w:rsidR="004F6890" w:rsidRPr="00330A6B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330A6B">
              <w:rPr>
                <w:rFonts w:eastAsia="Arial" w:cstheme="minorHAnsi"/>
                <w:sz w:val="20"/>
                <w:szCs w:val="20"/>
              </w:rPr>
              <w:t>Davis, 2019</w:t>
            </w:r>
          </w:p>
        </w:tc>
        <w:tc>
          <w:tcPr>
            <w:tcW w:w="7797" w:type="dxa"/>
          </w:tcPr>
          <w:p w14:paraId="2E280D5E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>Line-item: 40-60% mortality for both sexes 4 days post sepsis</w:t>
            </w:r>
          </w:p>
        </w:tc>
      </w:tr>
      <w:tr w:rsidR="004F6890" w:rsidRPr="00F6627A" w14:paraId="20418AA1" w14:textId="77777777" w:rsidTr="004F6890">
        <w:tc>
          <w:tcPr>
            <w:tcW w:w="1134" w:type="dxa"/>
          </w:tcPr>
          <w:p w14:paraId="760D9D3E" w14:textId="77777777" w:rsidR="004F6890" w:rsidRPr="00330A6B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330A6B">
              <w:rPr>
                <w:rFonts w:eastAsia="Arial" w:cstheme="minorHAnsi"/>
                <w:sz w:val="20"/>
                <w:szCs w:val="20"/>
              </w:rPr>
              <w:t>Castanheira, 2018</w:t>
            </w:r>
          </w:p>
        </w:tc>
        <w:tc>
          <w:tcPr>
            <w:tcW w:w="7797" w:type="dxa"/>
          </w:tcPr>
          <w:p w14:paraId="0356492A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>Line-item: 60% mortality for both sexes</w:t>
            </w:r>
          </w:p>
        </w:tc>
      </w:tr>
      <w:tr w:rsidR="004F6890" w:rsidRPr="00F6627A" w14:paraId="39C080ED" w14:textId="77777777" w:rsidTr="004F6890">
        <w:tc>
          <w:tcPr>
            <w:tcW w:w="1134" w:type="dxa"/>
          </w:tcPr>
          <w:p w14:paraId="0D700913" w14:textId="77777777" w:rsidR="004F6890" w:rsidRPr="00330A6B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330A6B">
              <w:rPr>
                <w:rFonts w:cstheme="minorHAnsi"/>
                <w:sz w:val="20"/>
                <w:szCs w:val="20"/>
              </w:rPr>
              <w:t>Fay, 2018</w:t>
            </w:r>
          </w:p>
        </w:tc>
        <w:tc>
          <w:tcPr>
            <w:tcW w:w="7797" w:type="dxa"/>
          </w:tcPr>
          <w:p w14:paraId="1E18D56D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 xml:space="preserve">Line-item: </w:t>
            </w:r>
            <w:r w:rsidRPr="009B38B7">
              <w:rPr>
                <w:rFonts w:eastAsia="Times New Roman" w:cstheme="minorHAnsi"/>
                <w:sz w:val="20"/>
                <w:szCs w:val="20"/>
                <w:lang w:val="en-US"/>
              </w:rPr>
              <w:t>33% mortality for WT and 15% mortality for CD43-/- mice in both sexes</w:t>
            </w:r>
          </w:p>
        </w:tc>
      </w:tr>
      <w:tr w:rsidR="004F6890" w:rsidRPr="00F6627A" w14:paraId="0962B3D2" w14:textId="77777777" w:rsidTr="004F6890">
        <w:trPr>
          <w:trHeight w:val="476"/>
        </w:trPr>
        <w:tc>
          <w:tcPr>
            <w:tcW w:w="1134" w:type="dxa"/>
          </w:tcPr>
          <w:p w14:paraId="291EE522" w14:textId="77777777" w:rsidR="004F6890" w:rsidRPr="00330A6B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330A6B">
              <w:rPr>
                <w:rFonts w:cstheme="minorHAnsi"/>
                <w:sz w:val="20"/>
                <w:szCs w:val="20"/>
              </w:rPr>
              <w:t>Speer, 2025</w:t>
            </w:r>
          </w:p>
        </w:tc>
        <w:tc>
          <w:tcPr>
            <w:tcW w:w="7797" w:type="dxa"/>
          </w:tcPr>
          <w:p w14:paraId="21490572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9B38B7">
              <w:rPr>
                <w:rFonts w:cstheme="minorHAnsi"/>
                <w:sz w:val="20"/>
                <w:szCs w:val="20"/>
              </w:rPr>
              <w:t xml:space="preserve">Comparative analysis (no numerical data available): Renal IL-6 concentrations were reduced in response to GENT- and GENT + PTX compared to PTX alone in the male group, whereas PTX alone increased IL-6 in renal tissue and plasma of </w:t>
            </w:r>
            <w:r>
              <w:rPr>
                <w:rFonts w:cstheme="minorHAnsi"/>
                <w:sz w:val="20"/>
                <w:szCs w:val="20"/>
              </w:rPr>
              <w:t>f</w:t>
            </w:r>
            <w:r>
              <w:rPr>
                <w:rFonts w:cstheme="minorHAnsi"/>
              </w:rPr>
              <w:t>e</w:t>
            </w:r>
            <w:r w:rsidRPr="009B38B7">
              <w:rPr>
                <w:rFonts w:cstheme="minorHAnsi"/>
                <w:sz w:val="20"/>
                <w:szCs w:val="20"/>
              </w:rPr>
              <w:t>male mice</w:t>
            </w:r>
          </w:p>
        </w:tc>
      </w:tr>
      <w:tr w:rsidR="004F6890" w:rsidRPr="00F6627A" w14:paraId="0964C337" w14:textId="77777777" w:rsidTr="004F6890">
        <w:tc>
          <w:tcPr>
            <w:tcW w:w="1134" w:type="dxa"/>
          </w:tcPr>
          <w:p w14:paraId="2A9924C1" w14:textId="77777777" w:rsidR="004F6890" w:rsidRPr="00330A6B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330A6B">
              <w:rPr>
                <w:rFonts w:eastAsia="Arial" w:cstheme="minorHAnsi"/>
                <w:sz w:val="20"/>
                <w:szCs w:val="20"/>
              </w:rPr>
              <w:t xml:space="preserve">Perlee, </w:t>
            </w:r>
            <w:r>
              <w:rPr>
                <w:rFonts w:eastAsia="Arial" w:cstheme="minorHAnsi"/>
                <w:sz w:val="20"/>
                <w:szCs w:val="20"/>
              </w:rPr>
              <w:t>2020</w:t>
            </w:r>
          </w:p>
        </w:tc>
        <w:tc>
          <w:tcPr>
            <w:tcW w:w="7797" w:type="dxa"/>
          </w:tcPr>
          <w:p w14:paraId="5023D30F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>Line-item: general statement</w:t>
            </w:r>
            <w:r>
              <w:rPr>
                <w:rFonts w:cstheme="minorHAnsi"/>
                <w:sz w:val="20"/>
                <w:szCs w:val="20"/>
              </w:rPr>
              <w:t>:</w:t>
            </w:r>
            <w:r w:rsidRPr="009B38B7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N</w:t>
            </w:r>
            <w:r w:rsidRPr="009B38B7">
              <w:rPr>
                <w:rFonts w:cstheme="minorHAnsi"/>
                <w:sz w:val="20"/>
                <w:szCs w:val="20"/>
              </w:rPr>
              <w:t>o sex-dependent differences were observed in th</w:t>
            </w:r>
            <w:r>
              <w:rPr>
                <w:rFonts w:cstheme="minorHAnsi"/>
                <w:sz w:val="20"/>
                <w:szCs w:val="20"/>
              </w:rPr>
              <w:t>is study</w:t>
            </w:r>
          </w:p>
        </w:tc>
      </w:tr>
      <w:tr w:rsidR="004F6890" w:rsidRPr="00F6627A" w14:paraId="30FD04F4" w14:textId="77777777" w:rsidTr="004F6890">
        <w:tc>
          <w:tcPr>
            <w:tcW w:w="1134" w:type="dxa"/>
          </w:tcPr>
          <w:p w14:paraId="79A1C382" w14:textId="77777777" w:rsidR="004F6890" w:rsidRPr="00330A6B" w:rsidRDefault="004F6890" w:rsidP="00CB6D93">
            <w:pPr>
              <w:rPr>
                <w:rFonts w:eastAsia="Arial" w:cstheme="minorHAnsi"/>
                <w:sz w:val="20"/>
                <w:szCs w:val="20"/>
              </w:rPr>
            </w:pPr>
            <w:r w:rsidRPr="00330A6B">
              <w:rPr>
                <w:rFonts w:eastAsia="Arial" w:cstheme="minorHAnsi"/>
                <w:sz w:val="20"/>
                <w:szCs w:val="20"/>
              </w:rPr>
              <w:t>Paik, 2019</w:t>
            </w:r>
          </w:p>
        </w:tc>
        <w:tc>
          <w:tcPr>
            <w:tcW w:w="7797" w:type="dxa"/>
          </w:tcPr>
          <w:p w14:paraId="4DD64AB6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 xml:space="preserve">Line-item: General statement: No noticeable differences between male and female mice were observed. </w:t>
            </w:r>
            <w:r w:rsidRPr="009B38B7">
              <w:rPr>
                <w:rFonts w:cstheme="minorHAnsi"/>
                <w:i/>
                <w:iCs/>
                <w:sz w:val="20"/>
                <w:szCs w:val="20"/>
                <w:lang w:val="en-CA"/>
              </w:rPr>
              <w:t>I</w:t>
            </w:r>
            <w:proofErr w:type="spellStart"/>
            <w:r w:rsidRPr="009B38B7">
              <w:rPr>
                <w:rFonts w:cstheme="minorHAnsi"/>
                <w:i/>
                <w:iCs/>
                <w:sz w:val="20"/>
                <w:szCs w:val="20"/>
              </w:rPr>
              <w:t>t</w:t>
            </w:r>
            <w:proofErr w:type="spellEnd"/>
            <w:r w:rsidRPr="009B38B7">
              <w:rPr>
                <w:rFonts w:cstheme="minorHAnsi"/>
                <w:i/>
                <w:iCs/>
                <w:sz w:val="20"/>
                <w:szCs w:val="20"/>
              </w:rPr>
              <w:t xml:space="preserve"> is unclear whether this </w:t>
            </w:r>
            <w:r w:rsidRPr="00E910B7">
              <w:rPr>
                <w:rFonts w:cstheme="minorHAnsi"/>
                <w:i/>
                <w:iCs/>
                <w:sz w:val="20"/>
                <w:szCs w:val="20"/>
              </w:rPr>
              <w:t>comparison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 xml:space="preserve">refers to </w:t>
            </w:r>
            <w:r w:rsidRPr="00BA1B70">
              <w:rPr>
                <w:rFonts w:cstheme="minorHAnsi"/>
                <w:i/>
                <w:iCs/>
                <w:sz w:val="20"/>
                <w:szCs w:val="20"/>
              </w:rPr>
              <w:t>phenotypic differences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 xml:space="preserve"> at study initiation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(before sepsis/treatment) 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>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after experimental conditions or outcomes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</w:tc>
      </w:tr>
      <w:tr w:rsidR="004F6890" w:rsidRPr="00F6627A" w14:paraId="11813593" w14:textId="77777777" w:rsidTr="004F6890">
        <w:tc>
          <w:tcPr>
            <w:tcW w:w="1134" w:type="dxa"/>
          </w:tcPr>
          <w:p w14:paraId="75B3E080" w14:textId="77777777" w:rsidR="004F6890" w:rsidRPr="00330A6B" w:rsidRDefault="004F6890" w:rsidP="00CB6D93">
            <w:pPr>
              <w:rPr>
                <w:rFonts w:eastAsia="Arial" w:cstheme="minorHAnsi"/>
                <w:sz w:val="20"/>
                <w:szCs w:val="20"/>
              </w:rPr>
            </w:pPr>
            <w:proofErr w:type="spellStart"/>
            <w:r w:rsidRPr="00330A6B">
              <w:rPr>
                <w:rFonts w:eastAsia="Arial" w:cstheme="minorHAnsi"/>
                <w:sz w:val="20"/>
                <w:szCs w:val="20"/>
              </w:rPr>
              <w:t>Laukova</w:t>
            </w:r>
            <w:proofErr w:type="spellEnd"/>
            <w:r w:rsidRPr="00330A6B">
              <w:rPr>
                <w:rFonts w:eastAsia="Arial" w:cstheme="minorHAnsi"/>
                <w:sz w:val="20"/>
                <w:szCs w:val="20"/>
              </w:rPr>
              <w:t>, 2017</w:t>
            </w:r>
          </w:p>
        </w:tc>
        <w:tc>
          <w:tcPr>
            <w:tcW w:w="7797" w:type="dxa"/>
          </w:tcPr>
          <w:p w14:paraId="10B882DE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>Line-item: Similar mortality in both sexes</w:t>
            </w:r>
          </w:p>
        </w:tc>
      </w:tr>
      <w:tr w:rsidR="004F6890" w:rsidRPr="00F6627A" w14:paraId="04F29F8E" w14:textId="77777777" w:rsidTr="004F6890">
        <w:tc>
          <w:tcPr>
            <w:tcW w:w="1134" w:type="dxa"/>
          </w:tcPr>
          <w:p w14:paraId="24F1015A" w14:textId="77777777" w:rsidR="004F6890" w:rsidRPr="00330A6B" w:rsidRDefault="004F6890" w:rsidP="00CB6D93">
            <w:pPr>
              <w:rPr>
                <w:rFonts w:eastAsia="Arial" w:cstheme="minorHAnsi"/>
                <w:sz w:val="20"/>
                <w:szCs w:val="20"/>
              </w:rPr>
            </w:pPr>
            <w:r w:rsidRPr="00330A6B">
              <w:rPr>
                <w:rFonts w:eastAsia="Arial" w:cstheme="minorHAnsi"/>
                <w:sz w:val="20"/>
                <w:szCs w:val="20"/>
              </w:rPr>
              <w:t>Tomlinson</w:t>
            </w:r>
            <w:r>
              <w:rPr>
                <w:rFonts w:eastAsia="Arial" w:cstheme="minorHAnsi"/>
                <w:sz w:val="20"/>
                <w:szCs w:val="20"/>
              </w:rPr>
              <w:t>, 2017</w:t>
            </w:r>
          </w:p>
        </w:tc>
        <w:tc>
          <w:tcPr>
            <w:tcW w:w="7797" w:type="dxa"/>
          </w:tcPr>
          <w:p w14:paraId="4CCD8EF8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>Line-item: No sex effect was observed in the outcome of survival</w:t>
            </w:r>
          </w:p>
        </w:tc>
      </w:tr>
      <w:tr w:rsidR="004F6890" w:rsidRPr="00F6627A" w14:paraId="0285747B" w14:textId="77777777" w:rsidTr="004F6890">
        <w:tc>
          <w:tcPr>
            <w:tcW w:w="1134" w:type="dxa"/>
          </w:tcPr>
          <w:p w14:paraId="6ADFCDCB" w14:textId="77777777" w:rsidR="004F6890" w:rsidRPr="00330A6B" w:rsidRDefault="004F6890" w:rsidP="00CB6D93">
            <w:pPr>
              <w:rPr>
                <w:rFonts w:eastAsia="Arial" w:cstheme="minorHAnsi"/>
                <w:sz w:val="20"/>
                <w:szCs w:val="20"/>
              </w:rPr>
            </w:pPr>
            <w:r w:rsidRPr="00330A6B">
              <w:rPr>
                <w:rFonts w:eastAsia="Arial" w:cstheme="minorHAnsi"/>
                <w:sz w:val="20"/>
                <w:szCs w:val="20"/>
              </w:rPr>
              <w:t>Vered, 2014</w:t>
            </w:r>
          </w:p>
        </w:tc>
        <w:tc>
          <w:tcPr>
            <w:tcW w:w="7797" w:type="dxa"/>
          </w:tcPr>
          <w:p w14:paraId="26E6E254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9B38B7">
              <w:rPr>
                <w:rFonts w:cstheme="minorHAnsi"/>
                <w:sz w:val="20"/>
                <w:szCs w:val="20"/>
              </w:rPr>
              <w:t xml:space="preserve">Line-item: Sex significantly influenced survival to 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 xml:space="preserve">K. pneumoniae </w:t>
            </w:r>
            <w:r w:rsidRPr="009B38B7">
              <w:rPr>
                <w:rFonts w:cstheme="minorHAnsi"/>
                <w:sz w:val="20"/>
                <w:szCs w:val="20"/>
              </w:rPr>
              <w:t>infection, with females exhibiting greater resistance to infection than males</w:t>
            </w:r>
            <w:r w:rsidRPr="009B38B7">
              <w:rPr>
                <w:rFonts w:cstheme="minorHAnsi"/>
                <w:sz w:val="20"/>
                <w:szCs w:val="20"/>
                <w:lang w:val="en-CA"/>
              </w:rPr>
              <w:t xml:space="preserve"> (mean survival days of 4.86 and 3.71, respectively).</w:t>
            </w:r>
          </w:p>
        </w:tc>
      </w:tr>
      <w:tr w:rsidR="004F6890" w:rsidRPr="00F6627A" w14:paraId="40D5A32C" w14:textId="77777777" w:rsidTr="004F6890">
        <w:tc>
          <w:tcPr>
            <w:tcW w:w="1134" w:type="dxa"/>
          </w:tcPr>
          <w:p w14:paraId="54D23C7E" w14:textId="77777777" w:rsidR="004F6890" w:rsidRPr="00330A6B" w:rsidRDefault="004F6890" w:rsidP="00CB6D93">
            <w:pPr>
              <w:rPr>
                <w:rFonts w:eastAsia="Arial" w:cstheme="minorHAnsi"/>
                <w:sz w:val="20"/>
                <w:szCs w:val="20"/>
              </w:rPr>
            </w:pPr>
            <w:r>
              <w:rPr>
                <w:rFonts w:eastAsia="Arial" w:cstheme="minorHAnsi"/>
                <w:sz w:val="20"/>
                <w:szCs w:val="20"/>
              </w:rPr>
              <w:t>Short, 2013</w:t>
            </w:r>
          </w:p>
        </w:tc>
        <w:tc>
          <w:tcPr>
            <w:tcW w:w="7797" w:type="dxa"/>
          </w:tcPr>
          <w:p w14:paraId="20679541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 xml:space="preserve">Line-item: General statement: </w:t>
            </w:r>
            <w:r w:rsidRPr="009B38B7">
              <w:rPr>
                <w:rFonts w:cstheme="minorHAnsi"/>
                <w:sz w:val="20"/>
                <w:szCs w:val="20"/>
                <w:lang w:val="en-CA"/>
              </w:rPr>
              <w:t>No significant differences between sexes w</w:t>
            </w:r>
            <w:r>
              <w:rPr>
                <w:rFonts w:cstheme="minorHAnsi"/>
                <w:sz w:val="20"/>
                <w:szCs w:val="20"/>
                <w:lang w:val="en-CA"/>
              </w:rPr>
              <w:t>ere</w:t>
            </w:r>
            <w:r w:rsidRPr="009B38B7">
              <w:rPr>
                <w:rFonts w:cstheme="minorHAnsi"/>
                <w:sz w:val="20"/>
                <w:szCs w:val="20"/>
                <w:lang w:val="en-CA"/>
              </w:rPr>
              <w:t xml:space="preserve"> observed in this study. </w:t>
            </w:r>
            <w:r w:rsidRPr="009B38B7">
              <w:rPr>
                <w:rFonts w:cstheme="minorHAnsi"/>
                <w:i/>
                <w:iCs/>
                <w:sz w:val="20"/>
                <w:szCs w:val="20"/>
                <w:lang w:val="en-CA"/>
              </w:rPr>
              <w:t>I</w:t>
            </w:r>
            <w:proofErr w:type="spellStart"/>
            <w:r w:rsidRPr="009B38B7">
              <w:rPr>
                <w:rFonts w:cstheme="minorHAnsi"/>
                <w:i/>
                <w:iCs/>
                <w:sz w:val="20"/>
                <w:szCs w:val="20"/>
              </w:rPr>
              <w:t>t</w:t>
            </w:r>
            <w:proofErr w:type="spellEnd"/>
            <w:r w:rsidRPr="009B38B7">
              <w:rPr>
                <w:rFonts w:cstheme="minorHAnsi"/>
                <w:i/>
                <w:iCs/>
                <w:sz w:val="20"/>
                <w:szCs w:val="20"/>
              </w:rPr>
              <w:t xml:space="preserve"> is unclear whether this </w:t>
            </w:r>
            <w:r w:rsidRPr="00E910B7">
              <w:rPr>
                <w:rFonts w:cstheme="minorHAnsi"/>
                <w:i/>
                <w:iCs/>
                <w:sz w:val="20"/>
                <w:szCs w:val="20"/>
              </w:rPr>
              <w:t>comparison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 xml:space="preserve">refers to </w:t>
            </w:r>
            <w:r w:rsidRPr="00BA1B70">
              <w:rPr>
                <w:rFonts w:cstheme="minorHAnsi"/>
                <w:i/>
                <w:iCs/>
                <w:sz w:val="20"/>
                <w:szCs w:val="20"/>
              </w:rPr>
              <w:t>phenotypic differences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 xml:space="preserve"> at study initiation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(before sepsis/treatment) 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>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after experimental conditions or outcomes</w:t>
            </w:r>
            <w:r w:rsidRPr="009B38B7"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</w:tc>
      </w:tr>
      <w:tr w:rsidR="004F6890" w:rsidRPr="00F6627A" w14:paraId="61677C47" w14:textId="77777777" w:rsidTr="004F6890">
        <w:tc>
          <w:tcPr>
            <w:tcW w:w="1134" w:type="dxa"/>
          </w:tcPr>
          <w:p w14:paraId="5EE1B08A" w14:textId="77777777" w:rsidR="004F6890" w:rsidRPr="00330A6B" w:rsidRDefault="004F6890" w:rsidP="00CB6D93">
            <w:pPr>
              <w:rPr>
                <w:rFonts w:eastAsia="Arial" w:cstheme="minorHAnsi"/>
                <w:sz w:val="20"/>
                <w:szCs w:val="20"/>
              </w:rPr>
            </w:pPr>
            <w:r w:rsidRPr="00330A6B">
              <w:rPr>
                <w:rFonts w:eastAsia="Arial" w:cstheme="minorHAnsi"/>
                <w:sz w:val="20"/>
                <w:szCs w:val="20"/>
              </w:rPr>
              <w:t>Breslow</w:t>
            </w:r>
            <w:r>
              <w:rPr>
                <w:rFonts w:eastAsia="Arial" w:cstheme="minorHAnsi"/>
                <w:sz w:val="20"/>
                <w:szCs w:val="20"/>
              </w:rPr>
              <w:t>, 2011</w:t>
            </w:r>
          </w:p>
        </w:tc>
        <w:tc>
          <w:tcPr>
            <w:tcW w:w="7797" w:type="dxa"/>
          </w:tcPr>
          <w:p w14:paraId="133E8B02" w14:textId="77777777" w:rsidR="004F6890" w:rsidRPr="009B38B7" w:rsidRDefault="004F6890" w:rsidP="00CB6D93">
            <w:pPr>
              <w:rPr>
                <w:rFonts w:cstheme="minorHAnsi"/>
                <w:sz w:val="20"/>
                <w:szCs w:val="20"/>
              </w:rPr>
            </w:pPr>
            <w:r w:rsidRPr="009B38B7">
              <w:rPr>
                <w:rFonts w:cstheme="minorHAnsi"/>
                <w:sz w:val="20"/>
                <w:szCs w:val="20"/>
              </w:rPr>
              <w:t xml:space="preserve">Line-item: </w:t>
            </w:r>
            <w:r w:rsidRPr="009B38B7">
              <w:rPr>
                <w:rFonts w:cstheme="minorHAnsi"/>
                <w:color w:val="000000"/>
                <w:sz w:val="20"/>
                <w:szCs w:val="20"/>
              </w:rPr>
              <w:t xml:space="preserve">The only relevant sex stratified data is the LD50 of </w:t>
            </w:r>
            <w:r w:rsidRPr="009B38B7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9B38B7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baumanii</w:t>
            </w:r>
            <w:proofErr w:type="spellEnd"/>
            <w:r w:rsidRPr="009B38B7">
              <w:rPr>
                <w:rFonts w:cstheme="minorHAnsi"/>
                <w:color w:val="000000"/>
                <w:sz w:val="20"/>
                <w:szCs w:val="20"/>
              </w:rPr>
              <w:t xml:space="preserve"> in two different strains of mice. No significant differences between sexes were observed.</w:t>
            </w:r>
          </w:p>
        </w:tc>
      </w:tr>
    </w:tbl>
    <w:p w14:paraId="22C2E17F" w14:textId="333196FC" w:rsidR="00DA4822" w:rsidRDefault="00DA4822"/>
    <w:sectPr w:rsidR="00DA48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90"/>
    <w:rsid w:val="004F6890"/>
    <w:rsid w:val="0051799B"/>
    <w:rsid w:val="00574FEA"/>
    <w:rsid w:val="005B48A7"/>
    <w:rsid w:val="005D1811"/>
    <w:rsid w:val="006B754A"/>
    <w:rsid w:val="0093509C"/>
    <w:rsid w:val="009F636D"/>
    <w:rsid w:val="00A33B97"/>
    <w:rsid w:val="00C35CE1"/>
    <w:rsid w:val="00D40405"/>
    <w:rsid w:val="00DA4822"/>
    <w:rsid w:val="00DD2FEF"/>
    <w:rsid w:val="00FE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D0063"/>
  <w15:chartTrackingRefBased/>
  <w15:docId w15:val="{77C9EFD1-70BE-4C31-9554-477A3C6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890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6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890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4F6890"/>
  </w:style>
  <w:style w:type="character" w:styleId="CommentReference">
    <w:name w:val="annotation reference"/>
    <w:basedOn w:val="DefaultParagraphFont"/>
    <w:uiPriority w:val="99"/>
    <w:semiHidden/>
    <w:unhideWhenUsed/>
    <w:rsid w:val="004F6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68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6890"/>
    <w:rPr>
      <w:kern w:val="0"/>
      <w:sz w:val="20"/>
      <w:szCs w:val="20"/>
      <w:lang w:val="en-GB"/>
      <w14:ligatures w14:val="none"/>
    </w:rPr>
  </w:style>
  <w:style w:type="table" w:styleId="TableGrid">
    <w:name w:val="Table Grid"/>
    <w:basedOn w:val="TableNormal"/>
    <w:uiPriority w:val="39"/>
    <w:rsid w:val="004F6890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59E5DCECE564FA10C6398EE97DD9D" ma:contentTypeVersion="21" ma:contentTypeDescription="Create a new document." ma:contentTypeScope="" ma:versionID="0a4a4f567a6b6f6124f6b8602d9aed8e">
  <xsd:schema xmlns:xsd="http://www.w3.org/2001/XMLSchema" xmlns:xs="http://www.w3.org/2001/XMLSchema" xmlns:p="http://schemas.microsoft.com/office/2006/metadata/properties" xmlns:ns1="http://schemas.microsoft.com/sharepoint/v3" xmlns:ns2="656be2df-9102-49c3-a304-3ca3d909afcc" xmlns:ns3="8e132c6d-ff9c-4589-9da1-cde70267966d" targetNamespace="http://schemas.microsoft.com/office/2006/metadata/properties" ma:root="true" ma:fieldsID="538b3791af8380d758b350a514bc8edd" ns1:_="" ns2:_="" ns3:_="">
    <xsd:import namespace="http://schemas.microsoft.com/sharepoint/v3"/>
    <xsd:import namespace="656be2df-9102-49c3-a304-3ca3d909afcc"/>
    <xsd:import namespace="8e132c6d-ff9c-4589-9da1-cde702679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e2df-9102-49c3-a304-3ca3d909a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218295f-687b-4006-a255-510d9d5ee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2c6d-ff9c-4589-9da1-cde7026796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bc1f473-a211-4320-bc4c-4e0ab64acc4f}" ma:internalName="TaxCatchAll" ma:showField="CatchAllData" ma:web="8e132c6d-ff9c-4589-9da1-cde702679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56be2df-9102-49c3-a304-3ca3d909afcc">
      <Terms xmlns="http://schemas.microsoft.com/office/infopath/2007/PartnerControls"/>
    </lcf76f155ced4ddcb4097134ff3c332f>
    <_ip_UnifiedCompliancePolicyProperties xmlns="http://schemas.microsoft.com/sharepoint/v3" xsi:nil="true"/>
    <TaxCatchAll xmlns="8e132c6d-ff9c-4589-9da1-cde70267966d" xsi:nil="true"/>
  </documentManagement>
</p:properties>
</file>

<file path=customXml/itemProps1.xml><?xml version="1.0" encoding="utf-8"?>
<ds:datastoreItem xmlns:ds="http://schemas.openxmlformats.org/officeDocument/2006/customXml" ds:itemID="{0F4FE899-C68C-45CA-897F-DD504CD4D7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65E7E9-EA86-4F90-BBB2-9C66742ED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56be2df-9102-49c3-a304-3ca3d909afcc"/>
    <ds:schemaRef ds:uri="8e132c6d-ff9c-4589-9da1-cde702679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06BA8-D8BA-4AFA-B2FB-BC232A4AA3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CDEB12-1FC3-4883-AAA2-33162AFD8F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56be2df-9102-49c3-a304-3ca3d909afcc"/>
    <ds:schemaRef ds:uri="8e132c6d-ff9c-4589-9da1-cde7026796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Forough Jahandideh</dc:creator>
  <cp:keywords/>
  <dc:description/>
  <cp:lastModifiedBy>Forough Jahandideh</cp:lastModifiedBy>
  <cp:revision>2</cp:revision>
  <dcterms:created xsi:type="dcterms:W3CDTF">2026-05-28T15:48:00Z</dcterms:created>
  <dcterms:modified xsi:type="dcterms:W3CDTF">2026-05-28T19:48:00Z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0x0101006DD59E5DCECE564FA10C6398EE97DD9D</vt:lpwstr>
  </property>
  <property fmtid="{D5CDD505-2E9C-101B-9397-08002B2CF9AE}" pid="3" name="MediaServiceImageTags">
    <vt:lpwstr/>
  </property>
</Properties>
</file>