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A84" w:rsidRDefault="00876866">
      <w:r w:rsidRPr="00876866">
        <w:rPr>
          <w:noProof/>
          <w:lang w:val="en-IN" w:eastAsia="en-IN"/>
        </w:rPr>
        <w:drawing>
          <wp:inline distT="0" distB="0" distL="0" distR="0">
            <wp:extent cx="2959100" cy="3847465"/>
            <wp:effectExtent l="0" t="0" r="0" b="635"/>
            <wp:docPr id="2" name="Picture 2" descr="D:\Users\uchemadmin\Desktop\MS\Publications\nontarget_homol\JChemInfo\Figures_revised\Figure_SI_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chemadmin\Desktop\MS\Publications\nontarget_homol\JChemInfo\Figures_revised\Figure_SI_crop.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9100" cy="3847465"/>
                    </a:xfrm>
                    <a:prstGeom prst="rect">
                      <a:avLst/>
                    </a:prstGeom>
                    <a:noFill/>
                    <a:ln>
                      <a:noFill/>
                    </a:ln>
                  </pic:spPr>
                </pic:pic>
              </a:graphicData>
            </a:graphic>
          </wp:inline>
        </w:drawing>
      </w:r>
    </w:p>
    <w:p w:rsidR="00912462" w:rsidRDefault="00912462"/>
    <w:p w:rsidR="00AC3FD0" w:rsidRPr="00A70706" w:rsidRDefault="00AD33B7" w:rsidP="00AC3FD0">
      <w:pPr>
        <w:pStyle w:val="TAMainText"/>
        <w:rPr>
          <w:bCs/>
        </w:rPr>
      </w:pPr>
      <w:bookmarkStart w:id="0" w:name="_Toc428971878"/>
      <w:r w:rsidRPr="00912462">
        <w:rPr>
          <w:rStyle w:val="Heading1Char"/>
          <w:rFonts w:ascii="Times New Roman" w:hAnsi="Times New Roman" w:cs="Times New Roman"/>
          <w:color w:val="auto"/>
          <w:sz w:val="20"/>
          <w:szCs w:val="20"/>
        </w:rPr>
        <w:t>Figure S</w:t>
      </w:r>
      <w:r w:rsidR="00CF1EC9">
        <w:rPr>
          <w:rStyle w:val="Heading1Char"/>
          <w:rFonts w:ascii="Times New Roman" w:hAnsi="Times New Roman" w:cs="Times New Roman"/>
          <w:color w:val="auto"/>
          <w:sz w:val="20"/>
          <w:szCs w:val="20"/>
        </w:rPr>
        <w:t>4</w:t>
      </w:r>
      <w:r w:rsidR="00AB4827" w:rsidRPr="00912462">
        <w:rPr>
          <w:rStyle w:val="Heading1Char"/>
          <w:rFonts w:ascii="Times New Roman" w:hAnsi="Times New Roman" w:cs="Times New Roman"/>
          <w:color w:val="auto"/>
          <w:sz w:val="20"/>
          <w:szCs w:val="20"/>
        </w:rPr>
        <w:t>.</w:t>
      </w:r>
      <w:bookmarkEnd w:id="0"/>
      <w:r w:rsidR="00AB4827" w:rsidRPr="00912462">
        <w:rPr>
          <w:sz w:val="20"/>
          <w:szCs w:val="20"/>
        </w:rPr>
        <w:t xml:space="preserve"> </w:t>
      </w:r>
      <w:proofErr w:type="spellStart"/>
      <w:r w:rsidR="00AB4827" w:rsidRPr="00912462">
        <w:rPr>
          <w:sz w:val="20"/>
          <w:szCs w:val="20"/>
        </w:rPr>
        <w:t>SOM</w:t>
      </w:r>
      <w:proofErr w:type="spellEnd"/>
      <w:r w:rsidR="00AB4827" w:rsidRPr="00912462">
        <w:rPr>
          <w:sz w:val="20"/>
          <w:szCs w:val="20"/>
        </w:rPr>
        <w:t xml:space="preserve"> results for all series pairs </w:t>
      </w:r>
      <w:r w:rsidR="00745132">
        <w:rPr>
          <w:sz w:val="20"/>
          <w:szCs w:val="20"/>
        </w:rPr>
        <w:t>detected in the</w:t>
      </w:r>
      <w:r w:rsidR="00AB4827" w:rsidRPr="00912462">
        <w:rPr>
          <w:sz w:val="20"/>
          <w:szCs w:val="20"/>
        </w:rPr>
        <w:t xml:space="preserve"> STP sample with ID=1 (positive mode), complementin</w:t>
      </w:r>
      <w:r w:rsidR="00C02DE5" w:rsidRPr="00912462">
        <w:rPr>
          <w:sz w:val="20"/>
          <w:szCs w:val="20"/>
        </w:rPr>
        <w:t xml:space="preserve">g Figure 2 in the main article. </w:t>
      </w:r>
      <w:r w:rsidR="00AB4827" w:rsidRPr="00912462">
        <w:rPr>
          <w:sz w:val="20"/>
          <w:szCs w:val="20"/>
        </w:rPr>
        <w:t xml:space="preserve">Coloring of </w:t>
      </w:r>
      <w:r w:rsidR="00C02DE5" w:rsidRPr="00912462">
        <w:rPr>
          <w:sz w:val="20"/>
          <w:szCs w:val="20"/>
        </w:rPr>
        <w:t>top and bottom</w:t>
      </w:r>
      <w:r w:rsidR="00AB4827" w:rsidRPr="00912462">
        <w:rPr>
          <w:sz w:val="20"/>
          <w:szCs w:val="20"/>
        </w:rPr>
        <w:t xml:space="preserve"> panels depict</w:t>
      </w:r>
      <w:r w:rsidR="003727D8" w:rsidRPr="00912462">
        <w:rPr>
          <w:sz w:val="20"/>
          <w:szCs w:val="20"/>
        </w:rPr>
        <w:t xml:space="preserve"> </w:t>
      </w:r>
      <w:proofErr w:type="gramStart"/>
      <w:r w:rsidR="003727D8" w:rsidRPr="00912462">
        <w:rPr>
          <w:sz w:val="20"/>
          <w:szCs w:val="20"/>
        </w:rPr>
        <w:t>the</w:t>
      </w:r>
      <w:r w:rsidR="00AB4827" w:rsidRPr="00912462">
        <w:rPr>
          <w:sz w:val="20"/>
          <w:szCs w:val="20"/>
        </w:rPr>
        <w:t xml:space="preserve"> </w:t>
      </w:r>
      <m:oMath>
        <m:acc>
          <m:accPr>
            <m:chr m:val="̅"/>
            <m:ctrlPr>
              <w:rPr>
                <w:rFonts w:ascii="Cambria Math" w:hAnsi="Cambria Math"/>
                <w:sz w:val="20"/>
                <w:szCs w:val="20"/>
              </w:rPr>
            </m:ctrlPr>
          </m:accPr>
          <m:e>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RT</m:t>
                </m:r>
              </m:e>
              <m:sub>
                <m:r>
                  <w:rPr>
                    <w:rFonts w:ascii="Cambria Math" w:hAnsi="Cambria Math"/>
                    <w:sz w:val="20"/>
                    <w:szCs w:val="20"/>
                  </w:rPr>
                  <m:t>x</m:t>
                </m:r>
              </m:sub>
            </m:sSub>
          </m:e>
        </m:acc>
      </m:oMath>
      <w:r w:rsidR="00AB4827" w:rsidRPr="00912462">
        <w:rPr>
          <w:sz w:val="20"/>
          <w:szCs w:val="20"/>
        </w:rPr>
        <w:t xml:space="preserve"> </w:t>
      </w:r>
      <w:r w:rsidR="00AB4827" w:rsidRPr="00745132">
        <w:rPr>
          <w:sz w:val="20"/>
          <w:szCs w:val="20"/>
        </w:rPr>
        <w:t>and</w:t>
      </w:r>
      <w:proofErr w:type="gramEnd"/>
      <w:r w:rsidR="00AB4827" w:rsidRPr="00745132">
        <w:rPr>
          <w:sz w:val="20"/>
          <w:szCs w:val="20"/>
        </w:rPr>
        <w:t xml:space="preserve"> </w:t>
      </w:r>
      <m:oMath>
        <m:acc>
          <m:accPr>
            <m:chr m:val="̅"/>
            <m:ctrlPr>
              <w:rPr>
                <w:rFonts w:ascii="Cambria Math" w:hAnsi="Cambria Math"/>
                <w:sz w:val="20"/>
                <w:szCs w:val="20"/>
              </w:rPr>
            </m:ctrlPr>
          </m:accPr>
          <m:e>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RT</m:t>
                </m:r>
              </m:e>
              <m:sub>
                <m:r>
                  <w:rPr>
                    <w:rFonts w:ascii="Cambria Math" w:hAnsi="Cambria Math"/>
                    <w:sz w:val="20"/>
                    <w:szCs w:val="20"/>
                  </w:rPr>
                  <m:t>y</m:t>
                </m:r>
              </m:sub>
            </m:sSub>
          </m:e>
        </m:acc>
      </m:oMath>
      <w:r w:rsidR="00C02DE5" w:rsidRPr="00912462">
        <w:rPr>
          <w:sz w:val="20"/>
          <w:szCs w:val="20"/>
        </w:rPr>
        <w:t xml:space="preserve"> </w:t>
      </w:r>
      <w:r w:rsidR="003727D8" w:rsidRPr="00912462">
        <w:rPr>
          <w:sz w:val="20"/>
          <w:szCs w:val="20"/>
        </w:rPr>
        <w:t xml:space="preserve">values </w:t>
      </w:r>
      <w:r w:rsidR="00C02DE5" w:rsidRPr="00912462">
        <w:rPr>
          <w:sz w:val="20"/>
          <w:szCs w:val="20"/>
        </w:rPr>
        <w:t>at the SOM</w:t>
      </w:r>
      <w:r w:rsidR="00AB4827" w:rsidRPr="00912462">
        <w:rPr>
          <w:sz w:val="20"/>
          <w:szCs w:val="20"/>
        </w:rPr>
        <w:t xml:space="preserve"> grid nodes, </w:t>
      </w:r>
      <w:r w:rsidR="00C02DE5" w:rsidRPr="00912462">
        <w:rPr>
          <w:sz w:val="20"/>
          <w:szCs w:val="20"/>
        </w:rPr>
        <w:t>respectively.</w:t>
      </w:r>
      <w:r w:rsidR="00AC3FD0" w:rsidRPr="00CF1EC9">
        <w:rPr>
          <w:bCs/>
          <w:sz w:val="20"/>
          <w:szCs w:val="20"/>
        </w:rPr>
        <w:t xml:space="preserve"> Sizes of the black dots in the top panel indicate frequencies of monoisotopic series pairs mapped onto the nodes. In turn, black squares in the bottom panel either indicate the three nodes with highest frequencies at low intersection angles (</w:t>
      </w:r>
      <w:r w:rsidR="00AC3FD0" w:rsidRPr="00CF1EC9">
        <w:rPr>
          <w:bCs/>
          <w:i/>
          <w:sz w:val="20"/>
          <w:szCs w:val="20"/>
        </w:rPr>
        <w:t>θ&lt;0.08π, nodes 1-3</w:t>
      </w:r>
      <w:r w:rsidR="00AC3FD0" w:rsidRPr="00CF1EC9">
        <w:rPr>
          <w:bCs/>
          <w:sz w:val="20"/>
          <w:szCs w:val="20"/>
        </w:rPr>
        <w:t>) or nodes with highest mapping frequencies containing 50% of all monoisotopic series pairs at large</w:t>
      </w:r>
      <w:r w:rsidR="00CF1EC9">
        <w:rPr>
          <w:bCs/>
          <w:sz w:val="20"/>
          <w:szCs w:val="20"/>
        </w:rPr>
        <w:t xml:space="preserve"> </w:t>
      </w:r>
      <w:r w:rsidR="00AC3FD0" w:rsidRPr="00CF1EC9">
        <w:rPr>
          <w:bCs/>
          <w:sz w:val="20"/>
          <w:szCs w:val="20"/>
        </w:rPr>
        <w:t xml:space="preserve">intersection angles </w:t>
      </w:r>
      <w:r w:rsidR="00AC3FD0" w:rsidRPr="00CF1EC9">
        <w:rPr>
          <w:bCs/>
          <w:i/>
          <w:sz w:val="20"/>
          <w:szCs w:val="20"/>
        </w:rPr>
        <w:t>(θ≥0.08π, nodes 4-11)</w:t>
      </w:r>
      <w:r w:rsidR="00AC3FD0" w:rsidRPr="00CF1EC9">
        <w:rPr>
          <w:bCs/>
          <w:sz w:val="20"/>
          <w:szCs w:val="20"/>
        </w:rPr>
        <w:t>. The series mapped onto the latter</w:t>
      </w:r>
      <w:r w:rsidR="00501253">
        <w:rPr>
          <w:bCs/>
          <w:sz w:val="20"/>
          <w:szCs w:val="20"/>
        </w:rPr>
        <w:t xml:space="preserve"> nod</w:t>
      </w:r>
      <w:bookmarkStart w:id="1" w:name="_GoBack"/>
      <w:bookmarkEnd w:id="1"/>
      <w:r w:rsidR="00501253">
        <w:rPr>
          <w:bCs/>
          <w:sz w:val="20"/>
          <w:szCs w:val="20"/>
        </w:rPr>
        <w:t>es</w:t>
      </w:r>
      <w:r w:rsidR="00AC3FD0" w:rsidRPr="00CF1EC9">
        <w:rPr>
          <w:bCs/>
          <w:sz w:val="20"/>
          <w:szCs w:val="20"/>
        </w:rPr>
        <w:t xml:space="preserve"> are shown in Figure 3. Moreover, crosses highlight the mapping nodes of the superjacent series shown in </w:t>
      </w:r>
      <w:r w:rsidR="00AC3FD0" w:rsidRPr="003B00C0">
        <w:rPr>
          <w:bCs/>
          <w:color w:val="000000" w:themeColor="text1"/>
          <w:sz w:val="20"/>
          <w:szCs w:val="20"/>
        </w:rPr>
        <w:t>Figure S-</w:t>
      </w:r>
      <w:r w:rsidR="003B00C0">
        <w:rPr>
          <w:bCs/>
          <w:color w:val="000000" w:themeColor="text1"/>
          <w:sz w:val="20"/>
          <w:szCs w:val="20"/>
        </w:rPr>
        <w:t>6</w:t>
      </w:r>
      <w:r w:rsidR="00AC3FD0" w:rsidRPr="003B00C0">
        <w:rPr>
          <w:bCs/>
          <w:color w:val="000000" w:themeColor="text1"/>
          <w:sz w:val="20"/>
          <w:szCs w:val="20"/>
        </w:rPr>
        <w:t xml:space="preserve"> (Additional File </w:t>
      </w:r>
      <w:r w:rsidR="005042D5" w:rsidRPr="003B00C0">
        <w:rPr>
          <w:bCs/>
          <w:color w:val="000000" w:themeColor="text1"/>
          <w:sz w:val="20"/>
          <w:szCs w:val="20"/>
        </w:rPr>
        <w:t>15</w:t>
      </w:r>
      <w:r w:rsidR="00AC3FD0" w:rsidRPr="003B00C0">
        <w:rPr>
          <w:bCs/>
          <w:color w:val="000000" w:themeColor="text1"/>
          <w:sz w:val="20"/>
          <w:szCs w:val="20"/>
        </w:rPr>
        <w:t>).</w:t>
      </w:r>
    </w:p>
    <w:p w:rsidR="00AB4827" w:rsidRPr="00912462" w:rsidRDefault="00AB4827" w:rsidP="00AD33B7">
      <w:pPr>
        <w:jc w:val="both"/>
        <w:rPr>
          <w:rFonts w:ascii="Times New Roman" w:hAnsi="Times New Roman" w:cs="Times New Roman"/>
          <w:sz w:val="20"/>
          <w:szCs w:val="20"/>
          <w:lang w:val="en-US"/>
        </w:rPr>
      </w:pPr>
    </w:p>
    <w:sectPr w:rsidR="00AB4827" w:rsidRPr="00912462" w:rsidSect="0057513B">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4304"/>
    <w:rsid w:val="003727D8"/>
    <w:rsid w:val="003B00C0"/>
    <w:rsid w:val="00501253"/>
    <w:rsid w:val="005042D5"/>
    <w:rsid w:val="0057513B"/>
    <w:rsid w:val="00745132"/>
    <w:rsid w:val="007A2AB7"/>
    <w:rsid w:val="00876866"/>
    <w:rsid w:val="00912462"/>
    <w:rsid w:val="00920A82"/>
    <w:rsid w:val="00953A84"/>
    <w:rsid w:val="00A74304"/>
    <w:rsid w:val="00AB4827"/>
    <w:rsid w:val="00AB622D"/>
    <w:rsid w:val="00AC3FD0"/>
    <w:rsid w:val="00AD33B7"/>
    <w:rsid w:val="00BE1C04"/>
    <w:rsid w:val="00C02DE5"/>
    <w:rsid w:val="00C56835"/>
    <w:rsid w:val="00CF1EC9"/>
    <w:rsid w:val="00FA1509"/>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13B"/>
  </w:style>
  <w:style w:type="paragraph" w:styleId="Heading1">
    <w:name w:val="heading 1"/>
    <w:basedOn w:val="Normal"/>
    <w:next w:val="Normal"/>
    <w:link w:val="Heading1Char"/>
    <w:uiPriority w:val="9"/>
    <w:qFormat/>
    <w:rsid w:val="00AB4827"/>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509"/>
    <w:rPr>
      <w:rFonts w:ascii="Tahoma" w:hAnsi="Tahoma" w:cs="Tahoma"/>
      <w:sz w:val="16"/>
      <w:szCs w:val="16"/>
    </w:rPr>
  </w:style>
  <w:style w:type="character" w:customStyle="1" w:styleId="Heading1Char">
    <w:name w:val="Heading 1 Char"/>
    <w:basedOn w:val="DefaultParagraphFont"/>
    <w:link w:val="Heading1"/>
    <w:uiPriority w:val="9"/>
    <w:rsid w:val="00AB4827"/>
    <w:rPr>
      <w:rFonts w:asciiTheme="majorHAnsi" w:eastAsiaTheme="majorEastAsia" w:hAnsiTheme="majorHAnsi" w:cstheme="majorBidi"/>
      <w:b/>
      <w:bCs/>
      <w:color w:val="2E74B5" w:themeColor="accent1" w:themeShade="BF"/>
      <w:sz w:val="28"/>
      <w:szCs w:val="28"/>
      <w:lang w:val="en-US"/>
    </w:rPr>
  </w:style>
  <w:style w:type="paragraph" w:customStyle="1" w:styleId="TAMainText">
    <w:name w:val="TA_Main_Text"/>
    <w:basedOn w:val="Normal"/>
    <w:autoRedefine/>
    <w:rsid w:val="00AC3FD0"/>
    <w:pPr>
      <w:spacing w:after="60" w:line="480" w:lineRule="auto"/>
      <w:jc w:val="both"/>
    </w:pPr>
    <w:rPr>
      <w:rFonts w:ascii="Times New Roman" w:eastAsia="Times New Roman" w:hAnsi="Times New Roman" w:cs="Times New Roman"/>
      <w:kern w:val="21"/>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6957213-87E5-4927-8BFB-AE8A5B86A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720</Characters>
  <Application>Microsoft Office Word</Application>
  <DocSecurity>0</DocSecurity>
  <Lines>6</Lines>
  <Paragraphs>1</Paragraphs>
  <ScaleCrop>false</ScaleCrop>
  <Company>ETH Zuerich</Company>
  <LinksUpToDate>false</LinksUpToDate>
  <CharactersWithSpaces>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uchemadmin</dc:creator>
  <cp:keywords/>
  <dc:description/>
  <cp:lastModifiedBy>0010727</cp:lastModifiedBy>
  <cp:revision>23</cp:revision>
  <dcterms:created xsi:type="dcterms:W3CDTF">2016-04-08T11:20:00Z</dcterms:created>
  <dcterms:modified xsi:type="dcterms:W3CDTF">2017-02-10T14:37:00Z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American Chemical Society</vt:lpwstr>
  </property>
</Properties>
</file>