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22A" w:rsidRDefault="00EB70F9">
      <w:pPr>
        <w:pStyle w:val="BodyText1"/>
        <w:spacing w:line="360" w:lineRule="auto"/>
        <w:rPr>
          <w:b/>
          <w:lang w:val="en-ZA" w:bidi="ar-SA"/>
        </w:rPr>
      </w:pPr>
      <w:r>
        <w:rPr>
          <w:b/>
          <w:lang w:val="en-ZA" w:bidi="ar-SA"/>
        </w:rPr>
        <w:t>Molecular structures enumeration and virtual screening in the chemical space with RetroPath2.0</w:t>
      </w:r>
    </w:p>
    <w:p w:rsidR="0095622A" w:rsidRDefault="0095622A">
      <w:pPr>
        <w:pStyle w:val="BodyText1"/>
        <w:spacing w:after="120" w:line="360" w:lineRule="auto"/>
        <w:rPr>
          <w:lang w:val="en-ZA"/>
        </w:rPr>
      </w:pPr>
    </w:p>
    <w:p w:rsidR="0095622A" w:rsidRDefault="00EB70F9">
      <w:pPr>
        <w:pStyle w:val="BodyText10"/>
        <w:spacing w:after="120" w:line="480" w:lineRule="auto"/>
        <w:rPr>
          <w:sz w:val="22"/>
          <w:vertAlign w:val="superscript"/>
          <w:lang w:val="fr-FR"/>
        </w:rPr>
      </w:pPr>
      <w:r>
        <w:rPr>
          <w:sz w:val="22"/>
          <w:lang w:val="fr-FR"/>
        </w:rPr>
        <w:t>Mathilde Koch</w:t>
      </w:r>
      <w:r>
        <w:rPr>
          <w:sz w:val="22"/>
          <w:vertAlign w:val="superscript"/>
          <w:lang w:val="fr-FR"/>
        </w:rPr>
        <w:t>1</w:t>
      </w:r>
      <w:r>
        <w:rPr>
          <w:sz w:val="22"/>
          <w:lang w:val="fr-FR"/>
        </w:rPr>
        <w:t>, Thomas Duigou</w:t>
      </w:r>
      <w:r>
        <w:rPr>
          <w:sz w:val="22"/>
          <w:vertAlign w:val="superscript"/>
          <w:lang w:val="fr-FR"/>
        </w:rPr>
        <w:t>1</w:t>
      </w:r>
      <w:r>
        <w:rPr>
          <w:sz w:val="22"/>
          <w:lang w:val="fr-FR"/>
        </w:rPr>
        <w:t>, Pablo Carbonell</w:t>
      </w:r>
      <w:r>
        <w:rPr>
          <w:sz w:val="22"/>
          <w:vertAlign w:val="superscript"/>
          <w:lang w:val="fr-FR"/>
        </w:rPr>
        <w:t>2</w:t>
      </w:r>
      <w:r>
        <w:rPr>
          <w:sz w:val="22"/>
          <w:lang w:val="fr-FR"/>
        </w:rPr>
        <w:t>, Jean-Loup Faulon</w:t>
      </w:r>
      <w:r>
        <w:rPr>
          <w:sz w:val="22"/>
          <w:vertAlign w:val="superscript"/>
          <w:lang w:val="fr-FR"/>
        </w:rPr>
        <w:t>1,2,3,*</w:t>
      </w:r>
    </w:p>
    <w:p w:rsidR="0095622A" w:rsidRDefault="00EB70F9">
      <w:pPr>
        <w:spacing w:after="120" w:line="480" w:lineRule="auto"/>
        <w:rPr>
          <w:rFonts w:ascii="Times New Roman" w:hAnsi="Times New Roman" w:cs="Times New Roman"/>
        </w:rPr>
      </w:pPr>
      <w:r>
        <w:rPr>
          <w:rFonts w:ascii="Times New Roman" w:hAnsi="Times New Roman" w:cs="Times New Roman"/>
        </w:rPr>
        <w:t xml:space="preserve">1 Micalis Institute, INRA, AgroParisTech, Université Paris-Saclay, </w:t>
      </w:r>
      <w:r>
        <w:rPr>
          <w:rFonts w:ascii="Times New Roman" w:hAnsi="Times New Roman" w:cs="Times New Roman"/>
        </w:rPr>
        <w:t>78350 Jouy-en-Josas, France</w:t>
      </w:r>
    </w:p>
    <w:p w:rsidR="0095622A" w:rsidRDefault="00EB70F9">
      <w:pPr>
        <w:spacing w:after="120" w:line="480" w:lineRule="auto"/>
        <w:rPr>
          <w:rFonts w:ascii="Times New Roman" w:hAnsi="Times New Roman" w:cs="Times New Roman"/>
          <w:lang w:val="en-ZA"/>
        </w:rPr>
      </w:pPr>
      <w:r>
        <w:rPr>
          <w:rFonts w:ascii="Times New Roman" w:hAnsi="Times New Roman" w:cs="Times New Roman"/>
          <w:lang w:val="en-ZA"/>
        </w:rPr>
        <w:t>2 SYNBIOCHEM Centre, Manchester Institute of Biotechnology, University of Manchester, Manchester, UK</w:t>
      </w:r>
    </w:p>
    <w:p w:rsidR="0095622A" w:rsidRDefault="00EB70F9">
      <w:pPr>
        <w:spacing w:after="120" w:line="480" w:lineRule="auto"/>
        <w:rPr>
          <w:rFonts w:ascii="Times New Roman" w:hAnsi="Times New Roman" w:cs="Times New Roman"/>
        </w:rPr>
      </w:pPr>
      <w:r>
        <w:rPr>
          <w:rFonts w:ascii="Times New Roman" w:hAnsi="Times New Roman" w:cs="Times New Roman"/>
        </w:rPr>
        <w:t>3 CNRS-UMR8030 / Laboratoire iSSB, Université Paris-Saclay, Évry 91000, France</w:t>
      </w:r>
    </w:p>
    <w:p w:rsidR="0095622A" w:rsidRDefault="00EB70F9">
      <w:pPr>
        <w:spacing w:after="120" w:line="480" w:lineRule="auto"/>
        <w:rPr>
          <w:rFonts w:ascii="Times New Roman" w:hAnsi="Times New Roman" w:cs="Times New Roman"/>
        </w:rPr>
      </w:pPr>
      <w:r>
        <w:rPr>
          <w:rFonts w:ascii="Times New Roman" w:hAnsi="Times New Roman" w:cs="Times New Roman"/>
        </w:rPr>
        <w:t xml:space="preserve">*: Corresponding author </w:t>
      </w:r>
    </w:p>
    <w:p w:rsidR="0095622A" w:rsidRDefault="00EB70F9">
      <w:pPr>
        <w:spacing w:after="120" w:line="480" w:lineRule="auto"/>
      </w:pPr>
      <w:r>
        <w:rPr>
          <w:rFonts w:ascii="Times New Roman" w:hAnsi="Times New Roman" w:cs="Times New Roman"/>
        </w:rPr>
        <w:t>Mathilde Koch, Micalis,</w:t>
      </w:r>
      <w:r>
        <w:rPr>
          <w:rFonts w:ascii="Times New Roman" w:hAnsi="Times New Roman" w:cs="Times New Roman"/>
        </w:rPr>
        <w:t xml:space="preserve"> Institut National de la Recherche Agronomique, Domaine de Vilvert, 78352 Jouy-en-Josas, France; E-mail address: </w:t>
      </w:r>
      <w:hyperlink r:id="rId4">
        <w:r>
          <w:rPr>
            <w:rStyle w:val="InternetLink"/>
            <w:rFonts w:ascii="Times New Roman" w:hAnsi="Times New Roman" w:cs="Times New Roman"/>
          </w:rPr>
          <w:t>mathilde.koch@inra.fr</w:t>
        </w:r>
      </w:hyperlink>
    </w:p>
    <w:p w:rsidR="0095622A" w:rsidRDefault="00EB70F9">
      <w:pPr>
        <w:spacing w:after="120" w:line="480" w:lineRule="auto"/>
      </w:pPr>
      <w:r>
        <w:rPr>
          <w:rFonts w:ascii="Times New Roman" w:hAnsi="Times New Roman" w:cs="Times New Roman"/>
        </w:rPr>
        <w:t>Thomas Duigou, Micalis, Institut National de la Recherche Agronomique, Doma</w:t>
      </w:r>
      <w:r>
        <w:rPr>
          <w:rFonts w:ascii="Times New Roman" w:hAnsi="Times New Roman" w:cs="Times New Roman"/>
        </w:rPr>
        <w:t xml:space="preserve">ine de Vilvert, 78352 Jouy-en-Josas, France; E-mail address: </w:t>
      </w:r>
      <w:hyperlink r:id="rId5">
        <w:r>
          <w:rPr>
            <w:rStyle w:val="InternetLink"/>
            <w:rFonts w:ascii="Times New Roman" w:hAnsi="Times New Roman" w:cs="Times New Roman"/>
          </w:rPr>
          <w:t>thomas.duigou@inra.fr</w:t>
        </w:r>
      </w:hyperlink>
    </w:p>
    <w:p w:rsidR="0095622A" w:rsidRDefault="00EB70F9">
      <w:pPr>
        <w:spacing w:after="120" w:line="480" w:lineRule="auto"/>
        <w:rPr>
          <w:rFonts w:ascii="Times New Roman" w:hAnsi="Times New Roman" w:cs="Times New Roman"/>
          <w:lang w:val="en-ZA"/>
        </w:rPr>
      </w:pPr>
      <w:r>
        <w:rPr>
          <w:rFonts w:ascii="Times New Roman" w:hAnsi="Times New Roman" w:cs="Times New Roman"/>
          <w:lang w:val="en-ZA"/>
        </w:rPr>
        <w:t>Pablo Carbonell, SYNBIOCHEM Centre, Manchester Institute of Biotechnology, University of Manchester, 131 Princess Street Manche</w:t>
      </w:r>
      <w:r>
        <w:rPr>
          <w:rFonts w:ascii="Times New Roman" w:hAnsi="Times New Roman" w:cs="Times New Roman"/>
          <w:lang w:val="en-ZA"/>
        </w:rPr>
        <w:t>ster M1 7DN, UK; E-mail address: pablo.carbonell@manchester.ac.uk</w:t>
      </w:r>
    </w:p>
    <w:p w:rsidR="0095622A" w:rsidRDefault="00EB70F9">
      <w:pPr>
        <w:spacing w:after="120" w:line="480" w:lineRule="auto"/>
      </w:pPr>
      <w:r>
        <w:rPr>
          <w:rFonts w:ascii="Times New Roman" w:hAnsi="Times New Roman" w:cs="Times New Roman"/>
        </w:rPr>
        <w:t xml:space="preserve">Jean-Loup Faulon, Micalis, Institut National de la Recherche Agronomique, Domaine de Vilvert, 78352 Jouy-en-Josas, France; E-mail address: </w:t>
      </w:r>
      <w:hyperlink r:id="rId6">
        <w:r>
          <w:rPr>
            <w:rStyle w:val="InternetLink"/>
            <w:rFonts w:ascii="Times New Roman" w:hAnsi="Times New Roman" w:cs="Times New Roman"/>
          </w:rPr>
          <w:t>je</w:t>
        </w:r>
        <w:r>
          <w:rPr>
            <w:rStyle w:val="InternetLink"/>
            <w:rFonts w:ascii="Times New Roman" w:hAnsi="Times New Roman" w:cs="Times New Roman"/>
          </w:rPr>
          <w:t>an-loup.faulon@inra.fr</w:t>
        </w:r>
      </w:hyperlink>
    </w:p>
    <w:p w:rsidR="0095622A" w:rsidRDefault="0095622A">
      <w:pPr>
        <w:spacing w:after="120" w:line="360" w:lineRule="auto"/>
        <w:rPr>
          <w:rFonts w:ascii="Times New Roman" w:hAnsi="Times New Roman" w:cs="Times New Roman"/>
        </w:rPr>
      </w:pPr>
    </w:p>
    <w:p w:rsidR="0095622A" w:rsidRDefault="00EB70F9">
      <w:r>
        <w:br w:type="page"/>
      </w:r>
    </w:p>
    <w:p w:rsidR="0095622A" w:rsidRDefault="00EB70F9">
      <w:r>
        <w:rPr>
          <w:noProof/>
          <w:lang w:val="en-IN" w:eastAsia="en-IN"/>
        </w:rPr>
        <w:lastRenderedPageBreak/>
        <w:drawing>
          <wp:inline distT="0" distB="9525" distL="0" distR="0">
            <wp:extent cx="5734050" cy="3057525"/>
            <wp:effectExtent l="0" t="0" r="0" b="0"/>
            <wp:docPr id="1" name="Image 1" descr="time-vs-so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time-vs-soft.png"/>
                    <pic:cNvPicPr>
                      <a:picLocks noChangeAspect="1" noChangeArrowheads="1"/>
                    </pic:cNvPicPr>
                  </pic:nvPicPr>
                  <pic:blipFill>
                    <a:blip r:embed="rId7" cstate="print"/>
                    <a:stretch>
                      <a:fillRect/>
                    </a:stretch>
                  </pic:blipFill>
                  <pic:spPr bwMode="auto">
                    <a:xfrm>
                      <a:off x="0" y="0"/>
                      <a:ext cx="5734050" cy="3057525"/>
                    </a:xfrm>
                    <a:prstGeom prst="rect">
                      <a:avLst/>
                    </a:prstGeom>
                  </pic:spPr>
                </pic:pic>
              </a:graphicData>
            </a:graphic>
          </wp:inline>
        </w:drawing>
      </w:r>
    </w:p>
    <w:p w:rsidR="0095622A" w:rsidRDefault="00EB70F9">
      <w:pPr>
        <w:spacing w:line="360" w:lineRule="auto"/>
        <w:rPr>
          <w:lang w:val="en-ZA"/>
        </w:rPr>
      </w:pPr>
      <w:r>
        <w:rPr>
          <w:rFonts w:ascii="Times New Roman" w:hAnsi="Times New Roman" w:cs="Times New Roman"/>
          <w:b/>
          <w:lang w:val="en-ZA"/>
        </w:rPr>
        <w:t>Figure S1 :</w:t>
      </w:r>
      <w:r>
        <w:rPr>
          <w:rFonts w:ascii="Times New Roman" w:hAnsi="Times New Roman" w:cs="Times New Roman"/>
          <w:lang w:val="en-ZA"/>
        </w:rPr>
        <w:t xml:space="preserve"> Execution time for each tested software on the enumeration of alkane isomers.</w:t>
      </w:r>
    </w:p>
    <w:p w:rsidR="0095622A" w:rsidRDefault="0095622A">
      <w:pPr>
        <w:rPr>
          <w:lang w:val="en-ZA"/>
        </w:rPr>
      </w:pPr>
    </w:p>
    <w:p w:rsidR="0095622A" w:rsidRDefault="0095622A">
      <w:pPr>
        <w:rPr>
          <w:lang w:val="en-ZA"/>
        </w:rPr>
      </w:pPr>
    </w:p>
    <w:p w:rsidR="0095622A" w:rsidRDefault="00EB70F9">
      <w:pPr>
        <w:rPr>
          <w:rFonts w:ascii="Times New Roman" w:hAnsi="Times New Roman" w:cs="Times New Roman"/>
        </w:rPr>
      </w:pPr>
      <w:r>
        <w:rPr>
          <w:noProof/>
          <w:lang w:val="en-IN" w:eastAsia="en-IN"/>
        </w:rPr>
        <w:drawing>
          <wp:inline distT="0" distB="0" distL="0" distR="0">
            <wp:extent cx="4810125" cy="1929130"/>
            <wp:effectExtent l="0" t="0" r="0" b="0"/>
            <wp:docPr id="2" name="Graphiqu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que 6"/>
                    <pic:cNvPicPr>
                      <a:picLocks noChangeAspect="1" noChangeArrowheads="1"/>
                    </pic:cNvPicPr>
                  </pic:nvPicPr>
                  <pic:blipFill>
                    <a:blip r:embed="rId8" cstate="print"/>
                    <a:srcRect r="46953" b="48997"/>
                    <a:stretch>
                      <a:fillRect/>
                    </a:stretch>
                  </pic:blipFill>
                  <pic:spPr bwMode="auto">
                    <a:xfrm>
                      <a:off x="0" y="0"/>
                      <a:ext cx="4810125" cy="1929130"/>
                    </a:xfrm>
                    <a:prstGeom prst="rect">
                      <a:avLst/>
                    </a:prstGeom>
                  </pic:spPr>
                </pic:pic>
              </a:graphicData>
            </a:graphic>
          </wp:inline>
        </w:drawing>
      </w:r>
    </w:p>
    <w:p w:rsidR="0095622A" w:rsidRDefault="0095622A">
      <w:pPr>
        <w:spacing w:after="120" w:line="360" w:lineRule="auto"/>
        <w:rPr>
          <w:rFonts w:ascii="Times New Roman" w:hAnsi="Times New Roman" w:cs="Times New Roman"/>
          <w:b/>
        </w:rPr>
      </w:pPr>
    </w:p>
    <w:p w:rsidR="0095622A" w:rsidRDefault="00EB70F9">
      <w:pPr>
        <w:spacing w:after="120" w:line="360" w:lineRule="auto"/>
        <w:rPr>
          <w:rFonts w:ascii="Times New Roman" w:hAnsi="Times New Roman" w:cs="Times New Roman"/>
          <w:lang w:val="en-ZA"/>
        </w:rPr>
      </w:pPr>
      <w:r>
        <w:rPr>
          <w:rFonts w:ascii="Times New Roman" w:hAnsi="Times New Roman" w:cs="Times New Roman"/>
          <w:b/>
          <w:lang w:val="en-ZA"/>
        </w:rPr>
        <w:t>Figure S2.</w:t>
      </w:r>
      <w:r>
        <w:rPr>
          <w:rFonts w:ascii="Times New Roman" w:hAnsi="Times New Roman" w:cs="Times New Roman"/>
          <w:lang w:val="en-ZA"/>
        </w:rPr>
        <w:t xml:space="preserve"> Isomer transformation rule set. Reduced set excluding triple bonds. Reactions in green move bonds around without creating or deleting cycles. Reactions in blue change bond order by creating or deleting at least one cycle. To each reaction corresponds a re</w:t>
      </w:r>
      <w:r>
        <w:rPr>
          <w:rFonts w:ascii="Times New Roman" w:hAnsi="Times New Roman" w:cs="Times New Roman"/>
          <w:lang w:val="en-ZA"/>
        </w:rPr>
        <w:t>verse reaction. The reverse reaction of R</w:t>
      </w:r>
      <w:r>
        <w:rPr>
          <w:rFonts w:ascii="Times New Roman" w:hAnsi="Times New Roman" w:cs="Times New Roman"/>
          <w:vertAlign w:val="subscript"/>
          <w:lang w:val="en-ZA"/>
        </w:rPr>
        <w:t>1</w:t>
      </w:r>
      <w:r>
        <w:rPr>
          <w:rFonts w:ascii="Times New Roman" w:hAnsi="Times New Roman" w:cs="Times New Roman"/>
          <w:lang w:val="en-ZA"/>
        </w:rPr>
        <w:t xml:space="preserve"> is R</w:t>
      </w:r>
      <w:r>
        <w:rPr>
          <w:rFonts w:ascii="Times New Roman" w:hAnsi="Times New Roman" w:cs="Times New Roman"/>
          <w:vertAlign w:val="subscript"/>
          <w:lang w:val="en-ZA"/>
        </w:rPr>
        <w:t>1</w:t>
      </w:r>
      <w:r>
        <w:rPr>
          <w:rFonts w:ascii="Times New Roman" w:hAnsi="Times New Roman" w:cs="Times New Roman"/>
          <w:lang w:val="en-ZA"/>
        </w:rPr>
        <w:t>, for R</w:t>
      </w:r>
      <w:r>
        <w:rPr>
          <w:rFonts w:ascii="Times New Roman" w:hAnsi="Times New Roman" w:cs="Times New Roman"/>
          <w:vertAlign w:val="subscript"/>
          <w:lang w:val="en-ZA"/>
        </w:rPr>
        <w:t>2</w:t>
      </w:r>
      <w:r>
        <w:rPr>
          <w:rFonts w:ascii="Times New Roman" w:hAnsi="Times New Roman" w:cs="Times New Roman"/>
          <w:lang w:val="en-ZA"/>
        </w:rPr>
        <w:t xml:space="preserve"> it is R</w:t>
      </w:r>
      <w:r>
        <w:rPr>
          <w:rFonts w:ascii="Times New Roman" w:hAnsi="Times New Roman" w:cs="Times New Roman"/>
          <w:vertAlign w:val="subscript"/>
          <w:lang w:val="en-ZA"/>
        </w:rPr>
        <w:t>4</w:t>
      </w:r>
      <w:r>
        <w:rPr>
          <w:rFonts w:ascii="Times New Roman" w:hAnsi="Times New Roman" w:cs="Times New Roman"/>
          <w:lang w:val="en-ZA"/>
        </w:rPr>
        <w:t>, for R</w:t>
      </w:r>
      <w:r>
        <w:rPr>
          <w:rFonts w:ascii="Times New Roman" w:hAnsi="Times New Roman" w:cs="Times New Roman"/>
          <w:vertAlign w:val="subscript"/>
          <w:lang w:val="en-ZA"/>
        </w:rPr>
        <w:t>3</w:t>
      </w:r>
      <w:r>
        <w:rPr>
          <w:rFonts w:ascii="Times New Roman" w:hAnsi="Times New Roman" w:cs="Times New Roman"/>
          <w:lang w:val="en-ZA"/>
        </w:rPr>
        <w:t xml:space="preserve"> : R</w:t>
      </w:r>
      <w:r>
        <w:rPr>
          <w:rFonts w:ascii="Times New Roman" w:hAnsi="Times New Roman" w:cs="Times New Roman"/>
          <w:vertAlign w:val="subscript"/>
          <w:lang w:val="en-ZA"/>
        </w:rPr>
        <w:t>7</w:t>
      </w:r>
      <w:r>
        <w:rPr>
          <w:rFonts w:ascii="Times New Roman" w:hAnsi="Times New Roman" w:cs="Times New Roman"/>
          <w:lang w:val="en-ZA"/>
        </w:rPr>
        <w:t>, for R</w:t>
      </w:r>
      <w:r>
        <w:rPr>
          <w:rFonts w:ascii="Times New Roman" w:hAnsi="Times New Roman" w:cs="Times New Roman"/>
          <w:vertAlign w:val="subscript"/>
          <w:lang w:val="en-ZA"/>
        </w:rPr>
        <w:t>5</w:t>
      </w:r>
      <w:r>
        <w:rPr>
          <w:rFonts w:ascii="Times New Roman" w:hAnsi="Times New Roman" w:cs="Times New Roman"/>
          <w:lang w:val="en-ZA"/>
        </w:rPr>
        <w:t>: R</w:t>
      </w:r>
      <w:r>
        <w:rPr>
          <w:rFonts w:ascii="Times New Roman" w:hAnsi="Times New Roman" w:cs="Times New Roman"/>
          <w:vertAlign w:val="subscript"/>
          <w:lang w:val="en-ZA"/>
        </w:rPr>
        <w:t>5</w:t>
      </w:r>
      <w:r>
        <w:rPr>
          <w:rFonts w:ascii="Times New Roman" w:hAnsi="Times New Roman" w:cs="Times New Roman"/>
          <w:lang w:val="en-ZA"/>
        </w:rPr>
        <w:t>, for R</w:t>
      </w:r>
      <w:r>
        <w:rPr>
          <w:rFonts w:ascii="Times New Roman" w:hAnsi="Times New Roman" w:cs="Times New Roman"/>
          <w:vertAlign w:val="subscript"/>
          <w:lang w:val="en-ZA"/>
        </w:rPr>
        <w:t>6</w:t>
      </w:r>
      <w:r>
        <w:rPr>
          <w:rFonts w:ascii="Times New Roman" w:hAnsi="Times New Roman" w:cs="Times New Roman"/>
          <w:lang w:val="en-ZA"/>
        </w:rPr>
        <w:t xml:space="preserve"> : R</w:t>
      </w:r>
      <w:r>
        <w:rPr>
          <w:rFonts w:ascii="Times New Roman" w:hAnsi="Times New Roman" w:cs="Times New Roman"/>
          <w:vertAlign w:val="subscript"/>
          <w:lang w:val="en-ZA"/>
        </w:rPr>
        <w:t>8</w:t>
      </w:r>
      <w:r>
        <w:rPr>
          <w:rFonts w:ascii="Times New Roman" w:hAnsi="Times New Roman" w:cs="Times New Roman"/>
          <w:lang w:val="en-ZA"/>
        </w:rPr>
        <w:t xml:space="preserve"> and the reverse reaction of R</w:t>
      </w:r>
      <w:r>
        <w:rPr>
          <w:rFonts w:ascii="Times New Roman" w:hAnsi="Times New Roman" w:cs="Times New Roman"/>
          <w:vertAlign w:val="subscript"/>
          <w:lang w:val="en-ZA"/>
        </w:rPr>
        <w:t>9</w:t>
      </w:r>
      <w:r>
        <w:rPr>
          <w:rFonts w:ascii="Times New Roman" w:hAnsi="Times New Roman" w:cs="Times New Roman"/>
          <w:lang w:val="en-ZA"/>
        </w:rPr>
        <w:t xml:space="preserve"> is R</w:t>
      </w:r>
      <w:r>
        <w:rPr>
          <w:rFonts w:ascii="Times New Roman" w:hAnsi="Times New Roman" w:cs="Times New Roman"/>
          <w:vertAlign w:val="subscript"/>
          <w:lang w:val="en-ZA"/>
        </w:rPr>
        <w:t>9</w:t>
      </w:r>
      <w:r>
        <w:rPr>
          <w:rFonts w:ascii="Times New Roman" w:hAnsi="Times New Roman" w:cs="Times New Roman"/>
          <w:lang w:val="en-ZA"/>
        </w:rPr>
        <w:t>. The bond order a</w:t>
      </w:r>
      <w:r>
        <w:rPr>
          <w:rFonts w:ascii="Times New Roman" w:hAnsi="Times New Roman" w:cs="Times New Roman"/>
          <w:vertAlign w:val="subscript"/>
          <w:lang w:val="en-ZA"/>
        </w:rPr>
        <w:t>13</w:t>
      </w:r>
      <w:r>
        <w:rPr>
          <w:rFonts w:ascii="Times New Roman" w:hAnsi="Times New Roman" w:cs="Times New Roman"/>
          <w:lang w:val="en-ZA"/>
        </w:rPr>
        <w:t xml:space="preserve"> and a</w:t>
      </w:r>
      <w:r>
        <w:rPr>
          <w:rFonts w:ascii="Times New Roman" w:hAnsi="Times New Roman" w:cs="Times New Roman"/>
          <w:vertAlign w:val="subscript"/>
          <w:lang w:val="en-ZA"/>
        </w:rPr>
        <w:t>24</w:t>
      </w:r>
      <w:r>
        <w:rPr>
          <w:rFonts w:ascii="Times New Roman" w:hAnsi="Times New Roman" w:cs="Times New Roman"/>
          <w:lang w:val="en-ZA"/>
        </w:rPr>
        <w:t xml:space="preserve"> can take any value from 0 to 3. </w:t>
      </w:r>
    </w:p>
    <w:p w:rsidR="0095622A" w:rsidRDefault="00EB70F9">
      <w:pPr>
        <w:rPr>
          <w:lang w:val="en-ZA"/>
        </w:rPr>
      </w:pPr>
      <w:r>
        <w:br w:type="page"/>
      </w:r>
    </w:p>
    <w:p w:rsidR="0095622A" w:rsidRDefault="0095622A">
      <w:pPr>
        <w:rPr>
          <w:lang w:val="en-ZA"/>
        </w:rPr>
      </w:pPr>
    </w:p>
    <w:p w:rsidR="0095622A" w:rsidRDefault="00EB70F9">
      <w:r>
        <w:rPr>
          <w:noProof/>
          <w:lang w:val="en-IN" w:eastAsia="en-IN"/>
        </w:rPr>
        <w:drawing>
          <wp:inline distT="0" distB="3175" distL="0" distR="0">
            <wp:extent cx="5760720" cy="4321175"/>
            <wp:effectExtent l="0" t="0" r="0" b="0"/>
            <wp:docPr id="3" name="Image 2" descr="C:\Users\Mathilde\AppData\Local\Microsoft\Windows\INetCache\Content.Word\SupplFigMonom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C:\Users\Mathilde\AppData\Local\Microsoft\Windows\INetCache\Content.Word\SupplFigMonomers.jpg"/>
                    <pic:cNvPicPr>
                      <a:picLocks noChangeAspect="1" noChangeArrowheads="1"/>
                    </pic:cNvPicPr>
                  </pic:nvPicPr>
                  <pic:blipFill>
                    <a:blip r:embed="rId9" cstate="print"/>
                    <a:stretch>
                      <a:fillRect/>
                    </a:stretch>
                  </pic:blipFill>
                  <pic:spPr bwMode="auto">
                    <a:xfrm>
                      <a:off x="0" y="0"/>
                      <a:ext cx="5760720" cy="4321175"/>
                    </a:xfrm>
                    <a:prstGeom prst="rect">
                      <a:avLst/>
                    </a:prstGeom>
                  </pic:spPr>
                </pic:pic>
              </a:graphicData>
            </a:graphic>
          </wp:inline>
        </w:drawing>
      </w:r>
    </w:p>
    <w:p w:rsidR="0095622A" w:rsidRDefault="00EB70F9">
      <w:pPr>
        <w:spacing w:line="360" w:lineRule="auto"/>
        <w:rPr>
          <w:rFonts w:ascii="Times New Roman" w:hAnsi="Times New Roman" w:cs="Times New Roman"/>
          <w:lang w:val="en-ZA"/>
        </w:rPr>
      </w:pPr>
      <w:r>
        <w:rPr>
          <w:rFonts w:ascii="Times New Roman" w:hAnsi="Times New Roman" w:cs="Times New Roman"/>
          <w:b/>
          <w:lang w:val="en-ZA"/>
        </w:rPr>
        <w:t>Figure S3:</w:t>
      </w:r>
      <w:bookmarkStart w:id="0" w:name="_GoBack"/>
      <w:bookmarkEnd w:id="0"/>
      <w:r>
        <w:rPr>
          <w:rFonts w:ascii="Times New Roman" w:hAnsi="Times New Roman" w:cs="Times New Roman"/>
          <w:b/>
          <w:lang w:val="en-ZA"/>
        </w:rPr>
        <w:t xml:space="preserve"> </w:t>
      </w:r>
      <w:r>
        <w:rPr>
          <w:rFonts w:ascii="Times New Roman" w:hAnsi="Times New Roman" w:cs="Times New Roman"/>
          <w:b/>
          <w:lang w:val="en-ZA"/>
        </w:rPr>
        <w:t>Distributions of predict</w:t>
      </w:r>
      <w:r>
        <w:rPr>
          <w:rFonts w:ascii="Times New Roman" w:hAnsi="Times New Roman" w:cs="Times New Roman"/>
          <w:b/>
          <w:lang w:val="en-ZA"/>
        </w:rPr>
        <w:t>ed T</w:t>
      </w:r>
      <w:r>
        <w:rPr>
          <w:rFonts w:ascii="Times New Roman" w:hAnsi="Times New Roman" w:cs="Times New Roman"/>
          <w:b/>
          <w:vertAlign w:val="subscript"/>
          <w:lang w:val="en-ZA"/>
        </w:rPr>
        <w:t>g</w:t>
      </w:r>
      <w:r>
        <w:rPr>
          <w:rFonts w:ascii="Times New Roman" w:hAnsi="Times New Roman" w:cs="Times New Roman"/>
          <w:b/>
          <w:lang w:val="en-ZA"/>
        </w:rPr>
        <w:t xml:space="preserve"> values for enumerated isomers and for isomers found in PubChem with varying Tanimoto threshold.</w:t>
      </w:r>
      <w:r>
        <w:rPr>
          <w:rFonts w:ascii="Times New Roman" w:hAnsi="Times New Roman" w:cs="Times New Roman"/>
          <w:lang w:val="en-ZA"/>
        </w:rPr>
        <w:t xml:space="preserve"> Distribution of predicted polymer glass transition temperature </w:t>
      </w:r>
      <w:r>
        <w:rPr>
          <w:rFonts w:ascii="Times New Roman" w:hAnsi="Times New Roman" w:cs="Times New Roman"/>
          <w:i/>
          <w:lang w:val="en-ZA"/>
        </w:rPr>
        <w:t>T</w:t>
      </w:r>
      <w:r>
        <w:rPr>
          <w:rFonts w:ascii="Times New Roman" w:hAnsi="Times New Roman" w:cs="Times New Roman"/>
          <w:vertAlign w:val="subscript"/>
          <w:lang w:val="en-ZA"/>
        </w:rPr>
        <w:t>g</w:t>
      </w:r>
      <w:r>
        <w:rPr>
          <w:rFonts w:ascii="Times New Roman" w:hAnsi="Times New Roman" w:cs="Times New Roman"/>
          <w:i/>
          <w:vertAlign w:val="subscript"/>
          <w:lang w:val="en-ZA"/>
        </w:rPr>
        <w:t xml:space="preserve"> </w:t>
      </w:r>
      <w:r>
        <w:rPr>
          <w:rFonts w:ascii="Times New Roman" w:hAnsi="Times New Roman" w:cs="Times New Roman"/>
          <w:lang w:val="en-ZA"/>
        </w:rPr>
        <w:t xml:space="preserve">for enumerated isomers and for isomers found in Pubchem of a reference set of 158 </w:t>
      </w:r>
      <w:r>
        <w:rPr>
          <w:rFonts w:ascii="Times New Roman" w:hAnsi="Times New Roman" w:cs="Times New Roman"/>
          <w:lang w:val="en-ZA"/>
        </w:rPr>
        <w:t>monomers with a Tanimoto similarity greater than a threshold varying between 0.5 and 1.</w:t>
      </w:r>
    </w:p>
    <w:p w:rsidR="0095622A" w:rsidRDefault="0095622A"/>
    <w:sectPr w:rsidR="0095622A" w:rsidSect="0095622A">
      <w:pgSz w:w="11906" w:h="16838"/>
      <w:pgMar w:top="1417" w:right="1417" w:bottom="1417" w:left="1417"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1"/>
    <w:family w:val="swiss"/>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Light">
    <w:altName w:val="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5622A"/>
    <w:rsid w:val="0095622A"/>
    <w:rsid w:val="00EB70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22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dyCar">
    <w:name w:val="Text Body Car"/>
    <w:basedOn w:val="DefaultParagraphFont"/>
    <w:link w:val="BodyText1"/>
    <w:qFormat/>
    <w:rsid w:val="006F557F"/>
    <w:rPr>
      <w:rFonts w:ascii="Times New Roman" w:eastAsia="Times New Roman" w:hAnsi="Times New Roman" w:cs="Times New Roman"/>
      <w:color w:val="000000"/>
      <w:lang w:eastAsia="zh-CN" w:bidi="hi-IN"/>
    </w:rPr>
  </w:style>
  <w:style w:type="character" w:customStyle="1" w:styleId="InternetLink">
    <w:name w:val="Internet Link"/>
    <w:basedOn w:val="DefaultParagraphFont"/>
    <w:uiPriority w:val="99"/>
    <w:unhideWhenUsed/>
    <w:rsid w:val="006F557F"/>
    <w:rPr>
      <w:color w:val="0000FF"/>
      <w:u w:val="single"/>
    </w:rPr>
  </w:style>
  <w:style w:type="character" w:styleId="CommentReference">
    <w:name w:val="annotation reference"/>
    <w:basedOn w:val="DefaultParagraphFont"/>
    <w:uiPriority w:val="99"/>
    <w:semiHidden/>
    <w:unhideWhenUsed/>
    <w:qFormat/>
    <w:rsid w:val="00F66F67"/>
    <w:rPr>
      <w:sz w:val="18"/>
      <w:szCs w:val="18"/>
    </w:rPr>
  </w:style>
  <w:style w:type="character" w:customStyle="1" w:styleId="CommentTextChar">
    <w:name w:val="Comment Text Char"/>
    <w:basedOn w:val="DefaultParagraphFont"/>
    <w:link w:val="CommentText"/>
    <w:uiPriority w:val="99"/>
    <w:qFormat/>
    <w:rsid w:val="00F66F67"/>
    <w:rPr>
      <w:rFonts w:eastAsiaTheme="minorEastAsia"/>
      <w:sz w:val="24"/>
      <w:szCs w:val="24"/>
      <w:lang w:val="en-US"/>
    </w:rPr>
  </w:style>
  <w:style w:type="character" w:customStyle="1" w:styleId="BalloonTextChar">
    <w:name w:val="Balloon Text Char"/>
    <w:basedOn w:val="DefaultParagraphFont"/>
    <w:link w:val="BalloonText"/>
    <w:uiPriority w:val="99"/>
    <w:semiHidden/>
    <w:qFormat/>
    <w:rsid w:val="00F66F67"/>
    <w:rPr>
      <w:rFonts w:ascii="Segoe UI" w:hAnsi="Segoe UI" w:cs="Segoe UI"/>
      <w:sz w:val="18"/>
      <w:szCs w:val="18"/>
    </w:rPr>
  </w:style>
  <w:style w:type="paragraph" w:customStyle="1" w:styleId="Heading">
    <w:name w:val="Heading"/>
    <w:basedOn w:val="Normal"/>
    <w:next w:val="BodyText10"/>
    <w:qFormat/>
    <w:rsid w:val="0095622A"/>
    <w:pPr>
      <w:keepNext/>
      <w:spacing w:before="240" w:after="120"/>
    </w:pPr>
    <w:rPr>
      <w:rFonts w:ascii="Liberation Sans" w:eastAsia="Noto Sans CJK SC Regular" w:hAnsi="Liberation Sans" w:cs="FreeSans"/>
      <w:sz w:val="28"/>
      <w:szCs w:val="28"/>
    </w:rPr>
  </w:style>
  <w:style w:type="paragraph" w:customStyle="1" w:styleId="BodyText10">
    <w:name w:val="Body Text1"/>
    <w:basedOn w:val="Normal"/>
    <w:rsid w:val="006F557F"/>
    <w:pPr>
      <w:keepNext/>
      <w:suppressAutoHyphens/>
      <w:spacing w:after="140" w:line="475" w:lineRule="atLeast"/>
    </w:pPr>
    <w:rPr>
      <w:rFonts w:ascii="Times New Roman" w:eastAsia="Times New Roman" w:hAnsi="Times New Roman" w:cs="Times New Roman"/>
      <w:color w:val="000000"/>
      <w:sz w:val="24"/>
      <w:lang w:val="en-US" w:eastAsia="zh-CN" w:bidi="hi-IN"/>
    </w:rPr>
  </w:style>
  <w:style w:type="paragraph" w:styleId="List">
    <w:name w:val="List"/>
    <w:basedOn w:val="BodyText10"/>
    <w:rsid w:val="0095622A"/>
    <w:rPr>
      <w:rFonts w:cs="FreeSans"/>
    </w:rPr>
  </w:style>
  <w:style w:type="paragraph" w:styleId="Caption">
    <w:name w:val="caption"/>
    <w:basedOn w:val="Normal"/>
    <w:qFormat/>
    <w:rsid w:val="0095622A"/>
    <w:pPr>
      <w:suppressLineNumbers/>
      <w:spacing w:before="120" w:after="120"/>
    </w:pPr>
    <w:rPr>
      <w:rFonts w:cs="FreeSans"/>
      <w:i/>
      <w:iCs/>
      <w:sz w:val="24"/>
      <w:szCs w:val="24"/>
    </w:rPr>
  </w:style>
  <w:style w:type="paragraph" w:customStyle="1" w:styleId="Index">
    <w:name w:val="Index"/>
    <w:basedOn w:val="Normal"/>
    <w:qFormat/>
    <w:rsid w:val="0095622A"/>
    <w:pPr>
      <w:suppressLineNumbers/>
    </w:pPr>
    <w:rPr>
      <w:rFonts w:cs="FreeSans"/>
    </w:rPr>
  </w:style>
  <w:style w:type="paragraph" w:customStyle="1" w:styleId="BodyText1">
    <w:name w:val="Body Text1"/>
    <w:basedOn w:val="Normal"/>
    <w:link w:val="TextBodyCar"/>
    <w:qFormat/>
    <w:rsid w:val="006F557F"/>
    <w:pPr>
      <w:keepNext/>
      <w:suppressAutoHyphens/>
      <w:spacing w:after="140" w:line="475" w:lineRule="atLeast"/>
    </w:pPr>
    <w:rPr>
      <w:rFonts w:ascii="Times New Roman" w:eastAsia="Times New Roman" w:hAnsi="Times New Roman" w:cs="Times New Roman"/>
      <w:color w:val="000000"/>
      <w:lang w:eastAsia="zh-CN" w:bidi="hi-IN"/>
    </w:rPr>
  </w:style>
  <w:style w:type="paragraph" w:styleId="CommentText">
    <w:name w:val="annotation text"/>
    <w:basedOn w:val="Normal"/>
    <w:link w:val="CommentTextChar"/>
    <w:uiPriority w:val="99"/>
    <w:unhideWhenUsed/>
    <w:qFormat/>
    <w:rsid w:val="00F66F67"/>
    <w:pPr>
      <w:spacing w:after="0" w:line="240" w:lineRule="auto"/>
    </w:pPr>
    <w:rPr>
      <w:rFonts w:eastAsiaTheme="minorEastAsia"/>
      <w:sz w:val="24"/>
      <w:szCs w:val="24"/>
      <w:lang w:val="en-US"/>
    </w:rPr>
  </w:style>
  <w:style w:type="paragraph" w:styleId="BalloonText">
    <w:name w:val="Balloon Text"/>
    <w:basedOn w:val="Normal"/>
    <w:link w:val="BalloonTextChar"/>
    <w:uiPriority w:val="99"/>
    <w:semiHidden/>
    <w:unhideWhenUsed/>
    <w:qFormat/>
    <w:rsid w:val="00F66F67"/>
    <w:pPr>
      <w:spacing w:after="0" w:line="240" w:lineRule="auto"/>
    </w:pPr>
    <w:rPr>
      <w:rFonts w:ascii="Segoe UI" w:hAnsi="Segoe UI" w:cs="Segoe UI"/>
      <w:sz w:val="18"/>
      <w:szCs w:val="18"/>
    </w:rPr>
  </w:style>
  <w:style w:type="table" w:styleId="TableGrid">
    <w:name w:val="Table Grid"/>
    <w:basedOn w:val="TableNormal"/>
    <w:uiPriority w:val="59"/>
    <w:rsid w:val="00C70D33"/>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an-loup.faulon@inra.fr" TargetMode="External"/><Relationship Id="rId11" Type="http://schemas.openxmlformats.org/officeDocument/2006/relationships/theme" Target="theme/theme1.xml"/><Relationship Id="rId5" Type="http://schemas.openxmlformats.org/officeDocument/2006/relationships/hyperlink" Target="mailto:thomas.duigou@inra.fr" TargetMode="External"/><Relationship Id="rId10" Type="http://schemas.openxmlformats.org/officeDocument/2006/relationships/fontTable" Target="fontTable.xml"/><Relationship Id="rId4" Type="http://schemas.openxmlformats.org/officeDocument/2006/relationships/hyperlink" Target="mailto:mathilde.koch@inra.fr" TargetMode="Externa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332</Words>
  <Characters>1899</Characters>
  <Application>Microsoft Office Word</Application>
  <DocSecurity>0</DocSecurity>
  <Lines>15</Lines>
  <Paragraphs>4</Paragraphs>
  <ScaleCrop>false</ScaleCrop>
  <Company>Microsoft</Company>
  <LinksUpToDate>false</LinksUpToDate>
  <CharactersWithSpaces>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Koch</dc:creator>
  <dc:description/>
  <cp:lastModifiedBy>Femina P.</cp:lastModifiedBy>
  <cp:revision>8</cp:revision>
  <dcterms:created xsi:type="dcterms:W3CDTF">2017-10-11T16:33:00Z</dcterms:created>
  <dcterms:modified xsi:type="dcterms:W3CDTF">2017-12-08T15:01:00Z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