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BE1" w:rsidRDefault="00AC57BB" w:rsidP="00A34552">
      <w:pPr>
        <w:keepNext/>
        <w:rPr>
          <w:b/>
          <w:sz w:val="32"/>
          <w:szCs w:val="32"/>
        </w:rPr>
      </w:pPr>
      <w:r>
        <w:rPr>
          <w:b/>
          <w:sz w:val="32"/>
          <w:szCs w:val="32"/>
        </w:rPr>
        <w:t>Additional</w:t>
      </w:r>
      <w:r w:rsidR="00F01D9B">
        <w:rPr>
          <w:b/>
          <w:sz w:val="32"/>
          <w:szCs w:val="32"/>
        </w:rPr>
        <w:t xml:space="preserve"> </w:t>
      </w:r>
      <w:r w:rsidR="00CE491F">
        <w:rPr>
          <w:b/>
          <w:sz w:val="32"/>
          <w:szCs w:val="32"/>
        </w:rPr>
        <w:t>material</w:t>
      </w:r>
    </w:p>
    <w:p w:rsidR="00F01D9B" w:rsidRDefault="00F01D9B" w:rsidP="00F01D9B">
      <w:pPr>
        <w:rPr>
          <w:vertAlign w:val="superscript"/>
        </w:rPr>
      </w:pPr>
      <w:r>
        <w:t>Oleksii Prykhodko</w:t>
      </w:r>
      <w:r>
        <w:rPr>
          <w:vertAlign w:val="superscript"/>
        </w:rPr>
        <w:t>€,¥,∆</w:t>
      </w:r>
      <w:r>
        <w:t>, Simon Johansson</w:t>
      </w:r>
      <w:r>
        <w:rPr>
          <w:vertAlign w:val="superscript"/>
        </w:rPr>
        <w:t>€,¥,∆,*</w:t>
      </w:r>
      <w:r>
        <w:t>, Panagiotis-Christos Kotsias</w:t>
      </w:r>
      <w:r>
        <w:rPr>
          <w:vertAlign w:val="superscript"/>
        </w:rPr>
        <w:t>∆</w:t>
      </w:r>
      <w:r>
        <w:t>, Josep Arús-Pous</w:t>
      </w:r>
      <w:r>
        <w:rPr>
          <w:vertAlign w:val="superscript"/>
        </w:rPr>
        <w:t>∆§</w:t>
      </w:r>
      <w:r>
        <w:t>, Esben Jannik Bjerrum</w:t>
      </w:r>
      <w:r>
        <w:rPr>
          <w:vertAlign w:val="superscript"/>
        </w:rPr>
        <w:t>∆</w:t>
      </w:r>
      <w:r>
        <w:t>, Ola Engkvist</w:t>
      </w:r>
      <w:r>
        <w:rPr>
          <w:vertAlign w:val="superscript"/>
        </w:rPr>
        <w:t>∆</w:t>
      </w:r>
      <w:r>
        <w:t>, Hongming Chen</w:t>
      </w:r>
      <w:r>
        <w:rPr>
          <w:vertAlign w:val="superscript"/>
        </w:rPr>
        <w:t>∆,*,†</w:t>
      </w:r>
    </w:p>
    <w:p w:rsidR="00F01D9B" w:rsidRPr="00F01D9B" w:rsidRDefault="00F01D9B" w:rsidP="00F01D9B">
      <w:pPr>
        <w:rPr>
          <w:lang w:val="en-US"/>
        </w:rPr>
      </w:pPr>
      <w:r w:rsidRPr="00F01D9B">
        <w:rPr>
          <w:lang w:val="en-US"/>
        </w:rPr>
        <w:t>∆ Hit Discovery, Discovery Sciences, Biopharmaceutical R&amp;D, AstraZeneca, Gothenburg, Sweden</w:t>
      </w:r>
    </w:p>
    <w:p w:rsidR="00F01D9B" w:rsidRPr="00F01D9B" w:rsidRDefault="00F01D9B" w:rsidP="00F01D9B">
      <w:pPr>
        <w:rPr>
          <w:lang w:val="en-US"/>
        </w:rPr>
      </w:pPr>
      <w:r w:rsidRPr="00F01D9B">
        <w:rPr>
          <w:lang w:val="en-US"/>
        </w:rPr>
        <w:t>§ Department of Chemistry and Biochemistry, University of Bern, Switzerland</w:t>
      </w:r>
    </w:p>
    <w:p w:rsidR="00F01D9B" w:rsidRPr="00F01D9B" w:rsidRDefault="00F01D9B" w:rsidP="00F01D9B">
      <w:pPr>
        <w:rPr>
          <w:lang w:val="en-US"/>
        </w:rPr>
      </w:pPr>
      <w:r w:rsidRPr="00F01D9B">
        <w:rPr>
          <w:lang w:val="en-US"/>
        </w:rPr>
        <w:t>¥ Department of Computer Science and Engineering, Chalmers University of Technology, Gothenburg, Sweden</w:t>
      </w:r>
    </w:p>
    <w:p w:rsidR="00F01D9B" w:rsidRPr="00F01D9B" w:rsidRDefault="00F01D9B" w:rsidP="00F01D9B">
      <w:pPr>
        <w:rPr>
          <w:lang w:val="en-US"/>
        </w:rPr>
      </w:pPr>
      <w:r w:rsidRPr="00F01D9B">
        <w:rPr>
          <w:lang w:val="en-US"/>
        </w:rPr>
        <w:t>† Chemistry and Chemical Biology Centre, Guangzhou Regenerative Medicine and Health-Guangdong Laboratory, Science Park, Guangzhou, China</w:t>
      </w:r>
    </w:p>
    <w:p w:rsidR="00F01D9B" w:rsidRPr="00F01D9B" w:rsidRDefault="00F01D9B" w:rsidP="00F01D9B">
      <w:pPr>
        <w:rPr>
          <w:lang w:val="en-US"/>
        </w:rPr>
      </w:pPr>
    </w:p>
    <w:p w:rsidR="00F01D9B" w:rsidRPr="00F01D9B" w:rsidRDefault="00F01D9B" w:rsidP="00F01D9B">
      <w:pPr>
        <w:rPr>
          <w:lang w:val="en-US"/>
        </w:rPr>
      </w:pPr>
      <w:r w:rsidRPr="00F01D9B">
        <w:rPr>
          <w:lang w:val="en-US"/>
        </w:rPr>
        <w:t>€ Authors contribute equally</w:t>
      </w:r>
    </w:p>
    <w:p w:rsidR="00F01D9B" w:rsidRPr="00F01D9B" w:rsidRDefault="00F01D9B" w:rsidP="00F01D9B">
      <w:pPr>
        <w:rPr>
          <w:lang w:val="en-US"/>
        </w:rPr>
      </w:pPr>
      <w:r w:rsidRPr="00F01D9B">
        <w:rPr>
          <w:lang w:val="en-US"/>
        </w:rPr>
        <w:t>* Corresponding authors:</w:t>
      </w:r>
    </w:p>
    <w:p w:rsidR="00F01D9B" w:rsidRPr="00F01D9B" w:rsidRDefault="00E44207" w:rsidP="00F01D9B">
      <w:pPr>
        <w:rPr>
          <w:lang w:val="en-US"/>
        </w:rPr>
      </w:pPr>
      <w:hyperlink r:id="rId5">
        <w:r w:rsidR="00F01D9B" w:rsidRPr="00F01D9B">
          <w:rPr>
            <w:color w:val="0563C1"/>
            <w:u w:val="single"/>
            <w:lang w:val="en-US"/>
          </w:rPr>
          <w:t>Simon.johansson@astrazeneca.com</w:t>
        </w:r>
      </w:hyperlink>
    </w:p>
    <w:p w:rsidR="00F01D9B" w:rsidRPr="00F01D9B" w:rsidRDefault="00E44207" w:rsidP="00F01D9B">
      <w:pPr>
        <w:rPr>
          <w:lang w:val="en-US"/>
        </w:rPr>
      </w:pPr>
      <w:hyperlink r:id="rId6" w:history="1">
        <w:r w:rsidR="00F01D9B" w:rsidRPr="00F01D9B">
          <w:rPr>
            <w:rStyle w:val="Hyperlink"/>
            <w:lang w:val="en-US"/>
          </w:rPr>
          <w:t>Hongming.chen71@hotmail.com</w:t>
        </w:r>
      </w:hyperlink>
    </w:p>
    <w:p w:rsidR="000B6BE1" w:rsidRDefault="000B6BE1" w:rsidP="00A34552">
      <w:pPr>
        <w:keepNext/>
        <w:rPr>
          <w:lang w:val="en-US"/>
        </w:rPr>
      </w:pPr>
    </w:p>
    <w:p w:rsidR="00CE491F" w:rsidRDefault="00CE491F" w:rsidP="00A34552">
      <w:pPr>
        <w:keepNext/>
        <w:rPr>
          <w:lang w:val="en-US"/>
        </w:rPr>
      </w:pPr>
    </w:p>
    <w:p w:rsidR="00CE491F" w:rsidRPr="00CE491F" w:rsidRDefault="00CE491F" w:rsidP="00A34552">
      <w:pPr>
        <w:keepNext/>
        <w:rPr>
          <w:b/>
          <w:lang w:val="en-US"/>
        </w:rPr>
      </w:pPr>
      <w:r>
        <w:rPr>
          <w:b/>
          <w:lang w:val="en-US"/>
        </w:rPr>
        <w:t xml:space="preserve">Figures of PCA plots for </w:t>
      </w:r>
      <w:proofErr w:type="spellStart"/>
      <w:r>
        <w:rPr>
          <w:b/>
          <w:lang w:val="en-US"/>
        </w:rPr>
        <w:t>Murcko</w:t>
      </w:r>
      <w:proofErr w:type="spellEnd"/>
      <w:r>
        <w:rPr>
          <w:b/>
          <w:lang w:val="en-US"/>
        </w:rPr>
        <w:t xml:space="preserve"> Scaffold Similarity</w:t>
      </w:r>
    </w:p>
    <w:p w:rsidR="00A34552" w:rsidRDefault="00784A3A" w:rsidP="00A34552">
      <w:pPr>
        <w:keepNext/>
      </w:pPr>
      <w:r>
        <w:rPr>
          <w:noProof/>
          <w:lang w:val="en-US"/>
        </w:rPr>
        <w:drawing>
          <wp:inline distT="0" distB="0" distL="0" distR="0">
            <wp:extent cx="5834130" cy="3585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6433" t="3784" r="20635" b="27305"/>
                    <a:stretch/>
                  </pic:blipFill>
                  <pic:spPr bwMode="auto">
                    <a:xfrm>
                      <a:off x="0" y="0"/>
                      <a:ext cx="5841581" cy="35903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0560F" w:rsidRDefault="00A34552" w:rsidP="00A34552">
      <w:pPr>
        <w:pStyle w:val="Caption"/>
        <w:rPr>
          <w:i w:val="0"/>
          <w:sz w:val="20"/>
          <w:szCs w:val="20"/>
          <w:lang w:val="en-US"/>
        </w:rPr>
      </w:pPr>
      <w:r w:rsidRPr="00A34552">
        <w:rPr>
          <w:b/>
          <w:i w:val="0"/>
          <w:sz w:val="20"/>
          <w:szCs w:val="20"/>
          <w:lang w:val="en-US"/>
        </w:rPr>
        <w:t xml:space="preserve">Figure </w:t>
      </w:r>
      <w:proofErr w:type="spellStart"/>
      <w:r w:rsidR="00AC57BB">
        <w:rPr>
          <w:b/>
          <w:i w:val="0"/>
          <w:sz w:val="20"/>
          <w:szCs w:val="20"/>
          <w:lang w:val="en-US"/>
        </w:rPr>
        <w:t>S</w:t>
      </w:r>
      <w:r w:rsidR="00A851E2">
        <w:rPr>
          <w:b/>
          <w:i w:val="0"/>
          <w:noProof/>
          <w:sz w:val="20"/>
          <w:szCs w:val="20"/>
          <w:lang w:val="en-US"/>
        </w:rPr>
        <w:t>1</w:t>
      </w:r>
      <w:proofErr w:type="spellEnd"/>
      <w:r w:rsidRPr="00A34552">
        <w:rPr>
          <w:b/>
          <w:i w:val="0"/>
          <w:sz w:val="20"/>
          <w:szCs w:val="20"/>
          <w:lang w:val="en-US"/>
        </w:rPr>
        <w:t xml:space="preserve">: </w:t>
      </w:r>
      <w:proofErr w:type="spellStart"/>
      <w:r w:rsidRPr="00A34552">
        <w:rPr>
          <w:i w:val="0"/>
          <w:sz w:val="20"/>
          <w:szCs w:val="20"/>
          <w:lang w:val="en-US"/>
        </w:rPr>
        <w:t>PCA</w:t>
      </w:r>
      <w:proofErr w:type="spellEnd"/>
      <w:r w:rsidRPr="00A34552">
        <w:rPr>
          <w:i w:val="0"/>
          <w:sz w:val="20"/>
          <w:szCs w:val="20"/>
          <w:lang w:val="en-US"/>
        </w:rPr>
        <w:t xml:space="preserve"> plot of t</w:t>
      </w:r>
      <w:r>
        <w:rPr>
          <w:i w:val="0"/>
          <w:sz w:val="20"/>
          <w:szCs w:val="20"/>
          <w:lang w:val="en-US"/>
        </w:rPr>
        <w:t>he</w:t>
      </w:r>
      <w:r w:rsidR="00A851E2">
        <w:rPr>
          <w:i w:val="0"/>
          <w:sz w:val="20"/>
          <w:szCs w:val="20"/>
          <w:lang w:val="en-US"/>
        </w:rPr>
        <w:t xml:space="preserve"> predicted</w:t>
      </w:r>
      <w:r>
        <w:rPr>
          <w:i w:val="0"/>
          <w:sz w:val="20"/>
          <w:szCs w:val="20"/>
          <w:lang w:val="en-US"/>
        </w:rPr>
        <w:t xml:space="preserve"> active compounds </w:t>
      </w:r>
      <w:r w:rsidR="00A851E2">
        <w:rPr>
          <w:i w:val="0"/>
          <w:sz w:val="20"/>
          <w:szCs w:val="20"/>
          <w:lang w:val="en-US"/>
        </w:rPr>
        <w:t>for</w:t>
      </w:r>
      <w:r>
        <w:rPr>
          <w:i w:val="0"/>
          <w:sz w:val="20"/>
          <w:szCs w:val="20"/>
          <w:lang w:val="en-US"/>
        </w:rPr>
        <w:t xml:space="preserve"> EGFR split by the interval of </w:t>
      </w:r>
      <w:proofErr w:type="spellStart"/>
      <w:r w:rsidR="001312AD">
        <w:rPr>
          <w:i w:val="0"/>
          <w:sz w:val="20"/>
          <w:szCs w:val="20"/>
          <w:lang w:val="en-US"/>
        </w:rPr>
        <w:t>Murcko</w:t>
      </w:r>
      <w:proofErr w:type="spellEnd"/>
      <w:r w:rsidR="001312AD">
        <w:rPr>
          <w:i w:val="0"/>
          <w:sz w:val="20"/>
          <w:szCs w:val="20"/>
          <w:lang w:val="en-US"/>
        </w:rPr>
        <w:t xml:space="preserve"> scaffold</w:t>
      </w:r>
      <w:r>
        <w:rPr>
          <w:i w:val="0"/>
          <w:sz w:val="20"/>
          <w:szCs w:val="20"/>
          <w:lang w:val="en-US"/>
        </w:rPr>
        <w:t xml:space="preserve"> similarity</w:t>
      </w:r>
      <w:r w:rsidR="00547F76">
        <w:rPr>
          <w:i w:val="0"/>
          <w:sz w:val="20"/>
          <w:szCs w:val="20"/>
          <w:lang w:val="en-US"/>
        </w:rPr>
        <w:t>.</w:t>
      </w:r>
    </w:p>
    <w:p w:rsidR="00C81541" w:rsidRDefault="00C81541" w:rsidP="00C81541">
      <w:pPr>
        <w:rPr>
          <w:lang w:val="en-US"/>
        </w:rPr>
      </w:pPr>
    </w:p>
    <w:p w:rsidR="00A851E2" w:rsidRDefault="00C81541" w:rsidP="00A851E2">
      <w:pPr>
        <w:keepNext/>
      </w:pPr>
      <w:r>
        <w:rPr>
          <w:noProof/>
          <w:lang w:val="en-US"/>
        </w:rPr>
        <w:drawing>
          <wp:inline distT="0" distB="0" distL="0" distR="0">
            <wp:extent cx="5898524" cy="3631521"/>
            <wp:effectExtent l="0" t="0" r="698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3973" t="2589" r="18847" b="23722"/>
                    <a:stretch/>
                  </pic:blipFill>
                  <pic:spPr bwMode="auto">
                    <a:xfrm>
                      <a:off x="0" y="0"/>
                      <a:ext cx="5909436" cy="363823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851E2" w:rsidRDefault="00A851E2" w:rsidP="00A851E2">
      <w:pPr>
        <w:pStyle w:val="Caption"/>
        <w:rPr>
          <w:i w:val="0"/>
          <w:sz w:val="20"/>
          <w:szCs w:val="20"/>
          <w:lang w:val="en-US"/>
        </w:rPr>
      </w:pPr>
      <w:r w:rsidRPr="00A851E2">
        <w:rPr>
          <w:b/>
          <w:i w:val="0"/>
          <w:sz w:val="20"/>
          <w:szCs w:val="20"/>
          <w:lang w:val="en-US"/>
        </w:rPr>
        <w:t xml:space="preserve">Figure </w:t>
      </w:r>
      <w:proofErr w:type="spellStart"/>
      <w:r w:rsidR="00AC57BB">
        <w:rPr>
          <w:b/>
          <w:i w:val="0"/>
          <w:sz w:val="20"/>
          <w:szCs w:val="20"/>
          <w:lang w:val="en-US"/>
        </w:rPr>
        <w:t>S</w:t>
      </w:r>
      <w:r>
        <w:rPr>
          <w:b/>
          <w:i w:val="0"/>
          <w:noProof/>
          <w:sz w:val="20"/>
          <w:szCs w:val="20"/>
          <w:lang w:val="en-US"/>
        </w:rPr>
        <w:t>2</w:t>
      </w:r>
      <w:proofErr w:type="spellEnd"/>
      <w:r w:rsidRPr="00A851E2">
        <w:rPr>
          <w:b/>
          <w:i w:val="0"/>
          <w:sz w:val="20"/>
          <w:szCs w:val="20"/>
          <w:lang w:val="en-US"/>
        </w:rPr>
        <w:t xml:space="preserve">: </w:t>
      </w:r>
      <w:proofErr w:type="spellStart"/>
      <w:r w:rsidRPr="00A34552">
        <w:rPr>
          <w:i w:val="0"/>
          <w:sz w:val="20"/>
          <w:szCs w:val="20"/>
          <w:lang w:val="en-US"/>
        </w:rPr>
        <w:t>PCA</w:t>
      </w:r>
      <w:proofErr w:type="spellEnd"/>
      <w:r w:rsidRPr="00A34552">
        <w:rPr>
          <w:i w:val="0"/>
          <w:sz w:val="20"/>
          <w:szCs w:val="20"/>
          <w:lang w:val="en-US"/>
        </w:rPr>
        <w:t xml:space="preserve"> plot of t</w:t>
      </w:r>
      <w:r>
        <w:rPr>
          <w:i w:val="0"/>
          <w:sz w:val="20"/>
          <w:szCs w:val="20"/>
          <w:lang w:val="en-US"/>
        </w:rPr>
        <w:t xml:space="preserve">he predicted active compounds for HTR1A split by the interval of </w:t>
      </w:r>
      <w:proofErr w:type="spellStart"/>
      <w:r>
        <w:rPr>
          <w:i w:val="0"/>
          <w:sz w:val="20"/>
          <w:szCs w:val="20"/>
          <w:lang w:val="en-US"/>
        </w:rPr>
        <w:t>Murcko</w:t>
      </w:r>
      <w:proofErr w:type="spellEnd"/>
      <w:r>
        <w:rPr>
          <w:i w:val="0"/>
          <w:sz w:val="20"/>
          <w:szCs w:val="20"/>
          <w:lang w:val="en-US"/>
        </w:rPr>
        <w:t xml:space="preserve"> scaffold similarity.</w:t>
      </w:r>
    </w:p>
    <w:p w:rsidR="00A851E2" w:rsidRDefault="00A851E2" w:rsidP="00A851E2">
      <w:pPr>
        <w:rPr>
          <w:lang w:val="en-US"/>
        </w:rPr>
      </w:pPr>
    </w:p>
    <w:p w:rsidR="00A851E2" w:rsidRDefault="00A851E2" w:rsidP="00A851E2">
      <w:pPr>
        <w:pStyle w:val="Caption"/>
        <w:keepNext/>
      </w:pPr>
      <w:r>
        <w:rPr>
          <w:noProof/>
          <w:lang w:val="en-US"/>
        </w:rPr>
        <w:drawing>
          <wp:inline distT="0" distB="0" distL="0" distR="0">
            <wp:extent cx="5789659" cy="3618964"/>
            <wp:effectExtent l="0" t="0" r="190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5987" t="3585" r="19628" b="24714"/>
                    <a:stretch/>
                  </pic:blipFill>
                  <pic:spPr bwMode="auto">
                    <a:xfrm>
                      <a:off x="0" y="0"/>
                      <a:ext cx="5797839" cy="362407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851E2" w:rsidRDefault="00A851E2" w:rsidP="00A851E2">
      <w:pPr>
        <w:pStyle w:val="Caption"/>
        <w:rPr>
          <w:i w:val="0"/>
          <w:sz w:val="20"/>
          <w:szCs w:val="20"/>
          <w:lang w:val="en-US"/>
        </w:rPr>
      </w:pPr>
      <w:r w:rsidRPr="00A851E2">
        <w:rPr>
          <w:b/>
          <w:i w:val="0"/>
          <w:sz w:val="20"/>
          <w:szCs w:val="20"/>
          <w:lang w:val="en-US"/>
        </w:rPr>
        <w:t xml:space="preserve">Figure </w:t>
      </w:r>
      <w:proofErr w:type="spellStart"/>
      <w:r w:rsidR="00AC57BB">
        <w:rPr>
          <w:b/>
          <w:i w:val="0"/>
          <w:sz w:val="20"/>
          <w:szCs w:val="20"/>
          <w:lang w:val="en-US"/>
        </w:rPr>
        <w:t>S</w:t>
      </w:r>
      <w:r w:rsidRPr="00A851E2">
        <w:rPr>
          <w:b/>
          <w:i w:val="0"/>
          <w:noProof/>
          <w:sz w:val="20"/>
          <w:szCs w:val="20"/>
          <w:lang w:val="en-US"/>
        </w:rPr>
        <w:t>3</w:t>
      </w:r>
      <w:proofErr w:type="spellEnd"/>
      <w:r w:rsidRPr="00A851E2">
        <w:rPr>
          <w:b/>
          <w:i w:val="0"/>
          <w:sz w:val="20"/>
          <w:szCs w:val="20"/>
          <w:lang w:val="en-US"/>
        </w:rPr>
        <w:t xml:space="preserve">: </w:t>
      </w:r>
      <w:proofErr w:type="spellStart"/>
      <w:r w:rsidRPr="00A34552">
        <w:rPr>
          <w:i w:val="0"/>
          <w:sz w:val="20"/>
          <w:szCs w:val="20"/>
          <w:lang w:val="en-US"/>
        </w:rPr>
        <w:t>PCA</w:t>
      </w:r>
      <w:proofErr w:type="spellEnd"/>
      <w:r w:rsidRPr="00A34552">
        <w:rPr>
          <w:i w:val="0"/>
          <w:sz w:val="20"/>
          <w:szCs w:val="20"/>
          <w:lang w:val="en-US"/>
        </w:rPr>
        <w:t xml:space="preserve"> plot of t</w:t>
      </w:r>
      <w:r>
        <w:rPr>
          <w:i w:val="0"/>
          <w:sz w:val="20"/>
          <w:szCs w:val="20"/>
          <w:lang w:val="en-US"/>
        </w:rPr>
        <w:t xml:space="preserve">he predicted active compounds for S1PR1 split by the interval of </w:t>
      </w:r>
      <w:proofErr w:type="spellStart"/>
      <w:r>
        <w:rPr>
          <w:i w:val="0"/>
          <w:sz w:val="20"/>
          <w:szCs w:val="20"/>
          <w:lang w:val="en-US"/>
        </w:rPr>
        <w:t>Murcko</w:t>
      </w:r>
      <w:proofErr w:type="spellEnd"/>
      <w:r>
        <w:rPr>
          <w:i w:val="0"/>
          <w:sz w:val="20"/>
          <w:szCs w:val="20"/>
          <w:lang w:val="en-US"/>
        </w:rPr>
        <w:t xml:space="preserve"> scaffold similarity.</w:t>
      </w:r>
    </w:p>
    <w:p w:rsidR="00CE491F" w:rsidRDefault="00CE491F" w:rsidP="00CE491F">
      <w:pPr>
        <w:rPr>
          <w:b/>
          <w:sz w:val="28"/>
          <w:szCs w:val="28"/>
          <w:lang w:val="en-US"/>
        </w:rPr>
      </w:pPr>
    </w:p>
    <w:p w:rsidR="00CE491F" w:rsidRPr="00CE491F" w:rsidRDefault="00CE491F" w:rsidP="00CE491F">
      <w:pPr>
        <w:rPr>
          <w:b/>
          <w:lang w:val="en-US"/>
        </w:rPr>
      </w:pPr>
      <w:r w:rsidRPr="00CE491F">
        <w:rPr>
          <w:b/>
          <w:lang w:val="en-US"/>
        </w:rPr>
        <w:t xml:space="preserve">A probabilistic assessment of the overlap between RNN and </w:t>
      </w:r>
      <w:proofErr w:type="spellStart"/>
      <w:r w:rsidRPr="00CE491F">
        <w:rPr>
          <w:b/>
          <w:lang w:val="en-US"/>
        </w:rPr>
        <w:t>LatentGAN</w:t>
      </w:r>
      <w:proofErr w:type="spellEnd"/>
      <w:r>
        <w:rPr>
          <w:b/>
          <w:lang w:val="en-US"/>
        </w:rPr>
        <w:t>.</w:t>
      </w:r>
      <w:r w:rsidRPr="00CE491F">
        <w:rPr>
          <w:b/>
          <w:lang w:val="en-US"/>
        </w:rPr>
        <w:t xml:space="preserve"> </w:t>
      </w:r>
      <w:r w:rsidRPr="006C112A">
        <w:rPr>
          <w:lang w:val="en-US"/>
        </w:rPr>
        <w:t xml:space="preserve">Using the RNN model, we </w:t>
      </w:r>
      <w:r>
        <w:rPr>
          <w:lang w:val="en-US"/>
        </w:rPr>
        <w:t xml:space="preserve">computed the negative log likelihood (NLL) of generating each SMILES string from both the RNN and the </w:t>
      </w:r>
      <w:proofErr w:type="spellStart"/>
      <w:r>
        <w:rPr>
          <w:lang w:val="en-US"/>
        </w:rPr>
        <w:t>LatentGAN</w:t>
      </w:r>
      <w:proofErr w:type="spellEnd"/>
      <w:r>
        <w:rPr>
          <w:lang w:val="en-US"/>
        </w:rPr>
        <w:t xml:space="preserve"> output sample and compared the means NLL for the three targets (EGFR, HTR1A, S1PR1). These are shown in Table </w:t>
      </w:r>
      <w:proofErr w:type="spellStart"/>
      <w:r w:rsidR="00AC57BB">
        <w:rPr>
          <w:lang w:val="en-US"/>
        </w:rPr>
        <w:t>S</w:t>
      </w:r>
      <w:r>
        <w:rPr>
          <w:lang w:val="en-US"/>
        </w:rPr>
        <w:t>1</w:t>
      </w:r>
      <w:proofErr w:type="spellEnd"/>
      <w:r>
        <w:rPr>
          <w:lang w:val="en-US"/>
        </w:rPr>
        <w:t xml:space="preserve"> below.</w:t>
      </w:r>
      <w:bookmarkStart w:id="0" w:name="_GoBack"/>
      <w:bookmarkEnd w:id="0"/>
    </w:p>
    <w:p w:rsidR="00CE491F" w:rsidRDefault="00CE491F" w:rsidP="00CE491F">
      <w:pPr>
        <w:rPr>
          <w:lang w:val="en-US"/>
        </w:rPr>
      </w:pPr>
      <w:r w:rsidRPr="00F86B0B">
        <w:rPr>
          <w:b/>
          <w:lang w:val="en-US"/>
        </w:rPr>
        <w:t xml:space="preserve">Table </w:t>
      </w:r>
      <w:proofErr w:type="spellStart"/>
      <w:r w:rsidR="00AC57BB">
        <w:rPr>
          <w:b/>
          <w:lang w:val="en-US"/>
        </w:rPr>
        <w:t>S</w:t>
      </w:r>
      <w:r w:rsidRPr="00F86B0B">
        <w:rPr>
          <w:b/>
          <w:lang w:val="en-US"/>
        </w:rPr>
        <w:t>1</w:t>
      </w:r>
      <w:proofErr w:type="spellEnd"/>
      <w:r>
        <w:rPr>
          <w:lang w:val="en-US"/>
        </w:rPr>
        <w:t xml:space="preserve">. Mean </w:t>
      </w:r>
      <w:proofErr w:type="spellStart"/>
      <w:r>
        <w:rPr>
          <w:lang w:val="en-US"/>
        </w:rPr>
        <w:t>NLLs</w:t>
      </w:r>
      <w:proofErr w:type="spellEnd"/>
      <w:r>
        <w:rPr>
          <w:lang w:val="en-US"/>
        </w:rPr>
        <w:t xml:space="preserve"> of generated sets using the RNN model with the corresponding transfer learning.</w:t>
      </w:r>
    </w:p>
    <w:tbl>
      <w:tblPr>
        <w:tblStyle w:val="TableGrid"/>
        <w:tblW w:w="0" w:type="auto"/>
        <w:tblLook w:val="04A0"/>
      </w:tblPr>
      <w:tblGrid>
        <w:gridCol w:w="3020"/>
        <w:gridCol w:w="3021"/>
        <w:gridCol w:w="3021"/>
      </w:tblGrid>
      <w:tr w:rsidR="00CE491F" w:rsidTr="00C2192B">
        <w:tc>
          <w:tcPr>
            <w:tcW w:w="3020" w:type="dxa"/>
          </w:tcPr>
          <w:p w:rsidR="00CE491F" w:rsidRDefault="00CE491F" w:rsidP="00C2192B">
            <w:pPr>
              <w:rPr>
                <w:lang w:val="en-US"/>
              </w:rPr>
            </w:pPr>
            <w:r>
              <w:rPr>
                <w:lang w:val="en-US"/>
              </w:rPr>
              <w:t>Target</w:t>
            </w:r>
          </w:p>
        </w:tc>
        <w:tc>
          <w:tcPr>
            <w:tcW w:w="3021" w:type="dxa"/>
          </w:tcPr>
          <w:p w:rsidR="00CE491F" w:rsidRDefault="00CE491F" w:rsidP="00C2192B">
            <w:pPr>
              <w:rPr>
                <w:lang w:val="en-US"/>
              </w:rPr>
            </w:pPr>
            <w:r>
              <w:rPr>
                <w:lang w:val="en-US"/>
              </w:rPr>
              <w:t>RNN</w:t>
            </w:r>
          </w:p>
        </w:tc>
        <w:tc>
          <w:tcPr>
            <w:tcW w:w="3021" w:type="dxa"/>
          </w:tcPr>
          <w:p w:rsidR="00CE491F" w:rsidRDefault="00CE491F" w:rsidP="00C2192B">
            <w:pPr>
              <w:rPr>
                <w:lang w:val="en-US"/>
              </w:rPr>
            </w:pPr>
            <w:proofErr w:type="spellStart"/>
            <w:r>
              <w:rPr>
                <w:lang w:val="en-US"/>
              </w:rPr>
              <w:t>LatentGAN</w:t>
            </w:r>
            <w:proofErr w:type="spellEnd"/>
          </w:p>
        </w:tc>
      </w:tr>
      <w:tr w:rsidR="00CE491F" w:rsidTr="00C2192B">
        <w:tc>
          <w:tcPr>
            <w:tcW w:w="3020" w:type="dxa"/>
          </w:tcPr>
          <w:p w:rsidR="00CE491F" w:rsidRDefault="00CE491F" w:rsidP="00C2192B">
            <w:pPr>
              <w:rPr>
                <w:lang w:val="en-US"/>
              </w:rPr>
            </w:pPr>
            <w:proofErr w:type="spellStart"/>
            <w:r>
              <w:rPr>
                <w:lang w:val="en-US"/>
              </w:rPr>
              <w:t>EGFR</w:t>
            </w:r>
            <w:proofErr w:type="spellEnd"/>
          </w:p>
        </w:tc>
        <w:tc>
          <w:tcPr>
            <w:tcW w:w="3021" w:type="dxa"/>
          </w:tcPr>
          <w:p w:rsidR="00CE491F" w:rsidRDefault="00CE491F" w:rsidP="00C2192B">
            <w:pPr>
              <w:rPr>
                <w:lang w:val="en-US"/>
              </w:rPr>
            </w:pPr>
            <w:r>
              <w:rPr>
                <w:lang w:val="en-US"/>
              </w:rPr>
              <w:t>16.1</w:t>
            </w:r>
          </w:p>
        </w:tc>
        <w:tc>
          <w:tcPr>
            <w:tcW w:w="3021" w:type="dxa"/>
          </w:tcPr>
          <w:p w:rsidR="00CE491F" w:rsidRDefault="00CE491F" w:rsidP="00C2192B">
            <w:pPr>
              <w:rPr>
                <w:lang w:val="en-US"/>
              </w:rPr>
            </w:pPr>
            <w:r>
              <w:rPr>
                <w:lang w:val="en-US"/>
              </w:rPr>
              <w:t>40.1</w:t>
            </w:r>
          </w:p>
        </w:tc>
      </w:tr>
      <w:tr w:rsidR="00CE491F" w:rsidTr="00C2192B">
        <w:tc>
          <w:tcPr>
            <w:tcW w:w="3020" w:type="dxa"/>
          </w:tcPr>
          <w:p w:rsidR="00CE491F" w:rsidRDefault="00CE491F" w:rsidP="00C2192B">
            <w:pPr>
              <w:rPr>
                <w:lang w:val="en-US"/>
              </w:rPr>
            </w:pPr>
            <w:r>
              <w:rPr>
                <w:lang w:val="en-US"/>
              </w:rPr>
              <w:t>HTR1A</w:t>
            </w:r>
          </w:p>
        </w:tc>
        <w:tc>
          <w:tcPr>
            <w:tcW w:w="3021" w:type="dxa"/>
          </w:tcPr>
          <w:p w:rsidR="00CE491F" w:rsidRDefault="00CE491F" w:rsidP="00C2192B">
            <w:pPr>
              <w:rPr>
                <w:lang w:val="en-US"/>
              </w:rPr>
            </w:pPr>
            <w:r>
              <w:rPr>
                <w:lang w:val="en-US"/>
              </w:rPr>
              <w:t>15.2</w:t>
            </w:r>
          </w:p>
        </w:tc>
        <w:tc>
          <w:tcPr>
            <w:tcW w:w="3021" w:type="dxa"/>
          </w:tcPr>
          <w:p w:rsidR="00CE491F" w:rsidRDefault="00CE491F" w:rsidP="00C2192B">
            <w:pPr>
              <w:rPr>
                <w:lang w:val="en-US"/>
              </w:rPr>
            </w:pPr>
            <w:r>
              <w:rPr>
                <w:lang w:val="en-US"/>
              </w:rPr>
              <w:t>32.8</w:t>
            </w:r>
          </w:p>
        </w:tc>
      </w:tr>
      <w:tr w:rsidR="00CE491F" w:rsidTr="00C2192B">
        <w:tc>
          <w:tcPr>
            <w:tcW w:w="3020" w:type="dxa"/>
          </w:tcPr>
          <w:p w:rsidR="00CE491F" w:rsidRDefault="00CE491F" w:rsidP="00C2192B">
            <w:pPr>
              <w:rPr>
                <w:lang w:val="en-US"/>
              </w:rPr>
            </w:pPr>
            <w:r>
              <w:rPr>
                <w:lang w:val="en-US"/>
              </w:rPr>
              <w:t>S1PR1</w:t>
            </w:r>
          </w:p>
        </w:tc>
        <w:tc>
          <w:tcPr>
            <w:tcW w:w="3021" w:type="dxa"/>
          </w:tcPr>
          <w:p w:rsidR="00CE491F" w:rsidRDefault="00CE491F" w:rsidP="00C2192B">
            <w:pPr>
              <w:rPr>
                <w:lang w:val="en-US"/>
              </w:rPr>
            </w:pPr>
            <w:r>
              <w:rPr>
                <w:lang w:val="en-US"/>
              </w:rPr>
              <w:t>16.3</w:t>
            </w:r>
          </w:p>
        </w:tc>
        <w:tc>
          <w:tcPr>
            <w:tcW w:w="3021" w:type="dxa"/>
          </w:tcPr>
          <w:p w:rsidR="00CE491F" w:rsidRDefault="00CE491F" w:rsidP="00C2192B">
            <w:pPr>
              <w:rPr>
                <w:lang w:val="en-US"/>
              </w:rPr>
            </w:pPr>
            <w:r>
              <w:rPr>
                <w:lang w:val="en-US"/>
              </w:rPr>
              <w:t>35.8</w:t>
            </w:r>
          </w:p>
        </w:tc>
      </w:tr>
    </w:tbl>
    <w:p w:rsidR="00CE491F" w:rsidRDefault="00CE491F" w:rsidP="00CE491F">
      <w:pPr>
        <w:rPr>
          <w:lang w:val="en-US"/>
        </w:rPr>
      </w:pPr>
    </w:p>
    <w:p w:rsidR="00CE491F" w:rsidRPr="00A7126D" w:rsidRDefault="00CE491F" w:rsidP="00CE491F">
      <w:pPr>
        <w:rPr>
          <w:rFonts w:eastAsiaTheme="minorEastAsia"/>
          <w:lang w:val="en-US"/>
        </w:rPr>
      </w:pPr>
      <w:r>
        <w:rPr>
          <w:lang w:val="en-US"/>
        </w:rPr>
        <w:t xml:space="preserve">This means, that for e.g. HTR1A, where the difference in mean NLL is 17.6, that on average a molecule generated by the </w:t>
      </w:r>
      <w:proofErr w:type="spellStart"/>
      <w:r>
        <w:rPr>
          <w:lang w:val="en-US"/>
        </w:rPr>
        <w:t>LatentGAN</w:t>
      </w:r>
      <w:proofErr w:type="spellEnd"/>
      <w:r>
        <w:rPr>
          <w:lang w:val="en-US"/>
        </w:rPr>
        <w:t xml:space="preserve"> is </w:t>
      </w:r>
      <m:oMath>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17.6</m:t>
            </m:r>
          </m:sup>
        </m:sSup>
        <m:r>
          <w:rPr>
            <w:rFonts w:ascii="Cambria Math" w:hAnsi="Cambria Math"/>
            <w:lang w:val="en-US"/>
          </w:rPr>
          <m:t>≈44</m:t>
        </m:r>
        <m:r>
          <m:rPr>
            <m:sty m:val="p"/>
          </m:rPr>
          <w:rPr>
            <w:rFonts w:ascii="Cambria Math" w:hAnsi="Cambria Math"/>
            <w:lang w:val="en-US"/>
          </w:rPr>
          <m:t>⋅</m:t>
        </m:r>
        <m:sSup>
          <m:sSupPr>
            <m:ctrlPr>
              <w:rPr>
                <w:rFonts w:ascii="Cambria Math" w:eastAsiaTheme="minorEastAsia" w:hAnsi="Cambria Math"/>
                <w:i/>
                <w:lang w:val="en-US"/>
              </w:rPr>
            </m:ctrlPr>
          </m:sSupPr>
          <m:e>
            <m:r>
              <w:rPr>
                <w:rFonts w:ascii="Cambria Math" w:eastAsiaTheme="minorEastAsia" w:hAnsi="Cambria Math"/>
                <w:lang w:val="en-US"/>
              </w:rPr>
              <m:t>10</m:t>
            </m:r>
            <m:ctrlPr>
              <w:rPr>
                <w:rFonts w:ascii="Cambria Math" w:hAnsi="Cambria Math"/>
                <w:lang w:val="en-US"/>
              </w:rPr>
            </m:ctrlPr>
          </m:e>
          <m:sup>
            <m:r>
              <w:rPr>
                <w:rFonts w:ascii="Cambria Math" w:eastAsiaTheme="minorEastAsia" w:hAnsi="Cambria Math"/>
                <w:lang w:val="en-US"/>
              </w:rPr>
              <m:t>6</m:t>
            </m:r>
          </m:sup>
        </m:sSup>
      </m:oMath>
      <w:r>
        <w:rPr>
          <w:rFonts w:eastAsiaTheme="minorEastAsia"/>
          <w:lang w:val="en-US"/>
        </w:rPr>
        <w:t xml:space="preserve"> times less likely to be generated by the RNN than the average molecule generated by the RNN. We make no claims regarding the size of the output space and therefore do not comment the actual frequency of the generated compounds.</w:t>
      </w:r>
    </w:p>
    <w:sectPr w:rsidR="00CE491F" w:rsidRPr="00A7126D" w:rsidSect="00E442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1304"/>
  <w:hyphenationZone w:val="425"/>
  <w:characterSpacingControl w:val="doNotCompress"/>
  <w:compat/>
  <w:rsids>
    <w:rsidRoot w:val="005F53ED"/>
    <w:rsid w:val="00020443"/>
    <w:rsid w:val="000B6BE1"/>
    <w:rsid w:val="001312AD"/>
    <w:rsid w:val="002178AF"/>
    <w:rsid w:val="00547F76"/>
    <w:rsid w:val="005F53ED"/>
    <w:rsid w:val="00784A3A"/>
    <w:rsid w:val="00910480"/>
    <w:rsid w:val="00A34552"/>
    <w:rsid w:val="00A851E2"/>
    <w:rsid w:val="00AC57BB"/>
    <w:rsid w:val="00C81541"/>
    <w:rsid w:val="00CE491F"/>
    <w:rsid w:val="00E44207"/>
    <w:rsid w:val="00F01D9B"/>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2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4A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A3A"/>
    <w:rPr>
      <w:rFonts w:ascii="Segoe UI" w:hAnsi="Segoe UI" w:cs="Segoe UI"/>
      <w:sz w:val="18"/>
      <w:szCs w:val="18"/>
    </w:rPr>
  </w:style>
  <w:style w:type="paragraph" w:styleId="Caption">
    <w:name w:val="caption"/>
    <w:basedOn w:val="Normal"/>
    <w:next w:val="Normal"/>
    <w:uiPriority w:val="35"/>
    <w:unhideWhenUsed/>
    <w:qFormat/>
    <w:rsid w:val="00A34552"/>
    <w:pPr>
      <w:spacing w:after="200" w:line="240" w:lineRule="auto"/>
    </w:pPr>
    <w:rPr>
      <w:i/>
      <w:iCs/>
      <w:color w:val="44546A" w:themeColor="text2"/>
      <w:sz w:val="18"/>
      <w:szCs w:val="18"/>
    </w:rPr>
  </w:style>
  <w:style w:type="character" w:styleId="Hyperlink">
    <w:name w:val="Hyperlink"/>
    <w:basedOn w:val="DefaultParagraphFont"/>
    <w:uiPriority w:val="99"/>
    <w:unhideWhenUsed/>
    <w:rsid w:val="00F01D9B"/>
    <w:rPr>
      <w:color w:val="0563C1" w:themeColor="hyperlink"/>
      <w:u w:val="single"/>
    </w:rPr>
  </w:style>
  <w:style w:type="table" w:styleId="TableGrid">
    <w:name w:val="Table Grid"/>
    <w:basedOn w:val="TableNormal"/>
    <w:uiPriority w:val="39"/>
    <w:rsid w:val="00CE49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Hongming.chen71@hotmail.com" TargetMode="External"/><Relationship Id="rId11" Type="http://schemas.openxmlformats.org/officeDocument/2006/relationships/theme" Target="theme/theme1.xml"/><Relationship Id="rId5" Type="http://schemas.openxmlformats.org/officeDocument/2006/relationships/hyperlink" Target="mailto:Simon.johansson@astrazeneca.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1AC9C-DAED-463E-ADB3-580F8CF3C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3</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Johansson, Simon</dc:creator>
  <cp:keywords/>
  <dc:description/>
  <cp:lastModifiedBy>0011692</cp:lastModifiedBy>
  <cp:revision>5</cp:revision>
  <dcterms:created xsi:type="dcterms:W3CDTF">2019-11-12T10:26:00Z</dcterms:created>
  <dcterms:modified xsi:type="dcterms:W3CDTF">2019-11-27T01:07:00Z</dcterms:modified>
</cp:coreProperties>
</file>