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05BF" w:rsidRDefault="00A805BF" w:rsidP="00A805BF">
      <w:pPr>
        <w:pStyle w:val="BATitle"/>
      </w:pPr>
      <w:r>
        <w:t xml:space="preserve">Supplementary Information </w:t>
      </w:r>
    </w:p>
    <w:p w:rsidR="00A805BF" w:rsidRDefault="00A805BF" w:rsidP="00A805BF">
      <w:pPr>
        <w:pStyle w:val="BBAuthorName"/>
      </w:pPr>
    </w:p>
    <w:p w:rsidR="00F04139" w:rsidRPr="006E2A96" w:rsidRDefault="00F04139" w:rsidP="00F04139">
      <w:pPr>
        <w:pStyle w:val="BATitle"/>
      </w:pPr>
      <w:bookmarkStart w:id="0" w:name="_Hlk71545510"/>
      <w:bookmarkStart w:id="1" w:name="_Hlk164335566"/>
      <w:bookmarkEnd w:id="0"/>
      <w:r>
        <w:t>Estimating the Synthetic Accessibility of Molecules with Building block and Reaction-aware SAScore</w:t>
      </w:r>
    </w:p>
    <w:bookmarkEnd w:id="1"/>
    <w:p w:rsidR="00A805BF" w:rsidRPr="00D07B7D" w:rsidRDefault="00A805BF" w:rsidP="00A805BF">
      <w:pPr>
        <w:pStyle w:val="BBAuthorName"/>
      </w:pPr>
      <w:r w:rsidRPr="00D07B7D">
        <w:t>Shuan Chen</w:t>
      </w:r>
      <w:r>
        <w:rPr>
          <w:vertAlign w:val="superscript"/>
        </w:rPr>
        <w:t>1</w:t>
      </w:r>
      <w:r w:rsidRPr="00D07B7D">
        <w:t xml:space="preserve">, </w:t>
      </w:r>
      <w:proofErr w:type="spellStart"/>
      <w:r w:rsidRPr="00D07B7D">
        <w:t>Yousung</w:t>
      </w:r>
      <w:proofErr w:type="spellEnd"/>
      <w:r w:rsidRPr="00D07B7D">
        <w:t xml:space="preserve"> Jung</w:t>
      </w:r>
      <w:r w:rsidRPr="00D07B7D">
        <w:rPr>
          <w:vertAlign w:val="superscript"/>
        </w:rPr>
        <w:t>1</w:t>
      </w:r>
      <w:r w:rsidR="00BA6DF4">
        <w:rPr>
          <w:vertAlign w:val="superscript"/>
        </w:rPr>
        <w:t>,2</w:t>
      </w:r>
      <w:r w:rsidRPr="00D07B7D">
        <w:rPr>
          <w:vertAlign w:val="superscript"/>
        </w:rPr>
        <w:t>*</w:t>
      </w:r>
    </w:p>
    <w:p w:rsidR="00BA6DF4" w:rsidRDefault="00BA6DF4" w:rsidP="00BA6DF4">
      <w:pPr>
        <w:pStyle w:val="BCAuthorAddress"/>
      </w:pPr>
      <w:r>
        <w:rPr>
          <w:rFonts w:eastAsiaTheme="minorEastAsia"/>
          <w:lang w:eastAsia="ko-KR"/>
        </w:rPr>
        <w:t>Department</w:t>
      </w:r>
      <w:r w:rsidRPr="00F2254F">
        <w:t xml:space="preserve"> of Chemical </w:t>
      </w:r>
      <w:r>
        <w:t xml:space="preserve">and Biological </w:t>
      </w:r>
      <w:r w:rsidRPr="00F2254F">
        <w:t xml:space="preserve">Engineering, </w:t>
      </w:r>
      <w:r>
        <w:t>Seoul National University</w:t>
      </w:r>
      <w:r w:rsidRPr="00F2254F">
        <w:t xml:space="preserve">, </w:t>
      </w:r>
      <w:r w:rsidRPr="002C4A43">
        <w:t>1 Gwanak-ro, Gwanak-gu, Seoul</w:t>
      </w:r>
      <w:r w:rsidRPr="00F2254F">
        <w:t>,</w:t>
      </w:r>
      <w:r>
        <w:t xml:space="preserve"> 08826,</w:t>
      </w:r>
      <w:r w:rsidRPr="00F2254F">
        <w:t xml:space="preserve"> South Korea</w:t>
      </w:r>
    </w:p>
    <w:p w:rsidR="00BA6DF4" w:rsidRDefault="00BA6DF4" w:rsidP="00BA6DF4">
      <w:pPr>
        <w:pStyle w:val="BCAuthorAddress"/>
      </w:pPr>
      <w:r>
        <w:rPr>
          <w:rFonts w:eastAsiaTheme="minorEastAsia"/>
          <w:lang w:eastAsia="ko-KR"/>
        </w:rPr>
        <w:t>Institute of Chemical Processes</w:t>
      </w:r>
      <w:r w:rsidRPr="00F2254F">
        <w:t xml:space="preserve">, </w:t>
      </w:r>
      <w:r>
        <w:t>Seoul National University</w:t>
      </w:r>
      <w:r w:rsidRPr="00F2254F">
        <w:t xml:space="preserve">, </w:t>
      </w:r>
      <w:r w:rsidRPr="002C4A43">
        <w:t>1 Gwanak-ro, Gwanak-gu, Seoul</w:t>
      </w:r>
      <w:r w:rsidRPr="00F2254F">
        <w:t>,</w:t>
      </w:r>
      <w:r>
        <w:t xml:space="preserve"> 08826,</w:t>
      </w:r>
      <w:r w:rsidRPr="00F2254F">
        <w:t xml:space="preserve"> South Korea</w:t>
      </w:r>
    </w:p>
    <w:p w:rsidR="00A32920" w:rsidRPr="00A32920" w:rsidRDefault="00D908DC" w:rsidP="00A32920">
      <w:pPr>
        <w:pStyle w:val="BCAuthorAddress"/>
        <w:rPr>
          <w:rFonts w:eastAsiaTheme="minorEastAsia"/>
          <w:lang w:eastAsia="ko-KR"/>
        </w:rPr>
      </w:pPr>
      <w:r w:rsidRPr="00A32920">
        <w:rPr>
          <w:rFonts w:eastAsiaTheme="minorEastAsia"/>
          <w:lang w:eastAsia="ko-KR"/>
        </w:rPr>
        <w:t xml:space="preserve">Institute </w:t>
      </w:r>
      <w:r w:rsidRPr="009C5FE9">
        <w:rPr>
          <w:rFonts w:eastAsiaTheme="minorEastAsia"/>
          <w:lang w:eastAsia="ko-KR"/>
        </w:rPr>
        <w:t>of Engineering Research</w:t>
      </w:r>
      <w:r w:rsidRPr="00A32920">
        <w:rPr>
          <w:rFonts w:eastAsiaTheme="minorEastAsia"/>
          <w:lang w:eastAsia="ko-KR"/>
        </w:rPr>
        <w:t xml:space="preserve">, Seoul National University, 1 </w:t>
      </w:r>
      <w:proofErr w:type="spellStart"/>
      <w:r w:rsidRPr="00A32920">
        <w:rPr>
          <w:rFonts w:eastAsiaTheme="minorEastAsia"/>
          <w:lang w:eastAsia="ko-KR"/>
        </w:rPr>
        <w:t>Gwanak-ro</w:t>
      </w:r>
      <w:proofErr w:type="spellEnd"/>
      <w:r w:rsidRPr="00A32920">
        <w:rPr>
          <w:rFonts w:eastAsiaTheme="minorEastAsia"/>
          <w:lang w:eastAsia="ko-KR"/>
        </w:rPr>
        <w:t xml:space="preserve">, </w:t>
      </w:r>
      <w:proofErr w:type="spellStart"/>
      <w:r w:rsidRPr="00A32920">
        <w:rPr>
          <w:rFonts w:eastAsiaTheme="minorEastAsia"/>
          <w:lang w:eastAsia="ko-KR"/>
        </w:rPr>
        <w:t>Gwanak-gu</w:t>
      </w:r>
      <w:proofErr w:type="spellEnd"/>
      <w:r w:rsidRPr="00A32920">
        <w:rPr>
          <w:rFonts w:eastAsiaTheme="minorEastAsia"/>
          <w:lang w:eastAsia="ko-KR"/>
        </w:rPr>
        <w:t>, Seoul, 08826,</w:t>
      </w:r>
    </w:p>
    <w:p w:rsidR="00D908DC" w:rsidRPr="00A32920" w:rsidRDefault="00D908DC" w:rsidP="00A32920">
      <w:pPr>
        <w:pStyle w:val="BCAuthorAddress"/>
        <w:numPr>
          <w:ilvl w:val="0"/>
          <w:numId w:val="0"/>
        </w:numPr>
        <w:ind w:left="760"/>
        <w:rPr>
          <w:rFonts w:eastAsiaTheme="minorEastAsia"/>
          <w:lang w:eastAsia="ko-KR"/>
        </w:rPr>
      </w:pPr>
      <w:r w:rsidRPr="00A32920">
        <w:rPr>
          <w:rFonts w:eastAsiaTheme="minorEastAsia"/>
          <w:lang w:eastAsia="ko-KR"/>
        </w:rPr>
        <w:t>South Korea</w:t>
      </w:r>
      <w:bookmarkStart w:id="2" w:name="_GoBack"/>
      <w:bookmarkEnd w:id="2"/>
    </w:p>
    <w:p w:rsidR="009E2DEF" w:rsidRDefault="00A805BF" w:rsidP="0067560F">
      <w:pPr>
        <w:pStyle w:val="BIEmailAddress"/>
        <w:ind w:left="400" w:firstLine="0"/>
        <w:rPr>
          <w:rStyle w:val="Hyperlink"/>
        </w:rPr>
      </w:pPr>
      <w:bookmarkStart w:id="3" w:name="_Hlk164335581"/>
      <w:r w:rsidRPr="00D07B7D">
        <w:t xml:space="preserve">*Correspondence: </w:t>
      </w:r>
      <w:hyperlink r:id="rId7" w:history="1">
        <w:r w:rsidRPr="00D07B7D">
          <w:rPr>
            <w:rStyle w:val="Hyperlink"/>
          </w:rPr>
          <w:t>yousung.jung@snu.ac.kr</w:t>
        </w:r>
      </w:hyperlink>
    </w:p>
    <w:bookmarkEnd w:id="3"/>
    <w:p w:rsidR="0067560F" w:rsidRPr="0067560F" w:rsidRDefault="0067560F" w:rsidP="0067560F">
      <w:pPr>
        <w:rPr>
          <w:lang w:eastAsia="en-US"/>
        </w:rPr>
      </w:pPr>
    </w:p>
    <w:p w:rsidR="007419CE" w:rsidRPr="00745A16" w:rsidRDefault="007419CE" w:rsidP="00745A16">
      <w:pPr>
        <w:pStyle w:val="Heading1"/>
      </w:pPr>
      <w:r w:rsidRPr="00745A16">
        <w:t xml:space="preserve">S1. </w:t>
      </w:r>
      <w:r w:rsidR="00745A16">
        <w:t>Hyperparameters of Retro*</w:t>
      </w:r>
    </w:p>
    <w:p w:rsidR="009E2DEF" w:rsidRPr="009E2DEF" w:rsidRDefault="009E2DEF" w:rsidP="009E2DEF">
      <w:pPr>
        <w:rPr>
          <w:lang w:eastAsia="en-US"/>
        </w:rPr>
      </w:pPr>
      <w:r w:rsidRPr="009E2DEF">
        <w:rPr>
          <w:rFonts w:eastAsia="Times New Roman" w:cs="Times New Roman"/>
          <w:kern w:val="22"/>
          <w:sz w:val="20"/>
          <w14:ligatures w14:val="none"/>
        </w:rPr>
        <w:t>Table</w:t>
      </w:r>
      <w:r>
        <w:rPr>
          <w:rFonts w:eastAsia="Times New Roman" w:cs="Times New Roman"/>
          <w:kern w:val="22"/>
          <w:sz w:val="20"/>
          <w14:ligatures w14:val="none"/>
        </w:rPr>
        <w:t xml:space="preserve"> S1</w:t>
      </w:r>
      <w:r w:rsidRPr="009E2DEF">
        <w:rPr>
          <w:rFonts w:eastAsia="Times New Roman" w:cs="Times New Roman"/>
          <w:kern w:val="22"/>
          <w:sz w:val="20"/>
          <w14:ligatures w14:val="none"/>
        </w:rPr>
        <w:t>. The hyperparameters of Retro*</w:t>
      </w:r>
      <w:r>
        <w:rPr>
          <w:lang w:eastAsia="en-US"/>
        </w:rPr>
        <w:fldChar w:fldCharType="begin"/>
      </w:r>
      <w:r w:rsidR="00A910A5">
        <w:rPr>
          <w:lang w:eastAsia="en-US"/>
        </w:rPr>
        <w:instrText xml:space="preserve"> ADDIN ZOTERO_ITEM CSL_CITATION {"citationID":"zISxeKmF","properties":{"formattedCitation":"[1]","plainCitation":"[1]","noteIndex":0},"citationItems":[{"id":907,"uris":["http://zotero.org/users/9053542/items/SP7FVDC3"],"itemData":{"id":907,"type":"paper-conference","abstract":"Retrosynthetic planning is a critical task in organic chemistry which identifies a series of reactions that can lead to the synthesis of a target product. The vast number of possible chemical transformations makes the size of the search space very big, and retrosynthetic planning is challenging even for experienced chemists. However, existing methods either require expensive return estimation by rollout with high variance, or optimize for search speed rather than the quality. In this paper, we propose Retro*, a neural-based A*-like algorithm that finds high-quality synthetic routes efficiently. It maintains the search as an AND-OR tree, and learns a neural search bias with off-policy data. Then guided by this neural network, it performs best-first search efficiently during new planning episodes. Experiments on benchmark USPTO datasets show that, our proposed method outperforms existing state-of-the-art with respect to both the success rate and solution quality, while being more efficient at the same time.","container-title":"Proceedings of the 37th International Conference on Machine Learning","event-title":"International Conference on Machine Learning","language":"en","note":"ISSN: 2640-3498","page":"1608-1616","publisher":"PMLR","source":"proceedings.mlr.press","title":"Retro*: Learning Retrosynthetic Planning with Neural Guided A* Search","title-short":"Retro*","URL":"https://proceedings.mlr.press/v119/chen20k.html","author":[{"family":"Chen","given":"Binghong"},{"family":"Li","given":"Chengtao"},{"family":"Dai","given":"Hanjun"},{"family":"Song","given":"Le"}],"accessed":{"date-parts":[["2024",2,29]]},"issued":{"date-parts":[["2020",11,21]]}}}],"schema":"https://github.com/citation-style-language/schema/raw/master/csl-citation.json"} </w:instrText>
      </w:r>
      <w:r>
        <w:rPr>
          <w:lang w:eastAsia="en-US"/>
        </w:rPr>
        <w:fldChar w:fldCharType="separate"/>
      </w:r>
      <w:r w:rsidR="00A910A5">
        <w:rPr>
          <w:rFonts w:ascii="Calibri" w:hAnsiTheme="minorHAnsi" w:cs="Calibri"/>
          <w:kern w:val="0"/>
        </w:rPr>
        <w:t>[1]</w:t>
      </w:r>
      <w:r>
        <w:rPr>
          <w:lang w:eastAsia="en-US"/>
        </w:rPr>
        <w:fldChar w:fldCharType="end"/>
      </w:r>
      <w:r w:rsidR="00712559">
        <w:rPr>
          <w:lang w:eastAsia="en-US"/>
        </w:rPr>
        <w:t xml:space="preserve"> implemented in this paper for synthetic accessibility labeling.</w:t>
      </w:r>
    </w:p>
    <w:tbl>
      <w:tblPr>
        <w:tblStyle w:val="TableGrid"/>
        <w:tblW w:w="0" w:type="auto"/>
        <w:tblLook w:val="04A0" w:firstRow="1" w:lastRow="0" w:firstColumn="1" w:lastColumn="0" w:noHBand="0" w:noVBand="1"/>
      </w:tblPr>
      <w:tblGrid>
        <w:gridCol w:w="3539"/>
        <w:gridCol w:w="2835"/>
      </w:tblGrid>
      <w:tr w:rsidR="00FC1EE5" w:rsidRPr="009E2DEF" w:rsidTr="00484308">
        <w:tc>
          <w:tcPr>
            <w:tcW w:w="3539" w:type="dxa"/>
          </w:tcPr>
          <w:p w:rsidR="00FC1EE5" w:rsidRPr="00484308" w:rsidRDefault="00FC1EE5" w:rsidP="009E2DEF">
            <w:pPr>
              <w:rPr>
                <w:rFonts w:eastAsia="Times New Roman" w:cs="Times New Roman"/>
                <w:b/>
                <w:bCs/>
                <w:kern w:val="22"/>
                <w:sz w:val="20"/>
                <w14:ligatures w14:val="none"/>
              </w:rPr>
            </w:pPr>
            <w:r w:rsidRPr="00484308">
              <w:rPr>
                <w:rFonts w:eastAsia="Times New Roman" w:cs="Times New Roman"/>
                <w:b/>
                <w:bCs/>
                <w:kern w:val="22"/>
                <w:sz w:val="20"/>
                <w14:ligatures w14:val="none"/>
              </w:rPr>
              <w:t>Hyperparameter</w:t>
            </w:r>
          </w:p>
        </w:tc>
        <w:tc>
          <w:tcPr>
            <w:tcW w:w="2835" w:type="dxa"/>
          </w:tcPr>
          <w:p w:rsidR="00FC1EE5" w:rsidRPr="00484308" w:rsidRDefault="00FC1EE5" w:rsidP="009E2DEF">
            <w:pPr>
              <w:rPr>
                <w:rFonts w:eastAsia="Times New Roman" w:cs="Times New Roman"/>
                <w:b/>
                <w:bCs/>
                <w:kern w:val="22"/>
                <w:sz w:val="20"/>
                <w14:ligatures w14:val="none"/>
              </w:rPr>
            </w:pPr>
            <w:r w:rsidRPr="00484308">
              <w:rPr>
                <w:rFonts w:eastAsia="Times New Roman" w:cs="Times New Roman"/>
                <w:b/>
                <w:bCs/>
                <w:kern w:val="22"/>
                <w:sz w:val="20"/>
                <w14:ligatures w14:val="none"/>
              </w:rPr>
              <w:t>Value</w:t>
            </w:r>
          </w:p>
        </w:tc>
      </w:tr>
      <w:tr w:rsidR="00FC1EE5" w:rsidRPr="009E2DEF" w:rsidTr="00484308">
        <w:tc>
          <w:tcPr>
            <w:tcW w:w="3539" w:type="dxa"/>
          </w:tcPr>
          <w:p w:rsidR="00FC1EE5" w:rsidRPr="009E2DEF" w:rsidRDefault="00FC1EE5" w:rsidP="009E2DEF">
            <w:pPr>
              <w:rPr>
                <w:rFonts w:eastAsia="Times New Roman" w:cs="Times New Roman"/>
                <w:kern w:val="22"/>
                <w:sz w:val="20"/>
                <w14:ligatures w14:val="none"/>
              </w:rPr>
            </w:pPr>
            <w:r w:rsidRPr="009E2DEF">
              <w:rPr>
                <w:rFonts w:eastAsia="Times New Roman" w:cs="Times New Roman"/>
                <w:kern w:val="22"/>
                <w:sz w:val="20"/>
                <w14:ligatures w14:val="none"/>
              </w:rPr>
              <w:t>Use GPU</w:t>
            </w:r>
          </w:p>
        </w:tc>
        <w:tc>
          <w:tcPr>
            <w:tcW w:w="2835" w:type="dxa"/>
          </w:tcPr>
          <w:p w:rsidR="00FC1EE5" w:rsidRPr="009E2DEF" w:rsidRDefault="00FC1EE5" w:rsidP="009E2DEF">
            <w:pPr>
              <w:rPr>
                <w:rFonts w:eastAsia="Times New Roman" w:cs="Times New Roman"/>
                <w:kern w:val="22"/>
                <w:sz w:val="20"/>
                <w14:ligatures w14:val="none"/>
              </w:rPr>
            </w:pPr>
            <w:r w:rsidRPr="009E2DEF">
              <w:rPr>
                <w:rFonts w:eastAsia="Times New Roman" w:cs="Times New Roman"/>
                <w:kern w:val="22"/>
                <w:sz w:val="20"/>
                <w14:ligatures w14:val="none"/>
              </w:rPr>
              <w:t>False</w:t>
            </w:r>
          </w:p>
        </w:tc>
      </w:tr>
      <w:tr w:rsidR="00FC1EE5" w:rsidRPr="009E2DEF" w:rsidTr="00484308">
        <w:tc>
          <w:tcPr>
            <w:tcW w:w="3539" w:type="dxa"/>
          </w:tcPr>
          <w:p w:rsidR="00FC1EE5" w:rsidRPr="009E2DEF" w:rsidRDefault="00FC1EE5" w:rsidP="009E2DEF">
            <w:pPr>
              <w:rPr>
                <w:rFonts w:eastAsia="Times New Roman" w:cs="Times New Roman"/>
                <w:kern w:val="22"/>
                <w:sz w:val="20"/>
                <w14:ligatures w14:val="none"/>
              </w:rPr>
            </w:pPr>
            <w:r w:rsidRPr="009E2DEF">
              <w:rPr>
                <w:rFonts w:eastAsia="Times New Roman" w:cs="Times New Roman"/>
                <w:kern w:val="22"/>
                <w:sz w:val="20"/>
                <w14:ligatures w14:val="none"/>
              </w:rPr>
              <w:t>Use value function</w:t>
            </w:r>
          </w:p>
        </w:tc>
        <w:tc>
          <w:tcPr>
            <w:tcW w:w="2835" w:type="dxa"/>
          </w:tcPr>
          <w:p w:rsidR="00FC1EE5" w:rsidRPr="009E2DEF" w:rsidRDefault="00FC1EE5" w:rsidP="009E2DEF">
            <w:pPr>
              <w:rPr>
                <w:rFonts w:eastAsia="Times New Roman" w:cs="Times New Roman"/>
                <w:kern w:val="22"/>
                <w:sz w:val="20"/>
                <w14:ligatures w14:val="none"/>
              </w:rPr>
            </w:pPr>
            <w:r w:rsidRPr="009E2DEF">
              <w:rPr>
                <w:rFonts w:eastAsia="Times New Roman" w:cs="Times New Roman"/>
                <w:kern w:val="22"/>
                <w:sz w:val="20"/>
                <w14:ligatures w14:val="none"/>
              </w:rPr>
              <w:t>True</w:t>
            </w:r>
          </w:p>
        </w:tc>
      </w:tr>
      <w:tr w:rsidR="00FC1EE5" w:rsidRPr="009E2DEF" w:rsidTr="00484308">
        <w:tc>
          <w:tcPr>
            <w:tcW w:w="3539" w:type="dxa"/>
          </w:tcPr>
          <w:p w:rsidR="00FC1EE5" w:rsidRPr="009E2DEF" w:rsidRDefault="00FC1EE5" w:rsidP="009E2DEF">
            <w:pPr>
              <w:rPr>
                <w:rFonts w:eastAsia="Times New Roman" w:cs="Times New Roman"/>
                <w:kern w:val="22"/>
                <w:sz w:val="20"/>
                <w14:ligatures w14:val="none"/>
              </w:rPr>
            </w:pPr>
            <w:r w:rsidRPr="009E2DEF">
              <w:rPr>
                <w:rFonts w:eastAsia="Times New Roman" w:cs="Times New Roman"/>
                <w:kern w:val="22"/>
                <w:sz w:val="20"/>
                <w14:ligatures w14:val="none"/>
              </w:rPr>
              <w:t>Maximum iteration</w:t>
            </w:r>
          </w:p>
        </w:tc>
        <w:tc>
          <w:tcPr>
            <w:tcW w:w="2835" w:type="dxa"/>
          </w:tcPr>
          <w:p w:rsidR="00FC1EE5" w:rsidRPr="009E2DEF" w:rsidRDefault="00FC1EE5" w:rsidP="009E2DEF">
            <w:pPr>
              <w:rPr>
                <w:rFonts w:eastAsia="Times New Roman" w:cs="Times New Roman"/>
                <w:kern w:val="22"/>
                <w:sz w:val="20"/>
                <w14:ligatures w14:val="none"/>
              </w:rPr>
            </w:pPr>
            <w:r w:rsidRPr="009E2DEF">
              <w:rPr>
                <w:rFonts w:eastAsia="Times New Roman" w:cs="Times New Roman"/>
                <w:kern w:val="22"/>
                <w:sz w:val="20"/>
                <w14:ligatures w14:val="none"/>
              </w:rPr>
              <w:t>100</w:t>
            </w:r>
          </w:p>
        </w:tc>
      </w:tr>
      <w:tr w:rsidR="00FC1EE5" w:rsidRPr="009E2DEF" w:rsidTr="00484308">
        <w:tc>
          <w:tcPr>
            <w:tcW w:w="3539" w:type="dxa"/>
          </w:tcPr>
          <w:p w:rsidR="00FC1EE5" w:rsidRPr="009E2DEF" w:rsidRDefault="00FC1EE5" w:rsidP="009E2DEF">
            <w:pPr>
              <w:rPr>
                <w:rFonts w:eastAsia="Times New Roman" w:cs="Times New Roman"/>
                <w:kern w:val="22"/>
                <w:sz w:val="20"/>
                <w14:ligatures w14:val="none"/>
              </w:rPr>
            </w:pPr>
            <w:r w:rsidRPr="009E2DEF">
              <w:rPr>
                <w:rFonts w:eastAsia="Times New Roman" w:cs="Times New Roman"/>
                <w:kern w:val="22"/>
                <w:sz w:val="20"/>
                <w14:ligatures w14:val="none"/>
              </w:rPr>
              <w:t>Expansion topk</w:t>
            </w:r>
          </w:p>
        </w:tc>
        <w:tc>
          <w:tcPr>
            <w:tcW w:w="2835" w:type="dxa"/>
          </w:tcPr>
          <w:p w:rsidR="00FC1EE5" w:rsidRPr="009E2DEF" w:rsidRDefault="00FC1EE5" w:rsidP="009E2DEF">
            <w:pPr>
              <w:rPr>
                <w:rFonts w:eastAsia="Times New Roman" w:cs="Times New Roman"/>
                <w:kern w:val="22"/>
                <w:sz w:val="20"/>
                <w14:ligatures w14:val="none"/>
              </w:rPr>
            </w:pPr>
            <w:r w:rsidRPr="009E2DEF">
              <w:rPr>
                <w:rFonts w:eastAsia="Times New Roman" w:cs="Times New Roman"/>
                <w:kern w:val="22"/>
                <w:sz w:val="20"/>
                <w14:ligatures w14:val="none"/>
              </w:rPr>
              <w:t>50</w:t>
            </w:r>
          </w:p>
        </w:tc>
      </w:tr>
    </w:tbl>
    <w:p w:rsidR="009E2DEF" w:rsidRDefault="009E2DEF">
      <w:pPr>
        <w:rPr>
          <w:lang w:eastAsia="en-US"/>
        </w:rPr>
      </w:pPr>
      <w:r>
        <w:rPr>
          <w:lang w:eastAsia="en-US"/>
        </w:rPr>
        <w:br w:type="page"/>
      </w:r>
    </w:p>
    <w:p w:rsidR="00745A16" w:rsidRPr="00745A16" w:rsidRDefault="00745A16" w:rsidP="00745A16">
      <w:pPr>
        <w:pStyle w:val="Heading1"/>
      </w:pPr>
      <w:r w:rsidRPr="00745A16">
        <w:lastRenderedPageBreak/>
        <w:t>S</w:t>
      </w:r>
      <w:r w:rsidR="0070374A">
        <w:t>2</w:t>
      </w:r>
      <w:r w:rsidRPr="00745A16">
        <w:t xml:space="preserve">. </w:t>
      </w:r>
      <w:r>
        <w:t xml:space="preserve">Distribution of </w:t>
      </w:r>
      <w:r w:rsidR="00825BAE">
        <w:t xml:space="preserve">the </w:t>
      </w:r>
      <w:r>
        <w:t>number of atoms and number of chiral centers</w:t>
      </w:r>
    </w:p>
    <w:p w:rsidR="009E2DEF" w:rsidRDefault="009E2DEF">
      <w:pPr>
        <w:rPr>
          <w:lang w:eastAsia="en-US"/>
        </w:rPr>
      </w:pPr>
      <w:r>
        <w:rPr>
          <w:noProof/>
          <w:lang w:eastAsia="en-US"/>
        </w:rPr>
        <w:drawing>
          <wp:inline distT="0" distB="0" distL="0" distR="0">
            <wp:extent cx="4518639" cy="6467856"/>
            <wp:effectExtent l="0" t="0" r="3175" b="0"/>
            <wp:docPr id="387243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4360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3004" cy="6474103"/>
                    </a:xfrm>
                    <a:prstGeom prst="rect">
                      <a:avLst/>
                    </a:prstGeom>
                  </pic:spPr>
                </pic:pic>
              </a:graphicData>
            </a:graphic>
          </wp:inline>
        </w:drawing>
      </w:r>
    </w:p>
    <w:p w:rsidR="0072689E" w:rsidRDefault="009E2DEF">
      <w:pPr>
        <w:rPr>
          <w:lang w:eastAsia="en-US"/>
        </w:rPr>
      </w:pPr>
      <w:r>
        <w:rPr>
          <w:lang w:eastAsia="en-US"/>
        </w:rPr>
        <w:t xml:space="preserve">Figure S1. The distribution of </w:t>
      </w:r>
      <w:r w:rsidR="00825BAE">
        <w:rPr>
          <w:lang w:eastAsia="en-US"/>
        </w:rPr>
        <w:t xml:space="preserve">the </w:t>
      </w:r>
      <w:proofErr w:type="spellStart"/>
      <w:r w:rsidR="003E6A21">
        <w:rPr>
          <w:lang w:eastAsia="en-US"/>
        </w:rPr>
        <w:t>SizePenalty</w:t>
      </w:r>
      <w:proofErr w:type="spellEnd"/>
      <w:r w:rsidR="003E6A21">
        <w:rPr>
          <w:lang w:eastAsia="en-US"/>
        </w:rPr>
        <w:t xml:space="preserve">, </w:t>
      </w:r>
      <w:proofErr w:type="spellStart"/>
      <w:r w:rsidR="003E6A21">
        <w:rPr>
          <w:lang w:eastAsia="en-US"/>
        </w:rPr>
        <w:t>StereoPenalty</w:t>
      </w:r>
      <w:proofErr w:type="spellEnd"/>
      <w:r w:rsidR="003E6A21">
        <w:rPr>
          <w:lang w:eastAsia="en-US"/>
        </w:rPr>
        <w:t xml:space="preserve">, </w:t>
      </w:r>
      <w:proofErr w:type="spellStart"/>
      <w:r w:rsidR="003E6A21">
        <w:rPr>
          <w:lang w:eastAsia="en-US"/>
        </w:rPr>
        <w:t>RingComplexity</w:t>
      </w:r>
      <w:proofErr w:type="spellEnd"/>
      <w:r w:rsidR="003E6A21">
        <w:rPr>
          <w:lang w:eastAsia="en-US"/>
        </w:rPr>
        <w:t xml:space="preserve">, </w:t>
      </w:r>
      <w:proofErr w:type="spellStart"/>
      <w:r w:rsidR="003E6A21">
        <w:rPr>
          <w:lang w:eastAsia="en-US"/>
        </w:rPr>
        <w:t>MacrocycleComplexity</w:t>
      </w:r>
      <w:proofErr w:type="spellEnd"/>
      <w:r w:rsidR="003E6A21">
        <w:rPr>
          <w:lang w:eastAsia="en-US"/>
        </w:rPr>
        <w:t xml:space="preserve"> </w:t>
      </w:r>
      <w:r>
        <w:rPr>
          <w:lang w:eastAsia="en-US"/>
        </w:rPr>
        <w:t xml:space="preserve">of ES and HS molecules in </w:t>
      </w:r>
      <w:r w:rsidR="00880965">
        <w:rPr>
          <w:lang w:eastAsia="en-US"/>
        </w:rPr>
        <w:t xml:space="preserve">the </w:t>
      </w:r>
      <w:r>
        <w:rPr>
          <w:lang w:eastAsia="en-US"/>
        </w:rPr>
        <w:t>three test sets.</w:t>
      </w:r>
      <w:r w:rsidR="0072689E">
        <w:rPr>
          <w:lang w:eastAsia="en-US"/>
        </w:rPr>
        <w:br w:type="page"/>
      </w:r>
    </w:p>
    <w:p w:rsidR="0024521B" w:rsidRPr="00745A16" w:rsidRDefault="0024521B" w:rsidP="0024521B">
      <w:pPr>
        <w:pStyle w:val="Heading1"/>
      </w:pPr>
      <w:r w:rsidRPr="00745A16">
        <w:lastRenderedPageBreak/>
        <w:t>S</w:t>
      </w:r>
      <w:r w:rsidR="0070374A">
        <w:t>3</w:t>
      </w:r>
      <w:r w:rsidRPr="00745A16">
        <w:t xml:space="preserve">. </w:t>
      </w:r>
      <w:r>
        <w:t>To</w:t>
      </w:r>
      <w:r w:rsidR="005A70D3">
        <w:t>p-</w:t>
      </w:r>
      <w:r>
        <w:t xml:space="preserve">10 RFrags and BFrags with </w:t>
      </w:r>
      <w:r w:rsidR="003524CB">
        <w:t xml:space="preserve">the </w:t>
      </w:r>
      <w:r>
        <w:t>highest score</w:t>
      </w:r>
    </w:p>
    <w:p w:rsidR="0072689E" w:rsidRDefault="0072689E">
      <w:pPr>
        <w:rPr>
          <w:lang w:eastAsia="en-US"/>
        </w:rPr>
      </w:pPr>
      <w:r>
        <w:rPr>
          <w:noProof/>
          <w:lang w:eastAsia="en-US"/>
        </w:rPr>
        <w:drawing>
          <wp:inline distT="0" distB="0" distL="0" distR="0">
            <wp:extent cx="4453586" cy="3287865"/>
            <wp:effectExtent l="0" t="0" r="4445" b="1905"/>
            <wp:docPr id="320821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21861"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3586" cy="3287865"/>
                    </a:xfrm>
                    <a:prstGeom prst="rect">
                      <a:avLst/>
                    </a:prstGeom>
                  </pic:spPr>
                </pic:pic>
              </a:graphicData>
            </a:graphic>
          </wp:inline>
        </w:drawing>
      </w:r>
    </w:p>
    <w:p w:rsidR="007419CE" w:rsidRPr="00DA441A" w:rsidRDefault="0072689E">
      <w:pPr>
        <w:rPr>
          <w:szCs w:val="18"/>
          <w:lang w:eastAsia="en-US"/>
        </w:rPr>
      </w:pPr>
      <w:r w:rsidRPr="00DA441A">
        <w:rPr>
          <w:szCs w:val="18"/>
          <w:lang w:eastAsia="en-US"/>
        </w:rPr>
        <w:t>Figure S2. The ECFP4</w:t>
      </w:r>
      <w:r w:rsidR="007419CE" w:rsidRPr="00DA441A">
        <w:rPr>
          <w:szCs w:val="18"/>
          <w:lang w:eastAsia="en-US"/>
        </w:rPr>
        <w:fldChar w:fldCharType="begin"/>
      </w:r>
      <w:r w:rsidR="00A910A5" w:rsidRPr="00DA441A">
        <w:rPr>
          <w:szCs w:val="18"/>
          <w:lang w:eastAsia="en-US"/>
        </w:rPr>
        <w:instrText xml:space="preserve"> ADDIN ZOTERO_ITEM CSL_CITATION {"citationID":"6AyDTbH1","properties":{"formattedCitation":"[2]","plainCitation":"[2]","noteIndex":0},"citationItems":[{"id":948,"uris":["http://zotero.org/users/9053542/items/9YDBNTPV"],"itemData":{"id":948,"type":"article-journal","abstract":"Extended-connectivity fingerprints (ECFPs) are a novel class of topological fingerprints for molecular characterization. Historically, topological fingerprints were developed for substructure and similarity searching. ECFPs were developed specifically for structure−activity modeling. ECFPs are circular fingerprints with a number of useful qualities: they can be very rapidly calculated; they are not predefined and can represent an essentially infinite number of different molecular features (including stereochemical information); their features represent the presence of particular substructures, allowing easier interpretation of analysis results; and the ECFP algorithm can be tailored to generate different types of circular fingerprints, optimized for different uses. While the use of ECFPs has been widely adopted and validated, a description of their implementation has not previously been presented in the literature.","container-title":"Journal of Chemical Information and Modeling","DOI":"10.1021/ci100050t","ISSN":"1549-9596","issue":"5","journalAbbreviation":"J. Chem. Inf. Model.","note":"publisher: American Chemical Society","page":"742-754","source":"ACS Publications","title":"Extended-Connectivity Fingerprints","volume":"50","author":[{"family":"Rogers","given":"David"},{"family":"Hahn","given":"Mathew"}],"issued":{"date-parts":[["2010",5,24]]}}}],"schema":"https://github.com/citation-style-language/schema/raw/master/csl-citation.json"} </w:instrText>
      </w:r>
      <w:r w:rsidR="007419CE" w:rsidRPr="00DA441A">
        <w:rPr>
          <w:szCs w:val="18"/>
          <w:lang w:eastAsia="en-US"/>
        </w:rPr>
        <w:fldChar w:fldCharType="separate"/>
      </w:r>
      <w:r w:rsidR="00A910A5" w:rsidRPr="00DA441A">
        <w:rPr>
          <w:rFonts w:cs="Times New Roman"/>
          <w:kern w:val="0"/>
          <w:szCs w:val="18"/>
        </w:rPr>
        <w:t>[2]</w:t>
      </w:r>
      <w:r w:rsidR="007419CE" w:rsidRPr="00DA441A">
        <w:rPr>
          <w:szCs w:val="18"/>
          <w:lang w:eastAsia="en-US"/>
        </w:rPr>
        <w:fldChar w:fldCharType="end"/>
      </w:r>
      <w:r w:rsidRPr="00DA441A">
        <w:rPr>
          <w:szCs w:val="18"/>
          <w:lang w:eastAsia="en-US"/>
        </w:rPr>
        <w:t xml:space="preserve"> of the top-10 </w:t>
      </w:r>
      <w:proofErr w:type="spellStart"/>
      <w:r w:rsidR="00467E58" w:rsidRPr="00DA441A">
        <w:rPr>
          <w:szCs w:val="18"/>
          <w:lang w:eastAsia="en-US"/>
        </w:rPr>
        <w:t>B</w:t>
      </w:r>
      <w:r w:rsidRPr="00DA441A">
        <w:rPr>
          <w:szCs w:val="18"/>
          <w:lang w:eastAsia="en-US"/>
        </w:rPr>
        <w:t>Frags</w:t>
      </w:r>
      <w:proofErr w:type="spellEnd"/>
      <w:r w:rsidRPr="00DA441A">
        <w:rPr>
          <w:szCs w:val="18"/>
          <w:lang w:eastAsia="en-US"/>
        </w:rPr>
        <w:t xml:space="preserve"> and </w:t>
      </w:r>
      <w:proofErr w:type="spellStart"/>
      <w:r w:rsidR="00467E58" w:rsidRPr="00DA441A">
        <w:rPr>
          <w:szCs w:val="18"/>
          <w:lang w:eastAsia="en-US"/>
        </w:rPr>
        <w:t>R</w:t>
      </w:r>
      <w:r w:rsidRPr="00DA441A">
        <w:rPr>
          <w:szCs w:val="18"/>
          <w:lang w:eastAsia="en-US"/>
        </w:rPr>
        <w:t>Frags</w:t>
      </w:r>
      <w:proofErr w:type="spellEnd"/>
      <w:r w:rsidRPr="00DA441A">
        <w:rPr>
          <w:szCs w:val="18"/>
          <w:lang w:eastAsia="en-US"/>
        </w:rPr>
        <w:t xml:space="preserve"> with </w:t>
      </w:r>
      <w:r w:rsidR="003524CB" w:rsidRPr="00DA441A">
        <w:rPr>
          <w:szCs w:val="18"/>
          <w:lang w:eastAsia="en-US"/>
        </w:rPr>
        <w:t xml:space="preserve">the </w:t>
      </w:r>
      <w:r w:rsidRPr="00DA441A">
        <w:rPr>
          <w:szCs w:val="18"/>
          <w:lang w:eastAsia="en-US"/>
        </w:rPr>
        <w:t xml:space="preserve">highest score derived from the </w:t>
      </w:r>
      <w:proofErr w:type="spellStart"/>
      <w:r w:rsidR="00DA441A" w:rsidRPr="00DA441A">
        <w:rPr>
          <w:szCs w:val="18"/>
          <w:lang w:eastAsia="en-US"/>
        </w:rPr>
        <w:t>eMolecules</w:t>
      </w:r>
      <w:proofErr w:type="spellEnd"/>
      <w:r w:rsidR="00DA441A" w:rsidRPr="00DA441A">
        <w:rPr>
          <w:szCs w:val="18"/>
          <w:lang w:eastAsia="en-US"/>
        </w:rPr>
        <w:t xml:space="preserve"> </w:t>
      </w:r>
      <w:r w:rsidR="00E97C16" w:rsidRPr="00DA441A">
        <w:rPr>
          <w:szCs w:val="18"/>
          <w:lang w:eastAsia="en-US"/>
        </w:rPr>
        <w:t xml:space="preserve">building blocks </w:t>
      </w:r>
      <w:r w:rsidR="00DA441A" w:rsidRPr="00DA441A">
        <w:rPr>
          <w:szCs w:val="18"/>
        </w:rPr>
        <w:t xml:space="preserve">(https://downloads.emolecules.com/free) </w:t>
      </w:r>
      <w:r w:rsidR="00E97C16" w:rsidRPr="00DA441A">
        <w:rPr>
          <w:szCs w:val="18"/>
          <w:lang w:eastAsia="en-US"/>
        </w:rPr>
        <w:t xml:space="preserve">and the </w:t>
      </w:r>
      <w:r w:rsidR="008A7748" w:rsidRPr="00DA441A">
        <w:rPr>
          <w:szCs w:val="18"/>
          <w:lang w:eastAsia="en-US"/>
        </w:rPr>
        <w:t xml:space="preserve">USPTO </w:t>
      </w:r>
      <w:r w:rsidRPr="00DA441A">
        <w:rPr>
          <w:szCs w:val="18"/>
          <w:lang w:eastAsia="en-US"/>
        </w:rPr>
        <w:t>reaction dataset</w:t>
      </w:r>
      <w:r w:rsidR="00DA441A" w:rsidRPr="00DA441A">
        <w:rPr>
          <w:szCs w:val="18"/>
          <w:lang w:eastAsia="en-US"/>
        </w:rPr>
        <w:fldChar w:fldCharType="begin"/>
      </w:r>
      <w:r w:rsidR="00DA441A" w:rsidRPr="00DA441A">
        <w:rPr>
          <w:szCs w:val="18"/>
          <w:lang w:eastAsia="en-US"/>
        </w:rPr>
        <w:instrText xml:space="preserve"> ADDIN ZOTERO_ITEM CSL_CITATION {"citationID":"ZHseD5Wo","properties":{"formattedCitation":"[3]","plainCitation":"[3]","noteIndex":0},"citationItems":[{"id":10,"uris":["http://zotero.org/users/9053542/items/3YSL8E6G"],"itemData":{"id":10,"type":"thesis","abstract":"The ever increasing quantity of chemical literature necessitates \nthe creation of automated techniques for extracting relevant information. \nThis work focuses on two aspects: the conversion of chemical names to \ncomputer readable structure representations and the extraction of chemical \nreactions from text. \nChemical names are a common way of communicating chemical structure \ninformation. OPSIN (Open Parser for Systematic IUPAC Nomenclature), an \nopen source, freely available algorithm for converting chemical names to \nstructures was developed. OPSIN employs a regular grammar to direct \ntokenisation and parsing leading to the generation of an XML parse tree. \nNomenclature operations are applied successively to the tree with many \nrequiring the manipulation of an in-memory connection table representation \nof the structure under construction. Areas of nomenclature supported are \ndescribed with attention being drawn to difficulties that may be \nencountered in name to structure conversion. Results on sets of generated \nnames and names extracted from patents are presented. On generated names, \nrecall of between 96.2% and 99.0% was achieved with a lower bound of 97.9% \non precision with all results either being comparable or superior to the \ntested commercial solutions. On the patent names OPSIN s recall was 2-10% \nhigher than the tested solutions when the patent names were processed as \nfound in the patents. The uses of OPSIN as a web service and as a tool for \nidentifying chemical names in text are shown to demonstrate the direct \nutility of this algorithm. \nA software system for extracting chemical reactions from the text of \nchemical patents was developed. The system relies on the output of \nChemicalTagger, a tool for tagging words and identifying phrases of \nimportance in experimental chemistry text. Improvements to this tool \nrequired to facilitate this task are documented. The structure of chemical \nentities are where possible determined using OPSIN in conjunction with a \ndictionary of name to structure relationships. Extracted reactions are \natom mapped to confirm that they are chemically consistent. 424,621 atom \nmapped reactions were extracted from 65,034 organic chemistry USPTO \npatents. On a sample of 100 of these extracted reactions chemical entities \nwere identified with 96.4% recall and 88.9% precision. Quantities could be \nassociated with reagents in 98.8% of cases and 64.9% of cases for products \nwhilst the correct role was assigned to chemical entities in 91.8% of \ncases. Qualitatively the system captured the essence of the reaction in \n95% of cases. This system is expected to be useful in the creation of \nsearchable databases of reactions from chemical patents and in \nfacilitating analysis of the properties of large populations of reactions.","genre":"Thesis","language":"en","license":"All Rights Reserved","note":"Accepted: 2013-07-23T08:23:10Z\nDOI: 10.17863/CAM.16293","publisher":"University of Cambridge","source":"aspace.repository.cam.ac.uk","title":"Extraction of chemical structures and reactions from the literature","URL":"https://www.repository.cam.ac.uk/handle/1810/244727","author":[{"family":"Lowe","given":"Daniel Mark"}],"accessed":{"date-parts":[["2022",2,14]]},"issued":{"date-parts":[["2012",10,9]]}}}],"schema":"https://github.com/citation-style-language/schema/raw/master/csl-citation.json"} </w:instrText>
      </w:r>
      <w:r w:rsidR="00DA441A" w:rsidRPr="00DA441A">
        <w:rPr>
          <w:szCs w:val="18"/>
          <w:lang w:eastAsia="en-US"/>
        </w:rPr>
        <w:fldChar w:fldCharType="separate"/>
      </w:r>
      <w:r w:rsidR="00DA441A" w:rsidRPr="00DA441A">
        <w:rPr>
          <w:noProof/>
          <w:szCs w:val="18"/>
          <w:lang w:eastAsia="en-US"/>
        </w:rPr>
        <w:t>[3]</w:t>
      </w:r>
      <w:r w:rsidR="00DA441A" w:rsidRPr="00DA441A">
        <w:rPr>
          <w:szCs w:val="18"/>
          <w:lang w:eastAsia="en-US"/>
        </w:rPr>
        <w:fldChar w:fldCharType="end"/>
      </w:r>
      <w:r w:rsidRPr="00DA441A">
        <w:rPr>
          <w:szCs w:val="18"/>
          <w:lang w:eastAsia="en-US"/>
        </w:rPr>
        <w:t>.</w:t>
      </w:r>
      <w:r w:rsidR="007419CE" w:rsidRPr="00DA441A">
        <w:rPr>
          <w:szCs w:val="18"/>
          <w:lang w:eastAsia="en-US"/>
        </w:rPr>
        <w:br w:type="page"/>
      </w:r>
    </w:p>
    <w:p w:rsidR="00AF5FE2" w:rsidRDefault="00AF5FE2" w:rsidP="0070374A">
      <w:pPr>
        <w:pStyle w:val="Heading1"/>
      </w:pPr>
      <w:r>
        <w:lastRenderedPageBreak/>
        <w:t xml:space="preserve">S4. </w:t>
      </w:r>
      <w:r w:rsidR="00E70AAD">
        <w:t>Raw prediction scores</w:t>
      </w:r>
    </w:p>
    <w:p w:rsidR="00AF5FE2" w:rsidRDefault="00AF5FE2" w:rsidP="00AF5FE2">
      <w:r>
        <w:rPr>
          <w:noProof/>
        </w:rPr>
        <w:drawing>
          <wp:inline distT="0" distB="0" distL="0" distR="0">
            <wp:extent cx="5943560" cy="1976120"/>
            <wp:effectExtent l="0" t="0" r="635" b="5080"/>
            <wp:docPr id="1116009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09334"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560" cy="1976120"/>
                    </a:xfrm>
                    <a:prstGeom prst="rect">
                      <a:avLst/>
                    </a:prstGeom>
                  </pic:spPr>
                </pic:pic>
              </a:graphicData>
            </a:graphic>
          </wp:inline>
        </w:drawing>
      </w:r>
    </w:p>
    <w:p w:rsidR="00AF5FE2" w:rsidRPr="001C41E6" w:rsidRDefault="00AF5FE2" w:rsidP="001C41E6">
      <w:r>
        <w:t xml:space="preserve">Figure S3. The raw prediction scores of </w:t>
      </w:r>
      <w:r w:rsidR="00DA441A">
        <w:t>BR-</w:t>
      </w:r>
      <w:r w:rsidR="000B0814">
        <w:t>SAScore comp</w:t>
      </w:r>
      <w:r w:rsidR="00331EF8">
        <w:t>a</w:t>
      </w:r>
      <w:r w:rsidR="000B0814">
        <w:t xml:space="preserve">red with </w:t>
      </w:r>
      <w:r w:rsidR="00E93CD6">
        <w:t xml:space="preserve">the </w:t>
      </w:r>
      <w:r w:rsidR="000B0814">
        <w:t>6</w:t>
      </w:r>
      <w:r>
        <w:t xml:space="preserve"> existing methods on </w:t>
      </w:r>
      <w:r w:rsidR="00B366BC">
        <w:t xml:space="preserve">the </w:t>
      </w:r>
      <w:r>
        <w:t>three test set</w:t>
      </w:r>
      <w:r w:rsidR="0028147A">
        <w:t>s.</w:t>
      </w:r>
    </w:p>
    <w:p w:rsidR="00B366BC" w:rsidRDefault="00B366BC" w:rsidP="0070374A">
      <w:pPr>
        <w:pStyle w:val="Heading1"/>
      </w:pPr>
      <w:r>
        <w:br w:type="page"/>
      </w:r>
    </w:p>
    <w:p w:rsidR="007419CE" w:rsidRDefault="0070374A" w:rsidP="0070374A">
      <w:pPr>
        <w:pStyle w:val="Heading1"/>
      </w:pPr>
      <w:r w:rsidRPr="00745A16">
        <w:lastRenderedPageBreak/>
        <w:t>S</w:t>
      </w:r>
      <w:r>
        <w:t>5</w:t>
      </w:r>
      <w:r w:rsidRPr="00745A16">
        <w:t xml:space="preserve">. </w:t>
      </w:r>
      <w:r>
        <w:t>Ablation study</w:t>
      </w:r>
    </w:p>
    <w:p w:rsidR="000F0D96" w:rsidRDefault="000F0D96" w:rsidP="000F0D96"/>
    <w:p w:rsidR="007419CE" w:rsidRDefault="0072689E">
      <w:pPr>
        <w:rPr>
          <w:lang w:eastAsia="en-US"/>
        </w:rPr>
      </w:pPr>
      <w:r>
        <w:rPr>
          <w:noProof/>
          <w:lang w:eastAsia="en-US"/>
        </w:rPr>
        <w:drawing>
          <wp:inline distT="0" distB="0" distL="0" distR="0">
            <wp:extent cx="5605397" cy="2448739"/>
            <wp:effectExtent l="0" t="0" r="0" b="2540"/>
            <wp:docPr id="2110723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23616"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5397" cy="2448739"/>
                    </a:xfrm>
                    <a:prstGeom prst="rect">
                      <a:avLst/>
                    </a:prstGeom>
                  </pic:spPr>
                </pic:pic>
              </a:graphicData>
            </a:graphic>
          </wp:inline>
        </w:drawing>
      </w:r>
    </w:p>
    <w:p w:rsidR="007419CE" w:rsidRDefault="007419CE">
      <w:pPr>
        <w:rPr>
          <w:lang w:eastAsia="en-US"/>
        </w:rPr>
      </w:pPr>
      <w:r>
        <w:rPr>
          <w:lang w:eastAsia="en-US"/>
        </w:rPr>
        <w:t>Figure S</w:t>
      </w:r>
      <w:r w:rsidR="00843AA1">
        <w:rPr>
          <w:lang w:eastAsia="en-US"/>
        </w:rPr>
        <w:t>4</w:t>
      </w:r>
      <w:r>
        <w:rPr>
          <w:lang w:eastAsia="en-US"/>
        </w:rPr>
        <w:t xml:space="preserve">. </w:t>
      </w:r>
      <w:r w:rsidR="006C72CD">
        <w:t>precision-recall and ROC curves of BR-</w:t>
      </w:r>
      <w:proofErr w:type="spellStart"/>
      <w:r w:rsidR="006C72CD">
        <w:t>SAScore</w:t>
      </w:r>
      <w:proofErr w:type="spellEnd"/>
      <w:r w:rsidR="006C72CD">
        <w:rPr>
          <w:lang w:eastAsia="en-US"/>
        </w:rPr>
        <w:t xml:space="preserve"> </w:t>
      </w:r>
      <w:r>
        <w:rPr>
          <w:lang w:eastAsia="en-US"/>
        </w:rPr>
        <w:t xml:space="preserve">using only </w:t>
      </w:r>
      <w:proofErr w:type="spellStart"/>
      <w:r>
        <w:rPr>
          <w:lang w:eastAsia="en-US"/>
        </w:rPr>
        <w:t>RFrags</w:t>
      </w:r>
      <w:proofErr w:type="spellEnd"/>
      <w:r>
        <w:rPr>
          <w:lang w:eastAsia="en-US"/>
        </w:rPr>
        <w:t xml:space="preserve"> or </w:t>
      </w:r>
      <w:proofErr w:type="spellStart"/>
      <w:r>
        <w:rPr>
          <w:lang w:eastAsia="en-US"/>
        </w:rPr>
        <w:t>RFrags</w:t>
      </w:r>
      <w:proofErr w:type="spellEnd"/>
      <w:r w:rsidR="006C72CD">
        <w:rPr>
          <w:lang w:eastAsia="en-US"/>
        </w:rPr>
        <w:t xml:space="preserve"> </w:t>
      </w:r>
      <w:r w:rsidR="006C72CD">
        <w:t>calculated on the three test sets.</w:t>
      </w:r>
    </w:p>
    <w:p w:rsidR="007419CE" w:rsidRDefault="007419CE">
      <w:pPr>
        <w:rPr>
          <w:lang w:eastAsia="en-US"/>
        </w:rPr>
      </w:pPr>
    </w:p>
    <w:p w:rsidR="00906081" w:rsidRDefault="00906081">
      <w:pPr>
        <w:rPr>
          <w:lang w:eastAsia="en-US"/>
        </w:rPr>
      </w:pPr>
    </w:p>
    <w:p w:rsidR="0067560F" w:rsidRDefault="00E66A04" w:rsidP="0067560F">
      <w:r>
        <w:rPr>
          <w:lang w:eastAsia="en-US"/>
        </w:rPr>
        <w:t xml:space="preserve">Table S2. Ablation study of </w:t>
      </w:r>
      <w:r w:rsidR="00DA441A">
        <w:rPr>
          <w:lang w:eastAsia="en-US"/>
        </w:rPr>
        <w:t>BR-</w:t>
      </w:r>
      <w:proofErr w:type="spellStart"/>
      <w:r>
        <w:rPr>
          <w:lang w:eastAsia="en-US"/>
        </w:rPr>
        <w:t>SAScore</w:t>
      </w:r>
      <w:proofErr w:type="spellEnd"/>
      <w:r>
        <w:rPr>
          <w:lang w:eastAsia="en-US"/>
        </w:rPr>
        <w:t xml:space="preserve"> using only </w:t>
      </w:r>
      <w:proofErr w:type="spellStart"/>
      <w:r w:rsidR="00DA441A">
        <w:rPr>
          <w:lang w:eastAsia="en-US"/>
        </w:rPr>
        <w:t>B</w:t>
      </w:r>
      <w:r>
        <w:rPr>
          <w:lang w:eastAsia="en-US"/>
        </w:rPr>
        <w:t>Frags</w:t>
      </w:r>
      <w:proofErr w:type="spellEnd"/>
      <w:r>
        <w:rPr>
          <w:lang w:eastAsia="en-US"/>
        </w:rPr>
        <w:t xml:space="preserve"> or </w:t>
      </w:r>
      <w:proofErr w:type="spellStart"/>
      <w:r>
        <w:rPr>
          <w:lang w:eastAsia="en-US"/>
        </w:rPr>
        <w:t>RFrags</w:t>
      </w:r>
      <w:proofErr w:type="spellEnd"/>
      <w:r>
        <w:rPr>
          <w:lang w:eastAsia="en-US"/>
        </w:rPr>
        <w:t>.</w:t>
      </w:r>
      <w:r w:rsidR="0094482E">
        <w:rPr>
          <w:lang w:eastAsia="en-US"/>
        </w:rPr>
        <w:t xml:space="preserve"> </w:t>
      </w:r>
      <w:r w:rsidR="0094482E">
        <w:t>The best values are highlighted in font bond</w:t>
      </w:r>
      <w:r w:rsidR="00203D66">
        <w:t xml:space="preserve"> and the second-best values are underlined</w:t>
      </w:r>
      <w:r w:rsidR="0094482E">
        <w:t>.</w:t>
      </w:r>
    </w:p>
    <w:p w:rsidR="00203D66" w:rsidRPr="0067560F" w:rsidRDefault="00203D66" w:rsidP="0067560F">
      <w:pPr>
        <w:rPr>
          <w:lang w:eastAsia="en-US"/>
        </w:rPr>
      </w:pPr>
    </w:p>
    <w:tbl>
      <w:tblPr>
        <w:tblStyle w:val="TableGrid"/>
        <w:tblW w:w="6296" w:type="dxa"/>
        <w:tblLayout w:type="fixed"/>
        <w:tblLook w:val="04A0" w:firstRow="1" w:lastRow="0" w:firstColumn="1" w:lastColumn="0" w:noHBand="0" w:noVBand="1"/>
      </w:tblPr>
      <w:tblGrid>
        <w:gridCol w:w="1874"/>
        <w:gridCol w:w="737"/>
        <w:gridCol w:w="737"/>
        <w:gridCol w:w="737"/>
        <w:gridCol w:w="737"/>
        <w:gridCol w:w="737"/>
        <w:gridCol w:w="737"/>
      </w:tblGrid>
      <w:tr w:rsidR="002E01AC" w:rsidTr="002E01AC">
        <w:tc>
          <w:tcPr>
            <w:tcW w:w="1874" w:type="dxa"/>
            <w:vMerge w:val="restart"/>
            <w:vAlign w:val="center"/>
          </w:tcPr>
          <w:p w:rsidR="002E01AC" w:rsidRPr="0094482E" w:rsidRDefault="002E01AC" w:rsidP="00E30948">
            <w:r>
              <w:t>Variant</w:t>
            </w:r>
          </w:p>
        </w:tc>
        <w:tc>
          <w:tcPr>
            <w:tcW w:w="2211" w:type="dxa"/>
            <w:gridSpan w:val="3"/>
            <w:vAlign w:val="center"/>
          </w:tcPr>
          <w:p w:rsidR="002E01AC" w:rsidRDefault="002E01AC" w:rsidP="00E30948">
            <w:r>
              <w:t>PR-AUC</w:t>
            </w:r>
          </w:p>
        </w:tc>
        <w:tc>
          <w:tcPr>
            <w:tcW w:w="2211" w:type="dxa"/>
            <w:gridSpan w:val="3"/>
            <w:vAlign w:val="center"/>
          </w:tcPr>
          <w:p w:rsidR="002E01AC" w:rsidRDefault="002E01AC" w:rsidP="00E30948">
            <w:r>
              <w:t>ROC-AUC</w:t>
            </w:r>
          </w:p>
        </w:tc>
      </w:tr>
      <w:tr w:rsidR="002E01AC" w:rsidTr="002E01AC">
        <w:tc>
          <w:tcPr>
            <w:tcW w:w="1874" w:type="dxa"/>
            <w:vMerge/>
            <w:vAlign w:val="center"/>
          </w:tcPr>
          <w:p w:rsidR="002E01AC" w:rsidRDefault="002E01AC" w:rsidP="00E30948"/>
        </w:tc>
        <w:tc>
          <w:tcPr>
            <w:tcW w:w="737" w:type="dxa"/>
            <w:vAlign w:val="center"/>
          </w:tcPr>
          <w:p w:rsidR="002E01AC" w:rsidRDefault="002E01AC" w:rsidP="00E30948">
            <w:r>
              <w:t>TS1</w:t>
            </w:r>
          </w:p>
        </w:tc>
        <w:tc>
          <w:tcPr>
            <w:tcW w:w="737" w:type="dxa"/>
            <w:vAlign w:val="center"/>
          </w:tcPr>
          <w:p w:rsidR="002E01AC" w:rsidRDefault="002E01AC" w:rsidP="00E30948">
            <w:r>
              <w:t>TS2</w:t>
            </w:r>
          </w:p>
        </w:tc>
        <w:tc>
          <w:tcPr>
            <w:tcW w:w="737" w:type="dxa"/>
            <w:vAlign w:val="center"/>
          </w:tcPr>
          <w:p w:rsidR="002E01AC" w:rsidRDefault="002E01AC" w:rsidP="00E30948">
            <w:r>
              <w:t>TS3</w:t>
            </w:r>
          </w:p>
        </w:tc>
        <w:tc>
          <w:tcPr>
            <w:tcW w:w="737" w:type="dxa"/>
            <w:vAlign w:val="center"/>
          </w:tcPr>
          <w:p w:rsidR="002E01AC" w:rsidRDefault="002E01AC" w:rsidP="00E30948">
            <w:r>
              <w:t>TS1</w:t>
            </w:r>
          </w:p>
        </w:tc>
        <w:tc>
          <w:tcPr>
            <w:tcW w:w="737" w:type="dxa"/>
            <w:vAlign w:val="center"/>
          </w:tcPr>
          <w:p w:rsidR="002E01AC" w:rsidRDefault="002E01AC" w:rsidP="00E30948">
            <w:r>
              <w:t>TS2</w:t>
            </w:r>
          </w:p>
        </w:tc>
        <w:tc>
          <w:tcPr>
            <w:tcW w:w="737" w:type="dxa"/>
            <w:vAlign w:val="center"/>
          </w:tcPr>
          <w:p w:rsidR="002E01AC" w:rsidRDefault="002E01AC" w:rsidP="00E30948">
            <w:r>
              <w:t>TS3</w:t>
            </w:r>
          </w:p>
        </w:tc>
      </w:tr>
      <w:tr w:rsidR="002E01AC" w:rsidTr="002E01AC">
        <w:tc>
          <w:tcPr>
            <w:tcW w:w="1874" w:type="dxa"/>
            <w:vAlign w:val="center"/>
          </w:tcPr>
          <w:p w:rsidR="002E01AC" w:rsidRDefault="002E01AC" w:rsidP="00E30948">
            <w:pPr>
              <w:rPr>
                <w:rFonts w:ascii="Arial" w:hAnsi="Arial" w:cs="Arial"/>
              </w:rPr>
            </w:pPr>
            <w:proofErr w:type="spellStart"/>
            <w:r>
              <w:t>BFrags</w:t>
            </w:r>
            <w:proofErr w:type="spellEnd"/>
            <w:r>
              <w:t xml:space="preserve"> only</w:t>
            </w:r>
          </w:p>
        </w:tc>
        <w:tc>
          <w:tcPr>
            <w:tcW w:w="737" w:type="dxa"/>
            <w:vAlign w:val="center"/>
          </w:tcPr>
          <w:p w:rsidR="002E01AC" w:rsidRPr="00E30948" w:rsidRDefault="002E01AC" w:rsidP="00E30948">
            <w:pPr>
              <w:rPr>
                <w:rFonts w:ascii="Arial" w:hAnsi="Arial" w:cs="Arial"/>
                <w:u w:val="single"/>
              </w:rPr>
            </w:pPr>
            <w:r w:rsidRPr="00E30948">
              <w:rPr>
                <w:color w:val="000000" w:themeColor="text1"/>
                <w:kern w:val="21"/>
                <w:u w:val="single"/>
              </w:rPr>
              <w:t>0.989</w:t>
            </w:r>
          </w:p>
        </w:tc>
        <w:tc>
          <w:tcPr>
            <w:tcW w:w="737" w:type="dxa"/>
            <w:vAlign w:val="center"/>
          </w:tcPr>
          <w:p w:rsidR="002E01AC" w:rsidRPr="00E30948" w:rsidRDefault="002E01AC" w:rsidP="00E30948">
            <w:pPr>
              <w:rPr>
                <w:rFonts w:ascii="Arial" w:hAnsi="Arial" w:cs="Arial"/>
                <w:u w:val="single"/>
              </w:rPr>
            </w:pPr>
            <w:r w:rsidRPr="00E30948">
              <w:rPr>
                <w:color w:val="000000" w:themeColor="text1"/>
                <w:kern w:val="21"/>
                <w:u w:val="single"/>
              </w:rPr>
              <w:t>0.941</w:t>
            </w:r>
          </w:p>
        </w:tc>
        <w:tc>
          <w:tcPr>
            <w:tcW w:w="737" w:type="dxa"/>
            <w:vAlign w:val="center"/>
          </w:tcPr>
          <w:p w:rsidR="002E01AC" w:rsidRDefault="002E01AC" w:rsidP="00E30948">
            <w:pPr>
              <w:rPr>
                <w:rFonts w:ascii="Arial" w:hAnsi="Arial" w:cs="Arial"/>
              </w:rPr>
            </w:pPr>
            <w:r>
              <w:rPr>
                <w:color w:val="000000" w:themeColor="text1"/>
                <w:kern w:val="21"/>
              </w:rPr>
              <w:t>0.883</w:t>
            </w:r>
          </w:p>
        </w:tc>
        <w:tc>
          <w:tcPr>
            <w:tcW w:w="737" w:type="dxa"/>
            <w:vAlign w:val="center"/>
          </w:tcPr>
          <w:p w:rsidR="002E01AC" w:rsidRPr="00E30948" w:rsidRDefault="002E01AC" w:rsidP="00E30948">
            <w:pPr>
              <w:rPr>
                <w:rFonts w:ascii="Arial" w:hAnsi="Arial" w:cs="Arial"/>
                <w:u w:val="single"/>
              </w:rPr>
            </w:pPr>
            <w:r w:rsidRPr="00E30948">
              <w:rPr>
                <w:color w:val="000000" w:themeColor="text1"/>
                <w:kern w:val="21"/>
                <w:u w:val="single"/>
              </w:rPr>
              <w:t>0.982</w:t>
            </w:r>
          </w:p>
        </w:tc>
        <w:tc>
          <w:tcPr>
            <w:tcW w:w="737" w:type="dxa"/>
            <w:vAlign w:val="center"/>
          </w:tcPr>
          <w:p w:rsidR="002E01AC" w:rsidRPr="00E30948" w:rsidRDefault="002E01AC" w:rsidP="00E30948">
            <w:pPr>
              <w:rPr>
                <w:rFonts w:ascii="Arial" w:hAnsi="Arial" w:cs="Arial"/>
                <w:u w:val="single"/>
              </w:rPr>
            </w:pPr>
            <w:r w:rsidRPr="00E30948">
              <w:rPr>
                <w:color w:val="000000" w:themeColor="text1"/>
                <w:kern w:val="21"/>
                <w:u w:val="single"/>
              </w:rPr>
              <w:t>0.935</w:t>
            </w:r>
          </w:p>
        </w:tc>
        <w:tc>
          <w:tcPr>
            <w:tcW w:w="737" w:type="dxa"/>
            <w:vAlign w:val="center"/>
          </w:tcPr>
          <w:p w:rsidR="002E01AC" w:rsidRDefault="002E01AC" w:rsidP="00E30948">
            <w:pPr>
              <w:rPr>
                <w:rFonts w:ascii="Arial" w:hAnsi="Arial" w:cs="Arial"/>
              </w:rPr>
            </w:pPr>
            <w:r>
              <w:rPr>
                <w:color w:val="000000" w:themeColor="text1"/>
                <w:kern w:val="21"/>
              </w:rPr>
              <w:t>0.883</w:t>
            </w:r>
          </w:p>
        </w:tc>
      </w:tr>
      <w:tr w:rsidR="002E01AC" w:rsidTr="002E01AC">
        <w:tc>
          <w:tcPr>
            <w:tcW w:w="1874" w:type="dxa"/>
            <w:vAlign w:val="center"/>
          </w:tcPr>
          <w:p w:rsidR="002E01AC" w:rsidRDefault="002E01AC" w:rsidP="00E30948">
            <w:pPr>
              <w:rPr>
                <w:rFonts w:ascii="Arial" w:hAnsi="Arial" w:cs="Arial"/>
              </w:rPr>
            </w:pPr>
            <w:proofErr w:type="spellStart"/>
            <w:r>
              <w:rPr>
                <w:color w:val="000000" w:themeColor="dark1"/>
              </w:rPr>
              <w:t>RFrags</w:t>
            </w:r>
            <w:proofErr w:type="spellEnd"/>
            <w:r>
              <w:rPr>
                <w:color w:val="000000" w:themeColor="dark1"/>
              </w:rPr>
              <w:t xml:space="preserve"> only</w:t>
            </w:r>
          </w:p>
        </w:tc>
        <w:tc>
          <w:tcPr>
            <w:tcW w:w="737" w:type="dxa"/>
            <w:vAlign w:val="center"/>
          </w:tcPr>
          <w:p w:rsidR="002E01AC" w:rsidRPr="003B77E3" w:rsidRDefault="002E01AC" w:rsidP="00E30948">
            <w:pPr>
              <w:rPr>
                <w:color w:val="000000" w:themeColor="text1"/>
                <w:kern w:val="21"/>
              </w:rPr>
            </w:pPr>
            <w:r w:rsidRPr="003B77E3">
              <w:rPr>
                <w:color w:val="000000" w:themeColor="text1"/>
                <w:kern w:val="21"/>
              </w:rPr>
              <w:t>0.</w:t>
            </w:r>
            <w:r>
              <w:rPr>
                <w:color w:val="000000" w:themeColor="text1"/>
                <w:kern w:val="21"/>
              </w:rPr>
              <w:t>987</w:t>
            </w:r>
          </w:p>
        </w:tc>
        <w:tc>
          <w:tcPr>
            <w:tcW w:w="737" w:type="dxa"/>
            <w:vAlign w:val="center"/>
          </w:tcPr>
          <w:p w:rsidR="002E01AC" w:rsidRPr="003B77E3" w:rsidRDefault="002E01AC" w:rsidP="00E30948">
            <w:pPr>
              <w:rPr>
                <w:color w:val="000000" w:themeColor="text1"/>
                <w:kern w:val="21"/>
              </w:rPr>
            </w:pPr>
            <w:r w:rsidRPr="003B77E3">
              <w:rPr>
                <w:color w:val="000000" w:themeColor="text1"/>
                <w:kern w:val="21"/>
              </w:rPr>
              <w:t>0.</w:t>
            </w:r>
            <w:r>
              <w:rPr>
                <w:color w:val="000000" w:themeColor="text1"/>
                <w:kern w:val="21"/>
              </w:rPr>
              <w:t>940</w:t>
            </w:r>
          </w:p>
        </w:tc>
        <w:tc>
          <w:tcPr>
            <w:tcW w:w="737" w:type="dxa"/>
            <w:vAlign w:val="center"/>
          </w:tcPr>
          <w:p w:rsidR="002E01AC" w:rsidRPr="00E30948" w:rsidRDefault="002E01AC" w:rsidP="00E30948">
            <w:pPr>
              <w:rPr>
                <w:color w:val="000000" w:themeColor="text1"/>
                <w:kern w:val="21"/>
                <w:u w:val="single"/>
              </w:rPr>
            </w:pPr>
            <w:r w:rsidRPr="00E30948">
              <w:rPr>
                <w:color w:val="000000" w:themeColor="text1"/>
                <w:kern w:val="21"/>
                <w:u w:val="single"/>
              </w:rPr>
              <w:t>0.894</w:t>
            </w:r>
          </w:p>
        </w:tc>
        <w:tc>
          <w:tcPr>
            <w:tcW w:w="737" w:type="dxa"/>
            <w:vAlign w:val="center"/>
          </w:tcPr>
          <w:p w:rsidR="002E01AC" w:rsidRPr="00E30948" w:rsidRDefault="002E01AC" w:rsidP="00E30948">
            <w:pPr>
              <w:rPr>
                <w:color w:val="000000" w:themeColor="text1"/>
                <w:kern w:val="21"/>
              </w:rPr>
            </w:pPr>
            <w:r w:rsidRPr="00E30948">
              <w:rPr>
                <w:color w:val="000000" w:themeColor="text1"/>
                <w:kern w:val="21"/>
              </w:rPr>
              <w:t>0.980</w:t>
            </w:r>
          </w:p>
        </w:tc>
        <w:tc>
          <w:tcPr>
            <w:tcW w:w="737" w:type="dxa"/>
            <w:vAlign w:val="center"/>
          </w:tcPr>
          <w:p w:rsidR="002E01AC" w:rsidRPr="00E30948" w:rsidRDefault="002E01AC" w:rsidP="00E30948">
            <w:pPr>
              <w:rPr>
                <w:color w:val="000000" w:themeColor="text1"/>
                <w:kern w:val="21"/>
              </w:rPr>
            </w:pPr>
            <w:r w:rsidRPr="00E30948">
              <w:rPr>
                <w:color w:val="000000" w:themeColor="text1"/>
                <w:kern w:val="21"/>
              </w:rPr>
              <w:t>0.934</w:t>
            </w:r>
          </w:p>
        </w:tc>
        <w:tc>
          <w:tcPr>
            <w:tcW w:w="737" w:type="dxa"/>
            <w:vAlign w:val="center"/>
          </w:tcPr>
          <w:p w:rsidR="002E01AC" w:rsidRPr="00E30948" w:rsidRDefault="002E01AC" w:rsidP="00E30948">
            <w:pPr>
              <w:rPr>
                <w:color w:val="000000" w:themeColor="text1"/>
                <w:kern w:val="21"/>
                <w:u w:val="single"/>
              </w:rPr>
            </w:pPr>
            <w:r w:rsidRPr="00E30948">
              <w:rPr>
                <w:color w:val="000000" w:themeColor="text1"/>
                <w:kern w:val="21"/>
                <w:u w:val="single"/>
              </w:rPr>
              <w:t>0.89</w:t>
            </w:r>
            <w:r w:rsidR="000F667F">
              <w:rPr>
                <w:color w:val="000000" w:themeColor="text1"/>
                <w:kern w:val="21"/>
                <w:u w:val="single"/>
              </w:rPr>
              <w:t>5</w:t>
            </w:r>
          </w:p>
        </w:tc>
      </w:tr>
      <w:tr w:rsidR="002E01AC" w:rsidTr="002E01AC">
        <w:tc>
          <w:tcPr>
            <w:tcW w:w="1874" w:type="dxa"/>
            <w:vAlign w:val="center"/>
          </w:tcPr>
          <w:p w:rsidR="002E01AC" w:rsidRDefault="002E01AC" w:rsidP="00E30948">
            <w:pPr>
              <w:rPr>
                <w:rFonts w:ascii="Arial" w:hAnsi="Arial" w:cs="Arial"/>
              </w:rPr>
            </w:pPr>
            <w:proofErr w:type="spellStart"/>
            <w:r>
              <w:rPr>
                <w:color w:val="000000" w:themeColor="dark1"/>
              </w:rPr>
              <w:t>BFrags</w:t>
            </w:r>
            <w:proofErr w:type="spellEnd"/>
            <w:r>
              <w:rPr>
                <w:color w:val="000000" w:themeColor="dark1"/>
              </w:rPr>
              <w:t xml:space="preserve"> + </w:t>
            </w:r>
            <w:proofErr w:type="spellStart"/>
            <w:r>
              <w:rPr>
                <w:color w:val="000000" w:themeColor="dark1"/>
              </w:rPr>
              <w:t>RFrags</w:t>
            </w:r>
            <w:proofErr w:type="spellEnd"/>
          </w:p>
        </w:tc>
        <w:tc>
          <w:tcPr>
            <w:tcW w:w="737" w:type="dxa"/>
            <w:vAlign w:val="center"/>
          </w:tcPr>
          <w:p w:rsidR="002E01AC" w:rsidRPr="00E30948" w:rsidRDefault="002E01AC" w:rsidP="00E30948">
            <w:pPr>
              <w:rPr>
                <w:b/>
                <w:bCs/>
                <w:color w:val="000000" w:themeColor="text1"/>
                <w:kern w:val="21"/>
              </w:rPr>
            </w:pPr>
            <w:r w:rsidRPr="00E30948">
              <w:rPr>
                <w:b/>
                <w:bCs/>
                <w:color w:val="000000" w:themeColor="text1"/>
                <w:kern w:val="21"/>
              </w:rPr>
              <w:t>0.990</w:t>
            </w:r>
          </w:p>
        </w:tc>
        <w:tc>
          <w:tcPr>
            <w:tcW w:w="737" w:type="dxa"/>
            <w:vAlign w:val="center"/>
          </w:tcPr>
          <w:p w:rsidR="002E01AC" w:rsidRPr="00E30948" w:rsidRDefault="002E01AC" w:rsidP="00E30948">
            <w:pPr>
              <w:rPr>
                <w:b/>
                <w:bCs/>
                <w:color w:val="000000" w:themeColor="text1"/>
                <w:kern w:val="21"/>
              </w:rPr>
            </w:pPr>
            <w:r w:rsidRPr="00E30948">
              <w:rPr>
                <w:b/>
                <w:bCs/>
                <w:color w:val="000000" w:themeColor="text1"/>
                <w:kern w:val="21"/>
              </w:rPr>
              <w:t>0.947</w:t>
            </w:r>
          </w:p>
        </w:tc>
        <w:tc>
          <w:tcPr>
            <w:tcW w:w="737" w:type="dxa"/>
            <w:vAlign w:val="center"/>
          </w:tcPr>
          <w:p w:rsidR="002E01AC" w:rsidRPr="00E30948" w:rsidRDefault="002E01AC" w:rsidP="00E30948">
            <w:pPr>
              <w:rPr>
                <w:b/>
                <w:bCs/>
                <w:color w:val="000000" w:themeColor="text1"/>
                <w:kern w:val="21"/>
              </w:rPr>
            </w:pPr>
            <w:r w:rsidRPr="00E30948">
              <w:rPr>
                <w:b/>
                <w:bCs/>
                <w:color w:val="000000" w:themeColor="text1"/>
                <w:kern w:val="21"/>
              </w:rPr>
              <w:t>0.900</w:t>
            </w:r>
          </w:p>
        </w:tc>
        <w:tc>
          <w:tcPr>
            <w:tcW w:w="737" w:type="dxa"/>
            <w:vAlign w:val="center"/>
          </w:tcPr>
          <w:p w:rsidR="002E01AC" w:rsidRPr="00E30948" w:rsidRDefault="002E01AC" w:rsidP="00E30948">
            <w:pPr>
              <w:rPr>
                <w:b/>
                <w:bCs/>
                <w:color w:val="000000" w:themeColor="text1"/>
                <w:kern w:val="21"/>
              </w:rPr>
            </w:pPr>
            <w:r w:rsidRPr="00E30948">
              <w:rPr>
                <w:b/>
                <w:bCs/>
                <w:color w:val="000000" w:themeColor="text1"/>
                <w:kern w:val="21"/>
              </w:rPr>
              <w:t>0.984</w:t>
            </w:r>
          </w:p>
        </w:tc>
        <w:tc>
          <w:tcPr>
            <w:tcW w:w="737" w:type="dxa"/>
            <w:vAlign w:val="center"/>
          </w:tcPr>
          <w:p w:rsidR="002E01AC" w:rsidRPr="00E30948" w:rsidRDefault="002E01AC" w:rsidP="00E30948">
            <w:pPr>
              <w:rPr>
                <w:b/>
                <w:bCs/>
                <w:color w:val="000000" w:themeColor="text1"/>
                <w:kern w:val="21"/>
              </w:rPr>
            </w:pPr>
            <w:r w:rsidRPr="00E30948">
              <w:rPr>
                <w:b/>
                <w:bCs/>
                <w:color w:val="000000" w:themeColor="text1"/>
                <w:kern w:val="21"/>
              </w:rPr>
              <w:t>0.942</w:t>
            </w:r>
          </w:p>
        </w:tc>
        <w:tc>
          <w:tcPr>
            <w:tcW w:w="737" w:type="dxa"/>
            <w:vAlign w:val="center"/>
          </w:tcPr>
          <w:p w:rsidR="002E01AC" w:rsidRPr="00E30948" w:rsidRDefault="002E01AC" w:rsidP="00E30948">
            <w:pPr>
              <w:rPr>
                <w:b/>
                <w:bCs/>
                <w:color w:val="000000" w:themeColor="text1"/>
                <w:kern w:val="21"/>
              </w:rPr>
            </w:pPr>
            <w:r w:rsidRPr="00E30948">
              <w:rPr>
                <w:b/>
                <w:bCs/>
                <w:color w:val="000000" w:themeColor="text1"/>
                <w:kern w:val="21"/>
              </w:rPr>
              <w:t>0.990</w:t>
            </w:r>
          </w:p>
        </w:tc>
      </w:tr>
    </w:tbl>
    <w:p w:rsidR="005E676A" w:rsidRDefault="005E676A">
      <w:pPr>
        <w:rPr>
          <w:lang w:eastAsia="en-US"/>
        </w:rPr>
      </w:pPr>
    </w:p>
    <w:p w:rsidR="005E676A" w:rsidRDefault="005E676A" w:rsidP="005E676A">
      <w:r>
        <w:rPr>
          <w:noProof/>
        </w:rPr>
        <w:drawing>
          <wp:inline distT="0" distB="0" distL="0" distR="0" wp14:anchorId="728A86FF" wp14:editId="4769D747">
            <wp:extent cx="4341801" cy="3214603"/>
            <wp:effectExtent l="0" t="0" r="1905" b="0"/>
            <wp:docPr id="1328887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887649" name="Picture 132888764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5509" cy="3217348"/>
                    </a:xfrm>
                    <a:prstGeom prst="rect">
                      <a:avLst/>
                    </a:prstGeom>
                  </pic:spPr>
                </pic:pic>
              </a:graphicData>
            </a:graphic>
          </wp:inline>
        </w:drawing>
      </w:r>
    </w:p>
    <w:p w:rsidR="005E676A" w:rsidRDefault="005E676A" w:rsidP="005E676A">
      <w:r>
        <w:t>Figure S</w:t>
      </w:r>
      <w:r w:rsidR="00843AA1">
        <w:t>5</w:t>
      </w:r>
      <w:r>
        <w:t>. The raw predictions of BR-SAScore with complexity buffer 1, 2, and 3</w:t>
      </w:r>
      <w:r w:rsidRPr="003E7205">
        <w:t xml:space="preserve"> </w:t>
      </w:r>
      <w:r>
        <w:t>calculated on the three test sets.</w:t>
      </w:r>
    </w:p>
    <w:p w:rsidR="005E676A" w:rsidRDefault="005E676A" w:rsidP="005E676A"/>
    <w:p w:rsidR="005E676A" w:rsidRDefault="005E676A" w:rsidP="005E676A">
      <w:r>
        <w:rPr>
          <w:noProof/>
        </w:rPr>
        <w:lastRenderedPageBreak/>
        <w:drawing>
          <wp:inline distT="0" distB="0" distL="0" distR="0" wp14:anchorId="42749556" wp14:editId="0D91D638">
            <wp:extent cx="5943600" cy="2561590"/>
            <wp:effectExtent l="0" t="0" r="0" b="3810"/>
            <wp:docPr id="1701253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53660" name="Picture 17012536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561590"/>
                    </a:xfrm>
                    <a:prstGeom prst="rect">
                      <a:avLst/>
                    </a:prstGeom>
                  </pic:spPr>
                </pic:pic>
              </a:graphicData>
            </a:graphic>
          </wp:inline>
        </w:drawing>
      </w:r>
    </w:p>
    <w:p w:rsidR="005E676A" w:rsidRPr="000F0D96" w:rsidRDefault="005E676A" w:rsidP="005E676A">
      <w:r>
        <w:t>Figure S</w:t>
      </w:r>
      <w:r w:rsidR="00843AA1">
        <w:t>6</w:t>
      </w:r>
      <w:r>
        <w:t>. The precision-recall and ROC curves of BR-SAScore with complexity buffer 1, 2, and 3 calculated on the three test sets.</w:t>
      </w:r>
    </w:p>
    <w:p w:rsidR="0067560F" w:rsidRDefault="0067560F">
      <w:pPr>
        <w:rPr>
          <w:lang w:eastAsia="en-US"/>
        </w:rPr>
      </w:pPr>
      <w:r>
        <w:rPr>
          <w:lang w:eastAsia="en-US"/>
        </w:rPr>
        <w:br w:type="page"/>
      </w:r>
    </w:p>
    <w:p w:rsidR="00221280" w:rsidRDefault="00221280" w:rsidP="00221280">
      <w:pPr>
        <w:pStyle w:val="Heading1"/>
      </w:pPr>
      <w:r w:rsidRPr="00745A16">
        <w:lastRenderedPageBreak/>
        <w:t>S</w:t>
      </w:r>
      <w:r w:rsidR="008E1DD9">
        <w:t>6</w:t>
      </w:r>
      <w:r w:rsidRPr="00745A16">
        <w:t xml:space="preserve">. </w:t>
      </w:r>
      <w:r>
        <w:t>List of complex molecules</w:t>
      </w:r>
    </w:p>
    <w:p w:rsidR="00247525" w:rsidRDefault="00B12F8E" w:rsidP="00247525">
      <w:r>
        <w:rPr>
          <w:noProof/>
        </w:rPr>
        <w:drawing>
          <wp:inline distT="0" distB="0" distL="0" distR="0">
            <wp:extent cx="4151216" cy="7345680"/>
            <wp:effectExtent l="0" t="0" r="1905" b="0"/>
            <wp:docPr id="1850295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95603" name="Picture 185029560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60894" cy="7362805"/>
                    </a:xfrm>
                    <a:prstGeom prst="rect">
                      <a:avLst/>
                    </a:prstGeom>
                  </pic:spPr>
                </pic:pic>
              </a:graphicData>
            </a:graphic>
          </wp:inline>
        </w:drawing>
      </w:r>
    </w:p>
    <w:p w:rsidR="00247525" w:rsidRDefault="00247525" w:rsidP="00247525">
      <w:r>
        <w:t xml:space="preserve">Table S3. </w:t>
      </w:r>
      <w:r w:rsidR="00B12F8E">
        <w:t xml:space="preserve">The </w:t>
      </w:r>
      <w:r>
        <w:t>complex molecules collected by Wang et al.</w:t>
      </w:r>
      <w:r>
        <w:fldChar w:fldCharType="begin"/>
      </w:r>
      <w:r w:rsidR="00DA441A">
        <w:instrText xml:space="preserve"> ADDIN ZOTERO_ITEM CSL_CITATION {"citationID":"uzm4Kium","properties":{"formattedCitation":"[4]","plainCitation":"[4]","noteIndex":0},"citationItems":[{"id":910,"uris":["http://zotero.org/users/9053542/items/XCGMSV4Q"],"itemData":{"id":910,"type":"article-journal","abstract":"With the continuous development of artificial intelligence technology, more and more computational models for generating new molecules are being developed. However, we are often confronted with the question of whether these compounds are easy or difficult to synthesize, which refers to synthetic accessibility of compounds. In this study, a deep learning based computational model called DeepSA, was proposed to predict the synthesis accessibility of compounds, which provides a useful tool to choose molecules. DeepSA is a chemical language model that was developed by training on a dataset of 3,593,053 molecules using various natural language processing (NLP) algorithms, offering advantages over state-of-the-art methods and having a much higher area under the receiver operating characteristic curve (AUROC), i.e., 89.6%, in discriminating those molecules that are difficult to synthesize. This helps users select less expensive molecules for synthesis, reducing the time and cost required for drug discovery and development. Interestingly, a comparison of DeepSA with a Graph Attention-based method shows that using SMILES alone can also efficiently visualize and extract compound’s informative features. DeepSA is available online on the below web server (https://bailab.siais.shanghaitech.edu.cn/services/deepsa/) of our group, and the code is available at https://github.com/Shihang-Wang-58/DeepSA.","container-title":"Journal of Cheminformatics","DOI":"10.1186/s13321-023-00771-3","ISSN":"1758-2946","issue":"1","journalAbbreviation":"Journal of Cheminformatics","page":"103","source":"BioMed Central","title":"DeepSA: a deep-learning driven predictor of compound synthesis accessibility","title-short":"DeepSA","volume":"15","author":[{"family":"Wang","given":"Shihang"},{"family":"Wang","given":"Lin"},{"family":"Li","given":"Fenglei"},{"family":"Bai","given":"Fang"}],"issued":{"date-parts":[["2023",11,2]]}}}],"schema":"https://github.com/citation-style-language/schema/raw/master/csl-citation.json"} </w:instrText>
      </w:r>
      <w:r>
        <w:fldChar w:fldCharType="separate"/>
      </w:r>
      <w:r w:rsidR="00DA441A">
        <w:rPr>
          <w:rFonts w:cs="Times New Roman"/>
          <w:kern w:val="0"/>
        </w:rPr>
        <w:t>[4]</w:t>
      </w:r>
      <w:r>
        <w:fldChar w:fldCharType="end"/>
      </w:r>
      <w:r>
        <w:t xml:space="preserve"> and the number of synthesis steps planned by Retro*</w:t>
      </w:r>
      <w:r w:rsidR="00B12F8E">
        <w:rPr>
          <w:rFonts w:eastAsia="바탕"/>
        </w:rPr>
        <w:fldChar w:fldCharType="begin"/>
      </w:r>
      <w:r w:rsidR="00A910A5">
        <w:rPr>
          <w:rFonts w:eastAsia="바탕"/>
        </w:rPr>
        <w:instrText xml:space="preserve"> ADDIN ZOTERO_ITEM CSL_CITATION {"citationID":"rqrSJnVy","properties":{"formattedCitation":"[1]","plainCitation":"[1]","noteIndex":0},"citationItems":[{"id":907,"uris":["http://zotero.org/users/9053542/items/SP7FVDC3"],"itemData":{"id":907,"type":"paper-conference","abstract":"Retrosynthetic planning is a critical task in organic chemistry which identifies a series of reactions that can lead to the synthesis of a target product. The vast number of possible chemical transformations makes the size of the search space very big, and retrosynthetic planning is challenging even for experienced chemists. However, existing methods either require expensive return estimation by rollout with high variance, or optimize for search speed rather than the quality. In this paper, we propose Retro*, a neural-based A*-like algorithm that finds high-quality synthetic routes efficiently. It maintains the search as an AND-OR tree, and learns a neural search bias with off-policy data. Then guided by this neural network, it performs best-first search efficiently during new planning episodes. Experiments on benchmark USPTO datasets show that, our proposed method outperforms existing state-of-the-art with respect to both the success rate and solution quality, while being more efficient at the same time.","container-title":"Proceedings of the 37th International Conference on Machine Learning","event-title":"International Conference on Machine Learning","language":"en","note":"ISSN: 2640-3498","page":"1608-1616","publisher":"PMLR","source":"proceedings.mlr.press","title":"Retro*: Learning Retrosynthetic Planning with Neural Guided A* Search","title-short":"Retro*","URL":"https://proceedings.mlr.press/v119/chen20k.html","author":[{"family":"Chen","given":"Binghong"},{"family":"Li","given":"Chengtao"},{"family":"Dai","given":"Hanjun"},{"family":"Song","given":"Le"}],"accessed":{"date-parts":[["2024",2,29]]},"issued":{"date-parts":[["2020",11,21]]}}}],"schema":"https://github.com/citation-style-language/schema/raw/master/csl-citation.json"} </w:instrText>
      </w:r>
      <w:r w:rsidR="00B12F8E">
        <w:rPr>
          <w:rFonts w:eastAsia="바탕"/>
        </w:rPr>
        <w:fldChar w:fldCharType="separate"/>
      </w:r>
      <w:r w:rsidR="00A910A5">
        <w:rPr>
          <w:rFonts w:cs="Times New Roman"/>
          <w:kern w:val="0"/>
        </w:rPr>
        <w:t>[1]</w:t>
      </w:r>
      <w:r w:rsidR="00B12F8E">
        <w:rPr>
          <w:rFonts w:eastAsia="바탕"/>
        </w:rPr>
        <w:fldChar w:fldCharType="end"/>
      </w:r>
      <w:r>
        <w:t xml:space="preserve"> and reported in the literatures.</w:t>
      </w:r>
    </w:p>
    <w:p w:rsidR="00B12F8E" w:rsidRDefault="00B12F8E" w:rsidP="00247525">
      <w:r>
        <w:br w:type="page"/>
      </w:r>
    </w:p>
    <w:p w:rsidR="008E1DD9" w:rsidRDefault="008E1DD9" w:rsidP="008E1DD9">
      <w:pPr>
        <w:pStyle w:val="Heading1"/>
      </w:pPr>
      <w:r w:rsidRPr="00745A16">
        <w:lastRenderedPageBreak/>
        <w:t>S</w:t>
      </w:r>
      <w:r>
        <w:t>7</w:t>
      </w:r>
      <w:r w:rsidRPr="00745A16">
        <w:t xml:space="preserve">. </w:t>
      </w:r>
      <w:r>
        <w:t>Predictions on complex molecules</w:t>
      </w:r>
    </w:p>
    <w:p w:rsidR="00B12F8E" w:rsidRDefault="00B12F8E" w:rsidP="00247525"/>
    <w:p w:rsidR="00247525" w:rsidRPr="00247525" w:rsidRDefault="00247525" w:rsidP="00247525"/>
    <w:p w:rsidR="00221280" w:rsidRDefault="00766377" w:rsidP="00221280">
      <w:r>
        <w:rPr>
          <w:noProof/>
        </w:rPr>
        <w:drawing>
          <wp:inline distT="0" distB="0" distL="0" distR="0">
            <wp:extent cx="4152565" cy="2224482"/>
            <wp:effectExtent l="0" t="0" r="635" b="0"/>
            <wp:docPr id="517605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05834"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52565" cy="2224482"/>
                    </a:xfrm>
                    <a:prstGeom prst="rect">
                      <a:avLst/>
                    </a:prstGeom>
                  </pic:spPr>
                </pic:pic>
              </a:graphicData>
            </a:graphic>
          </wp:inline>
        </w:drawing>
      </w:r>
    </w:p>
    <w:p w:rsidR="006A7AB6" w:rsidRDefault="00766377" w:rsidP="002040BF">
      <w:pPr>
        <w:pStyle w:val="TAMainText"/>
      </w:pPr>
      <w:r>
        <w:t>Figure</w:t>
      </w:r>
      <w:r w:rsidR="00642118">
        <w:t xml:space="preserve"> </w:t>
      </w:r>
      <w:r w:rsidR="000C6CB2">
        <w:t>S7</w:t>
      </w:r>
      <w:r w:rsidR="00642118">
        <w:t xml:space="preserve">. </w:t>
      </w:r>
      <w:r w:rsidR="00FC0126">
        <w:t xml:space="preserve">The </w:t>
      </w:r>
      <w:r w:rsidR="00463447">
        <w:t xml:space="preserve">normalized </w:t>
      </w:r>
      <w:r w:rsidR="00FC0126">
        <w:t xml:space="preserve">synthesis accessibility </w:t>
      </w:r>
      <w:r w:rsidR="00463447">
        <w:t>scores predicted by all the</w:t>
      </w:r>
      <w:r w:rsidR="0006252A">
        <w:t xml:space="preserve"> 7</w:t>
      </w:r>
      <w:r w:rsidR="00463447">
        <w:t xml:space="preserve"> methods</w:t>
      </w:r>
      <w:r w:rsidR="00FC0126">
        <w:t xml:space="preserve"> on 18 complex molecules collected by Wang et al.</w:t>
      </w:r>
      <w:r w:rsidR="00FC0126">
        <w:fldChar w:fldCharType="begin"/>
      </w:r>
      <w:r w:rsidR="00DA441A">
        <w:instrText xml:space="preserve"> ADDIN ZOTERO_ITEM CSL_CITATION {"citationID":"c6kixWPS","properties":{"formattedCitation":"[4]","plainCitation":"[4]","noteIndex":0},"citationItems":[{"id":910,"uris":["http://zotero.org/users/9053542/items/XCGMSV4Q"],"itemData":{"id":910,"type":"article-journal","abstract":"With the continuous development of artificial intelligence technology, more and more computational models for generating new molecules are being developed. However, we are often confronted with the question of whether these compounds are easy or difficult to synthesize, which refers to synthetic accessibility of compounds. In this study, a deep learning based computational model called DeepSA, was proposed to predict the synthesis accessibility of compounds, which provides a useful tool to choose molecules. DeepSA is a chemical language model that was developed by training on a dataset of 3,593,053 molecules using various natural language processing (NLP) algorithms, offering advantages over state-of-the-art methods and having a much higher area under the receiver operating characteristic curve (AUROC), i.e., 89.6%, in discriminating those molecules that are difficult to synthesize. This helps users select less expensive molecules for synthesis, reducing the time and cost required for drug discovery and development. Interestingly, a comparison of DeepSA with a Graph Attention-based method shows that using SMILES alone can also efficiently visualize and extract compound’s informative features. DeepSA is available online on the below web server (https://bailab.siais.shanghaitech.edu.cn/services/deepsa/) of our group, and the code is available at https://github.com/Shihang-Wang-58/DeepSA.","container-title":"Journal of Cheminformatics","DOI":"10.1186/s13321-023-00771-3","ISSN":"1758-2946","issue":"1","journalAbbreviation":"Journal of Cheminformatics","page":"103","source":"BioMed Central","title":"DeepSA: a deep-learning driven predictor of compound synthesis accessibility","title-short":"DeepSA","volume":"15","author":[{"family":"Wang","given":"Shihang"},{"family":"Wang","given":"Lin"},{"family":"Li","given":"Fenglei"},{"family":"Bai","given":"Fang"}],"issued":{"date-parts":[["2023",11,2]]}}}],"schema":"https://github.com/citation-style-language/schema/raw/master/csl-citation.json"} </w:instrText>
      </w:r>
      <w:r w:rsidR="00FC0126">
        <w:fldChar w:fldCharType="separate"/>
      </w:r>
      <w:r w:rsidR="00DA441A">
        <w:rPr>
          <w:rFonts w:cs="Times New Roman"/>
          <w:kern w:val="0"/>
        </w:rPr>
        <w:t>[4]</w:t>
      </w:r>
      <w:r w:rsidR="00FC0126">
        <w:fldChar w:fldCharType="end"/>
      </w:r>
      <w:r w:rsidR="006A7AB6">
        <w:br w:type="page"/>
      </w:r>
    </w:p>
    <w:p w:rsidR="0067560F" w:rsidRDefault="0067560F" w:rsidP="0067560F">
      <w:pPr>
        <w:pStyle w:val="Heading1"/>
      </w:pPr>
      <w:r w:rsidRPr="00745A16">
        <w:lastRenderedPageBreak/>
        <w:t>S</w:t>
      </w:r>
      <w:r w:rsidR="00322200">
        <w:t>8</w:t>
      </w:r>
      <w:r w:rsidRPr="00745A16">
        <w:t xml:space="preserve">. </w:t>
      </w:r>
      <w:r w:rsidR="00337193">
        <w:t>Predicted scores on synthesis routes</w:t>
      </w:r>
    </w:p>
    <w:p w:rsidR="00C706BF" w:rsidRDefault="0072689E">
      <w:pPr>
        <w:rPr>
          <w:lang w:eastAsia="en-US"/>
        </w:rPr>
      </w:pPr>
      <w:r>
        <w:rPr>
          <w:noProof/>
          <w:lang w:eastAsia="en-US"/>
        </w:rPr>
        <w:drawing>
          <wp:inline distT="0" distB="0" distL="0" distR="0">
            <wp:extent cx="5417870" cy="4688541"/>
            <wp:effectExtent l="0" t="0" r="5080" b="0"/>
            <wp:docPr id="18746038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03836"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17870" cy="4688541"/>
                    </a:xfrm>
                    <a:prstGeom prst="rect">
                      <a:avLst/>
                    </a:prstGeom>
                  </pic:spPr>
                </pic:pic>
              </a:graphicData>
            </a:graphic>
          </wp:inline>
        </w:drawing>
      </w:r>
    </w:p>
    <w:p w:rsidR="00011592" w:rsidRDefault="00C706BF">
      <w:r>
        <w:rPr>
          <w:lang w:eastAsia="en-US"/>
        </w:rPr>
        <w:t>Figure S</w:t>
      </w:r>
      <w:r w:rsidR="000C6CB2">
        <w:rPr>
          <w:lang w:eastAsia="en-US"/>
        </w:rPr>
        <w:t>8</w:t>
      </w:r>
      <w:r>
        <w:rPr>
          <w:lang w:eastAsia="en-US"/>
        </w:rPr>
        <w:t xml:space="preserve">. The </w:t>
      </w:r>
      <w:r w:rsidR="004829AD">
        <w:t>GASA score</w:t>
      </w:r>
      <w:r w:rsidR="008C14CB">
        <w:fldChar w:fldCharType="begin"/>
      </w:r>
      <w:r w:rsidR="00DA441A">
        <w:instrText xml:space="preserve"> ADDIN ZOTERO_ITEM CSL_CITATION {"citationID":"vulBGObC","properties":{"formattedCitation":"[5]","plainCitation":"[5]","noteIndex":0},"citationItems":[{"id":909,"uris":["http://zotero.org/users/9053542/items/J9ZUJH89"],"itemData":{"id":909,"type":"article-journal","abstract":"Accurate estimation of the synthetic accessibility of small molecules is needed in many phases of drug discovery. Several expert-crafted scoring methods and descriptor-based quantitative structure–activity relationship (QSAR) models have been developed for synthetic accessibility assessment, but their practical applications in drug discovery are still quite limited because of relatively low prediction accuracy and poor model interpretability. In this study, we proposed a data-driven interpretable prediction framework called GASA (Graph Attention-based assessment of Synthetic Accessibility) to evaluate the synthetic accessibility of small molecules by distinguishing compounds to be easy- (ES) or hard-to-synthesize (HS). GASA is a graph neural network (GNN) architecture that makes self-feature deduction by applying an attention mechanism to automatically capture the most important structural features related to synthetic accessibility. The sampling around the hypothetical classification boundary was used to improve the ability of GASA to distinguish structurally similar molecules. GASA was extensively evaluated and compared with two descriptor-based machine learning methods (random forest, RF; eXtreme gradient boosting, XGBoost) and four existing scores (SYBA: SYnthetic Bayesian Accessibility; SCScore: Synthetic Complexity score; RAscore: Retrosynthetic Accessibility score; SAscore: Synthetic Accessibility score). Our analysis demonstrates that GASA achieved remarkable performance in distinguishing similar molecules compared with other methods and had a broader applicability domain. In addition, we show how GASA learns the important features that affect molecular synthetic accessibility by assigning attention weights to different atoms. An online prediction service for GASA was offered at http://cadd.zju.edu.cn/gasa/.","container-title":"Journal of Chemical Information and Modeling","DOI":"10.1021/acs.jcim.2c00038","ISSN":"1549-9596","issue":"12","journalAbbreviation":"J. Chem. Inf. Model.","note":"publisher: American Chemical Society","page":"2973-2986","source":"ACS Publications","title":"Organic Compound Synthetic Accessibility Prediction Based on the Graph Attention Mechanism","volume":"62","author":[{"family":"Yu","given":"Jiahui"},{"family":"Wang","given":"Jike"},{"family":"Zhao","given":"Hong"},{"family":"Gao","given":"Junbo"},{"family":"Kang","given":"Yu"},{"family":"Cao","given":"Dongsheng"},{"family":"Wang","given":"Zhe"},{"family":"Hou","given":"Tingjun"}],"issued":{"date-parts":[["2022",6,27]]}}}],"schema":"https://github.com/citation-style-language/schema/raw/master/csl-citation.json"} </w:instrText>
      </w:r>
      <w:r w:rsidR="008C14CB">
        <w:fldChar w:fldCharType="separate"/>
      </w:r>
      <w:r w:rsidR="00DA441A">
        <w:rPr>
          <w:rFonts w:cs="Times New Roman"/>
          <w:kern w:val="0"/>
        </w:rPr>
        <w:t>[5]</w:t>
      </w:r>
      <w:r w:rsidR="008C14CB">
        <w:fldChar w:fldCharType="end"/>
      </w:r>
      <w:r w:rsidR="004829AD">
        <w:t xml:space="preserve"> for four molecules, (a) Scorodnin, (b) Pinnatolide, (c) Sedridine, and Gabapentin, and their precursors in the synthesis routes predicted by Retro*. Accessible building blocks are displayed in blue boxes. The values above the arrow are the prediction scores of the single-step prediction model of Retro*, where the prediction scores lower than 0.1 are highlighted in red color. </w:t>
      </w:r>
    </w:p>
    <w:p w:rsidR="00011592" w:rsidRDefault="00011592"/>
    <w:p w:rsidR="00011592" w:rsidRDefault="00011592" w:rsidP="00011592">
      <w:pPr>
        <w:rPr>
          <w:lang w:eastAsia="en-US"/>
        </w:rPr>
      </w:pPr>
      <w:r>
        <w:rPr>
          <w:noProof/>
          <w:lang w:eastAsia="en-US"/>
        </w:rPr>
        <w:lastRenderedPageBreak/>
        <w:drawing>
          <wp:inline distT="0" distB="0" distL="0" distR="0" wp14:anchorId="22379CF0" wp14:editId="4A8C58E9">
            <wp:extent cx="5833344" cy="5445973"/>
            <wp:effectExtent l="0" t="0" r="0" b="2540"/>
            <wp:docPr id="18440609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60934"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33344" cy="5445973"/>
                    </a:xfrm>
                    <a:prstGeom prst="rect">
                      <a:avLst/>
                    </a:prstGeom>
                  </pic:spPr>
                </pic:pic>
              </a:graphicData>
            </a:graphic>
          </wp:inline>
        </w:drawing>
      </w:r>
    </w:p>
    <w:p w:rsidR="0067560F" w:rsidRDefault="00011592" w:rsidP="00011592">
      <w:pPr>
        <w:rPr>
          <w:lang w:eastAsia="en-US"/>
        </w:rPr>
      </w:pPr>
      <w:r>
        <w:rPr>
          <w:lang w:eastAsia="en-US"/>
        </w:rPr>
        <w:t>Figure S</w:t>
      </w:r>
      <w:r w:rsidR="000C6CB2">
        <w:rPr>
          <w:lang w:eastAsia="en-US"/>
        </w:rPr>
        <w:t>9</w:t>
      </w:r>
      <w:r>
        <w:rPr>
          <w:lang w:eastAsia="en-US"/>
        </w:rPr>
        <w:t xml:space="preserve">. The </w:t>
      </w:r>
      <w:r w:rsidR="00EA5D8A">
        <w:t>scores predicted by all 7 methods</w:t>
      </w:r>
      <w:r>
        <w:t xml:space="preserve"> </w:t>
      </w:r>
      <w:r w:rsidR="00EA5D8A">
        <w:t>on</w:t>
      </w:r>
      <w:r>
        <w:t xml:space="preserve"> four molecules, (a) </w:t>
      </w:r>
      <w:proofErr w:type="spellStart"/>
      <w:r>
        <w:t>Scorodnin</w:t>
      </w:r>
      <w:proofErr w:type="spellEnd"/>
      <w:r>
        <w:t xml:space="preserve">, (b) </w:t>
      </w:r>
      <w:proofErr w:type="spellStart"/>
      <w:r>
        <w:t>Pinnatolide</w:t>
      </w:r>
      <w:proofErr w:type="spellEnd"/>
      <w:r>
        <w:t xml:space="preserve">, (c) </w:t>
      </w:r>
      <w:proofErr w:type="spellStart"/>
      <w:r>
        <w:t>Sedridine</w:t>
      </w:r>
      <w:proofErr w:type="spellEnd"/>
      <w:r>
        <w:t xml:space="preserve">, and Gabapentin, and their precursors in the synthesis routes predicted by Retro*. Accessible building blocks are displayed in blue boxes. The values above the arrow are the prediction scores of the single-step prediction model of Retro*, where the prediction scores lower than 0.1 are highlighted in red color. </w:t>
      </w:r>
      <w:r w:rsidR="0067560F">
        <w:rPr>
          <w:lang w:eastAsia="en-US"/>
        </w:rPr>
        <w:br w:type="page"/>
      </w:r>
    </w:p>
    <w:p w:rsidR="009E2DEF" w:rsidRDefault="0067560F" w:rsidP="0067560F">
      <w:pPr>
        <w:pStyle w:val="Heading1"/>
        <w:rPr>
          <w:lang w:eastAsia="en-US"/>
        </w:rPr>
      </w:pPr>
      <w:r>
        <w:rPr>
          <w:lang w:eastAsia="en-US"/>
        </w:rPr>
        <w:lastRenderedPageBreak/>
        <w:t>References</w:t>
      </w:r>
    </w:p>
    <w:p w:rsidR="00DA441A" w:rsidRPr="00DA441A" w:rsidRDefault="0067560F" w:rsidP="00DA441A">
      <w:pPr>
        <w:pStyle w:val="Bibliography"/>
      </w:pPr>
      <w:r>
        <w:rPr>
          <w:lang w:eastAsia="en-US"/>
        </w:rPr>
        <w:fldChar w:fldCharType="begin"/>
      </w:r>
      <w:r w:rsidR="00A910A5">
        <w:rPr>
          <w:lang w:eastAsia="en-US"/>
        </w:rPr>
        <w:instrText xml:space="preserve"> ADDIN ZOTERO_BIBL {"uncited":[],"omitted":[],"custom":[]} CSL_BIBLIOGRAPHY </w:instrText>
      </w:r>
      <w:r>
        <w:rPr>
          <w:lang w:eastAsia="en-US"/>
        </w:rPr>
        <w:fldChar w:fldCharType="separate"/>
      </w:r>
      <w:r w:rsidR="00DA441A" w:rsidRPr="00DA441A">
        <w:t xml:space="preserve">1. </w:t>
      </w:r>
      <w:r w:rsidR="00DA441A" w:rsidRPr="00DA441A">
        <w:tab/>
        <w:t>Chen B, Li C, Dai H, Song L (2020) Retro*: Learning Retrosynthetic Planning with Neural Guided A* Search. In: Proceedings of the 37th International Conference on Machine Learning. PMLR, pp 1608–1616</w:t>
      </w:r>
    </w:p>
    <w:p w:rsidR="00DA441A" w:rsidRPr="00DA441A" w:rsidRDefault="00DA441A" w:rsidP="00DA441A">
      <w:pPr>
        <w:pStyle w:val="Bibliography"/>
      </w:pPr>
      <w:r w:rsidRPr="00DA441A">
        <w:t xml:space="preserve">2. </w:t>
      </w:r>
      <w:r w:rsidRPr="00DA441A">
        <w:tab/>
        <w:t>Rogers D, Hahn M (2010) Extended-Connectivity Fingerprints. J Chem Inf Model 50:742–754. https://doi.org/10.1021/ci100050t</w:t>
      </w:r>
    </w:p>
    <w:p w:rsidR="00DA441A" w:rsidRPr="00DA441A" w:rsidRDefault="00DA441A" w:rsidP="00DA441A">
      <w:pPr>
        <w:pStyle w:val="Bibliography"/>
      </w:pPr>
      <w:r w:rsidRPr="00DA441A">
        <w:t xml:space="preserve">3. </w:t>
      </w:r>
      <w:r w:rsidRPr="00DA441A">
        <w:tab/>
        <w:t>Lowe DM (2012) Extraction of chemical structures and reactions from the literature. Thesis, University of Cambridge</w:t>
      </w:r>
    </w:p>
    <w:p w:rsidR="00DA441A" w:rsidRPr="00DA441A" w:rsidRDefault="00DA441A" w:rsidP="00DA441A">
      <w:pPr>
        <w:pStyle w:val="Bibliography"/>
      </w:pPr>
      <w:r w:rsidRPr="00DA441A">
        <w:t xml:space="preserve">4. </w:t>
      </w:r>
      <w:r w:rsidRPr="00DA441A">
        <w:tab/>
        <w:t>Wang S, Wang L, Li F, Bai F (2023) DeepSA: a deep-learning driven predictor of compound synthesis accessibility. J Cheminformatics 15:103. https://doi.org/10.1186/s13321-023-00771-3</w:t>
      </w:r>
    </w:p>
    <w:p w:rsidR="0067560F" w:rsidRPr="0067560F" w:rsidRDefault="00DA441A" w:rsidP="003F6D39">
      <w:pPr>
        <w:pStyle w:val="Bibliography"/>
        <w:rPr>
          <w:lang w:eastAsia="en-US"/>
        </w:rPr>
      </w:pPr>
      <w:r w:rsidRPr="00DA441A">
        <w:t xml:space="preserve">5. </w:t>
      </w:r>
      <w:r w:rsidRPr="00DA441A">
        <w:tab/>
        <w:t>Yu J, Wang J, Zhao H, et al (2022) Organic Compound Synthetic Accessibility Prediction Based on the Graph Attention Mechanism. J Chem Inf Model 62:2973–2986. https://doi.org/10.1021/acs.jcim.2c00038</w:t>
      </w:r>
      <w:r w:rsidR="0067560F">
        <w:rPr>
          <w:lang w:eastAsia="en-US"/>
        </w:rPr>
        <w:fldChar w:fldCharType="end"/>
      </w:r>
    </w:p>
    <w:sectPr w:rsidR="0067560F" w:rsidRPr="0067560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A85" w:rsidRDefault="009C3A85" w:rsidP="00221280">
      <w:r>
        <w:separator/>
      </w:r>
    </w:p>
  </w:endnote>
  <w:endnote w:type="continuationSeparator" w:id="0">
    <w:p w:rsidR="009C3A85" w:rsidRDefault="009C3A85" w:rsidP="0022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no Pro">
    <w:altName w:val="Cambria"/>
    <w:panose1 w:val="00000000000000000000"/>
    <w:charset w:val="00"/>
    <w:family w:val="roman"/>
    <w:notTrueType/>
    <w:pitch w:val="variable"/>
    <w:sig w:usb0="60000287" w:usb1="00000001" w:usb2="00000000" w:usb3="00000000" w:csb0="0000019F" w:csb1="00000000"/>
  </w:font>
  <w:font w:name="Myriad Pro Light">
    <w:altName w:val="Times New Roman"/>
    <w:charset w:val="00"/>
    <w:family w:val="swiss"/>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A85" w:rsidRDefault="009C3A85" w:rsidP="00221280">
      <w:r>
        <w:separator/>
      </w:r>
    </w:p>
  </w:footnote>
  <w:footnote w:type="continuationSeparator" w:id="0">
    <w:p w:rsidR="009C3A85" w:rsidRDefault="009C3A85" w:rsidP="0022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C096D"/>
    <w:multiLevelType w:val="hybridMultilevel"/>
    <w:tmpl w:val="A07C58AE"/>
    <w:lvl w:ilvl="0" w:tplc="655E3E42">
      <w:start w:val="1"/>
      <w:numFmt w:val="decimal"/>
      <w:pStyle w:val="BCAuthorAddress"/>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0"/>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BF"/>
    <w:rsid w:val="00000790"/>
    <w:rsid w:val="00011592"/>
    <w:rsid w:val="00047FDE"/>
    <w:rsid w:val="0006252A"/>
    <w:rsid w:val="000825CF"/>
    <w:rsid w:val="000B0814"/>
    <w:rsid w:val="000C6CB2"/>
    <w:rsid w:val="000F0D96"/>
    <w:rsid w:val="000F667F"/>
    <w:rsid w:val="0018500E"/>
    <w:rsid w:val="001C41E6"/>
    <w:rsid w:val="00203D66"/>
    <w:rsid w:val="002040BF"/>
    <w:rsid w:val="00221280"/>
    <w:rsid w:val="00224C99"/>
    <w:rsid w:val="00236C2F"/>
    <w:rsid w:val="0024521B"/>
    <w:rsid w:val="00247525"/>
    <w:rsid w:val="0028147A"/>
    <w:rsid w:val="002D032E"/>
    <w:rsid w:val="002E01AC"/>
    <w:rsid w:val="002F77E5"/>
    <w:rsid w:val="00322200"/>
    <w:rsid w:val="00331EF8"/>
    <w:rsid w:val="00334567"/>
    <w:rsid w:val="00337193"/>
    <w:rsid w:val="003524CB"/>
    <w:rsid w:val="003A374C"/>
    <w:rsid w:val="003A5C14"/>
    <w:rsid w:val="003B1EE5"/>
    <w:rsid w:val="003B77E3"/>
    <w:rsid w:val="003C1DB1"/>
    <w:rsid w:val="003E6A21"/>
    <w:rsid w:val="003E7205"/>
    <w:rsid w:val="003F6D39"/>
    <w:rsid w:val="00407A5B"/>
    <w:rsid w:val="00463447"/>
    <w:rsid w:val="00467E58"/>
    <w:rsid w:val="0048002B"/>
    <w:rsid w:val="004829AD"/>
    <w:rsid w:val="00484308"/>
    <w:rsid w:val="00496FD7"/>
    <w:rsid w:val="004A47B7"/>
    <w:rsid w:val="00507068"/>
    <w:rsid w:val="0054561C"/>
    <w:rsid w:val="00594693"/>
    <w:rsid w:val="005A70D3"/>
    <w:rsid w:val="005C3007"/>
    <w:rsid w:val="005D7D35"/>
    <w:rsid w:val="005E676A"/>
    <w:rsid w:val="00613170"/>
    <w:rsid w:val="00642118"/>
    <w:rsid w:val="0067560F"/>
    <w:rsid w:val="00695184"/>
    <w:rsid w:val="006A7AB6"/>
    <w:rsid w:val="006C72CD"/>
    <w:rsid w:val="0070374A"/>
    <w:rsid w:val="00710D3B"/>
    <w:rsid w:val="00712559"/>
    <w:rsid w:val="0072689E"/>
    <w:rsid w:val="007356F9"/>
    <w:rsid w:val="007419CE"/>
    <w:rsid w:val="00742654"/>
    <w:rsid w:val="00745A16"/>
    <w:rsid w:val="00752648"/>
    <w:rsid w:val="00766377"/>
    <w:rsid w:val="007671E1"/>
    <w:rsid w:val="00770914"/>
    <w:rsid w:val="007B2543"/>
    <w:rsid w:val="007B2CCA"/>
    <w:rsid w:val="007E6C6F"/>
    <w:rsid w:val="008013D5"/>
    <w:rsid w:val="00825BAE"/>
    <w:rsid w:val="00843AA1"/>
    <w:rsid w:val="00880965"/>
    <w:rsid w:val="008A7748"/>
    <w:rsid w:val="008C14CB"/>
    <w:rsid w:val="008E1DD9"/>
    <w:rsid w:val="008E34AC"/>
    <w:rsid w:val="00906081"/>
    <w:rsid w:val="00934243"/>
    <w:rsid w:val="0094482E"/>
    <w:rsid w:val="0095716A"/>
    <w:rsid w:val="00982410"/>
    <w:rsid w:val="009A58C8"/>
    <w:rsid w:val="009B4AE2"/>
    <w:rsid w:val="009C3A85"/>
    <w:rsid w:val="009E2DEF"/>
    <w:rsid w:val="00A00F72"/>
    <w:rsid w:val="00A32920"/>
    <w:rsid w:val="00A805BF"/>
    <w:rsid w:val="00A86859"/>
    <w:rsid w:val="00A910A5"/>
    <w:rsid w:val="00AF5FE2"/>
    <w:rsid w:val="00B12F8E"/>
    <w:rsid w:val="00B366BC"/>
    <w:rsid w:val="00BA6DF4"/>
    <w:rsid w:val="00BC1DBE"/>
    <w:rsid w:val="00C17CAE"/>
    <w:rsid w:val="00C34BC6"/>
    <w:rsid w:val="00C37BA3"/>
    <w:rsid w:val="00C706BF"/>
    <w:rsid w:val="00CA6F67"/>
    <w:rsid w:val="00CC0F95"/>
    <w:rsid w:val="00CE6229"/>
    <w:rsid w:val="00D10717"/>
    <w:rsid w:val="00D33BE2"/>
    <w:rsid w:val="00D71254"/>
    <w:rsid w:val="00D908DC"/>
    <w:rsid w:val="00DA441A"/>
    <w:rsid w:val="00DF22EC"/>
    <w:rsid w:val="00E30948"/>
    <w:rsid w:val="00E42F75"/>
    <w:rsid w:val="00E63FFA"/>
    <w:rsid w:val="00E66A04"/>
    <w:rsid w:val="00E70AAD"/>
    <w:rsid w:val="00E75F09"/>
    <w:rsid w:val="00E93CD6"/>
    <w:rsid w:val="00E97C16"/>
    <w:rsid w:val="00EA4CC0"/>
    <w:rsid w:val="00EA5D8A"/>
    <w:rsid w:val="00EA673E"/>
    <w:rsid w:val="00EF71C9"/>
    <w:rsid w:val="00F04139"/>
    <w:rsid w:val="00F40FE9"/>
    <w:rsid w:val="00F80A57"/>
    <w:rsid w:val="00F847EC"/>
    <w:rsid w:val="00FC0126"/>
    <w:rsid w:val="00FC1EE5"/>
    <w:rsid w:val="00FD15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57274"/>
  <w15:chartTrackingRefBased/>
  <w15:docId w15:val="{6EB1B8EE-4BB6-7849-8477-A151AD8D9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60F"/>
    <w:rPr>
      <w:rFonts w:ascii="Arno Pro" w:hAnsi="Arno Pro"/>
      <w:sz w:val="18"/>
    </w:rPr>
  </w:style>
  <w:style w:type="paragraph" w:styleId="Heading1">
    <w:name w:val="heading 1"/>
    <w:basedOn w:val="Normal"/>
    <w:next w:val="Normal"/>
    <w:link w:val="Heading1Char"/>
    <w:uiPriority w:val="9"/>
    <w:qFormat/>
    <w:rsid w:val="00745A16"/>
    <w:pPr>
      <w:keepNext/>
      <w:keepLines/>
      <w:spacing w:before="360" w:after="120"/>
      <w:outlineLvl w:val="0"/>
    </w:pPr>
    <w:rPr>
      <w:rFonts w:eastAsiaTheme="majorEastAsia" w:cstheme="majorBidi"/>
      <w:b/>
      <w:color w:val="000000" w:themeColor="text1"/>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Title">
    <w:name w:val="BA_Title"/>
    <w:basedOn w:val="Normal"/>
    <w:next w:val="Normal"/>
    <w:autoRedefine/>
    <w:rsid w:val="00A805BF"/>
    <w:pPr>
      <w:suppressAutoHyphens/>
      <w:spacing w:before="180" w:after="180"/>
      <w:jc w:val="both"/>
    </w:pPr>
    <w:rPr>
      <w:rFonts w:ascii="Myriad Pro Light" w:eastAsia="Times New Roman" w:hAnsi="Myriad Pro Light" w:cs="Times New Roman"/>
      <w:b/>
      <w:kern w:val="36"/>
      <w:sz w:val="32"/>
      <w:lang w:eastAsia="ko-KR"/>
      <w14:ligatures w14:val="none"/>
    </w:rPr>
  </w:style>
  <w:style w:type="paragraph" w:customStyle="1" w:styleId="BBAuthorName">
    <w:name w:val="BB_Author_Name"/>
    <w:basedOn w:val="Normal"/>
    <w:next w:val="BCAuthorAddress"/>
    <w:autoRedefine/>
    <w:rsid w:val="00A805BF"/>
    <w:pPr>
      <w:tabs>
        <w:tab w:val="left" w:pos="6871"/>
      </w:tabs>
      <w:spacing w:after="180"/>
      <w:jc w:val="both"/>
    </w:pPr>
    <w:rPr>
      <w:rFonts w:eastAsia="Times New Roman" w:cs="Times New Roman"/>
      <w:kern w:val="26"/>
      <w14:ligatures w14:val="none"/>
    </w:rPr>
  </w:style>
  <w:style w:type="paragraph" w:customStyle="1" w:styleId="BCAuthorAddress">
    <w:name w:val="BC_Author_Address"/>
    <w:basedOn w:val="Normal"/>
    <w:next w:val="Normal"/>
    <w:autoRedefine/>
    <w:rsid w:val="00A805BF"/>
    <w:pPr>
      <w:numPr>
        <w:numId w:val="1"/>
      </w:numPr>
      <w:spacing w:after="60"/>
    </w:pPr>
    <w:rPr>
      <w:rFonts w:eastAsia="Times New Roman" w:cs="Times New Roman"/>
      <w:kern w:val="22"/>
      <w:sz w:val="20"/>
      <w14:ligatures w14:val="none"/>
    </w:rPr>
  </w:style>
  <w:style w:type="paragraph" w:customStyle="1" w:styleId="BIEmailAddress">
    <w:name w:val="BI_Email_Address"/>
    <w:basedOn w:val="Normal"/>
    <w:next w:val="Normal"/>
    <w:autoRedefine/>
    <w:rsid w:val="00A805BF"/>
    <w:pPr>
      <w:spacing w:after="100"/>
      <w:ind w:firstLine="187"/>
    </w:pPr>
    <w:rPr>
      <w:rFonts w:eastAsia="PMingLiU" w:cs="Times New Roman"/>
      <w:kern w:val="0"/>
      <w:szCs w:val="20"/>
      <w:lang w:eastAsia="en-US"/>
      <w14:ligatures w14:val="none"/>
    </w:rPr>
  </w:style>
  <w:style w:type="character" w:styleId="Hyperlink">
    <w:name w:val="Hyperlink"/>
    <w:rsid w:val="00A805BF"/>
    <w:rPr>
      <w:color w:val="0000FF"/>
      <w:u w:val="single"/>
    </w:rPr>
  </w:style>
  <w:style w:type="table" w:styleId="TableGrid">
    <w:name w:val="Table Grid"/>
    <w:basedOn w:val="TableNormal"/>
    <w:uiPriority w:val="39"/>
    <w:rsid w:val="00FC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1EE5"/>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745A16"/>
    <w:rPr>
      <w:rFonts w:ascii="Arno Pro" w:eastAsiaTheme="majorEastAsia" w:hAnsi="Arno Pro" w:cstheme="majorBidi"/>
      <w:b/>
      <w:color w:val="000000" w:themeColor="text1"/>
      <w:sz w:val="22"/>
      <w:szCs w:val="32"/>
    </w:rPr>
  </w:style>
  <w:style w:type="paragraph" w:styleId="Header">
    <w:name w:val="header"/>
    <w:basedOn w:val="Normal"/>
    <w:link w:val="HeaderChar"/>
    <w:uiPriority w:val="99"/>
    <w:unhideWhenUsed/>
    <w:rsid w:val="00221280"/>
    <w:pPr>
      <w:tabs>
        <w:tab w:val="center" w:pos="4680"/>
        <w:tab w:val="right" w:pos="9360"/>
      </w:tabs>
    </w:pPr>
  </w:style>
  <w:style w:type="character" w:customStyle="1" w:styleId="HeaderChar">
    <w:name w:val="Header Char"/>
    <w:basedOn w:val="DefaultParagraphFont"/>
    <w:link w:val="Header"/>
    <w:uiPriority w:val="99"/>
    <w:rsid w:val="00221280"/>
    <w:rPr>
      <w:rFonts w:ascii="Arno Pro" w:hAnsi="Arno Pro"/>
    </w:rPr>
  </w:style>
  <w:style w:type="paragraph" w:styleId="Footer">
    <w:name w:val="footer"/>
    <w:basedOn w:val="Normal"/>
    <w:link w:val="FooterChar"/>
    <w:uiPriority w:val="99"/>
    <w:unhideWhenUsed/>
    <w:rsid w:val="00221280"/>
    <w:pPr>
      <w:tabs>
        <w:tab w:val="center" w:pos="4680"/>
        <w:tab w:val="right" w:pos="9360"/>
      </w:tabs>
    </w:pPr>
  </w:style>
  <w:style w:type="character" w:customStyle="1" w:styleId="FooterChar">
    <w:name w:val="Footer Char"/>
    <w:basedOn w:val="DefaultParagraphFont"/>
    <w:link w:val="Footer"/>
    <w:uiPriority w:val="99"/>
    <w:rsid w:val="00221280"/>
    <w:rPr>
      <w:rFonts w:ascii="Arno Pro" w:hAnsi="Arno Pro"/>
    </w:rPr>
  </w:style>
  <w:style w:type="paragraph" w:customStyle="1" w:styleId="TAMainText">
    <w:name w:val="TA_Main_Text"/>
    <w:basedOn w:val="Normal"/>
    <w:autoRedefine/>
    <w:qFormat/>
    <w:rsid w:val="00E75F09"/>
  </w:style>
  <w:style w:type="paragraph" w:styleId="Bibliography">
    <w:name w:val="Bibliography"/>
    <w:basedOn w:val="Normal"/>
    <w:next w:val="Normal"/>
    <w:uiPriority w:val="37"/>
    <w:unhideWhenUsed/>
    <w:rsid w:val="0067560F"/>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08474">
      <w:bodyDiv w:val="1"/>
      <w:marLeft w:val="0"/>
      <w:marRight w:val="0"/>
      <w:marTop w:val="0"/>
      <w:marBottom w:val="0"/>
      <w:divBdr>
        <w:top w:val="none" w:sz="0" w:space="0" w:color="auto"/>
        <w:left w:val="none" w:sz="0" w:space="0" w:color="auto"/>
        <w:bottom w:val="none" w:sz="0" w:space="0" w:color="auto"/>
        <w:right w:val="none" w:sz="0" w:space="0" w:color="auto"/>
      </w:divBdr>
    </w:div>
    <w:div w:id="429278052">
      <w:bodyDiv w:val="1"/>
      <w:marLeft w:val="0"/>
      <w:marRight w:val="0"/>
      <w:marTop w:val="0"/>
      <w:marBottom w:val="0"/>
      <w:divBdr>
        <w:top w:val="none" w:sz="0" w:space="0" w:color="auto"/>
        <w:left w:val="none" w:sz="0" w:space="0" w:color="auto"/>
        <w:bottom w:val="none" w:sz="0" w:space="0" w:color="auto"/>
        <w:right w:val="none" w:sz="0" w:space="0" w:color="auto"/>
      </w:divBdr>
    </w:div>
    <w:div w:id="10304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ousung.jung@snu.ac.kr"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11</Pages>
  <Words>3221</Words>
  <Characters>18204</Characters>
  <Application>Microsoft Office Word</Application>
  <DocSecurity>0</DocSecurity>
  <Lines>293</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SHUAN Chen</dc:creator>
  <cp:keywords/>
  <dc:description/>
  <cp:lastModifiedBy>Shuan</cp:lastModifiedBy>
  <cp:revision>111</cp:revision>
  <dcterms:created xsi:type="dcterms:W3CDTF">2024-03-23T14:48:00Z</dcterms:created>
  <dcterms:modified xsi:type="dcterms:W3CDTF">2024-06-21T08:23:00Z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id="YLNweFqu"/&gt;&lt;style id="http://www.zotero.org/styles/journal-of-cheminformatics"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y fmtid="{D5CDD505-2E9C-101B-9397-08002B2CF9AE}" pid="4" name="GrammarlyDocumentId">
    <vt:lpwstr>19d79b46e7c73bfa88bc1be48cb4280f87e5b95030f6de9ae826c9de8a527f18</vt:lpwstr>
  </property>
</Properties>
</file>