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817C" w14:textId="77777777" w:rsidR="000C1224" w:rsidRDefault="00000000">
      <w:pPr>
        <w:spacing w:line="480" w:lineRule="auto"/>
        <w:rPr>
          <w:rFonts w:ascii="Arial" w:eastAsia="Arial" w:hAnsi="Arial" w:cs="Arial"/>
          <w:b/>
          <w:bCs/>
          <w:sz w:val="32"/>
          <w:szCs w:val="32"/>
        </w:rPr>
      </w:pPr>
      <w:r>
        <w:rPr>
          <w:rFonts w:ascii="Arial" w:eastAsia="Arial" w:hAnsi="Arial" w:cs="Arial"/>
          <w:b/>
          <w:bCs/>
          <w:sz w:val="32"/>
          <w:szCs w:val="32"/>
        </w:rPr>
        <w:t>Additional file 1 for</w:t>
      </w:r>
      <w:r>
        <w:rPr>
          <w:rFonts w:ascii="Arial" w:eastAsia="Arial" w:hAnsi="Arial" w:cs="Arial"/>
          <w:b/>
          <w:bCs/>
          <w:sz w:val="32"/>
          <w:szCs w:val="32"/>
        </w:rPr>
        <w:br/>
        <w:t>MolMeDB RDF: transforming a relational database about biological membranes to the RDF format to increase interoperability</w:t>
      </w:r>
    </w:p>
    <w:p w14:paraId="163560CB" w14:textId="77777777" w:rsidR="000C1224" w:rsidRPr="00A93618" w:rsidRDefault="00000000">
      <w:pPr>
        <w:spacing w:line="480" w:lineRule="auto"/>
        <w:rPr>
          <w:rFonts w:ascii="Arial" w:eastAsia="Arial" w:hAnsi="Arial" w:cs="Arial"/>
          <w:b/>
          <w:bCs/>
          <w:sz w:val="28"/>
          <w:szCs w:val="28"/>
          <w:vertAlign w:val="superscript"/>
          <w:lang w:val="pl-PL"/>
        </w:rPr>
      </w:pPr>
      <w:r w:rsidRPr="00A93618">
        <w:rPr>
          <w:rFonts w:ascii="Arial" w:eastAsia="Arial" w:hAnsi="Arial" w:cs="Arial"/>
          <w:b/>
          <w:bCs/>
          <w:sz w:val="28"/>
          <w:szCs w:val="28"/>
          <w:lang w:val="pl-PL"/>
        </w:rPr>
        <w:t>Dominik Martinát</w:t>
      </w:r>
      <w:r w:rsidRPr="00A93618">
        <w:rPr>
          <w:rFonts w:ascii="Arial" w:eastAsia="Arial" w:hAnsi="Arial" w:cs="Arial"/>
          <w:b/>
          <w:bCs/>
          <w:sz w:val="28"/>
          <w:szCs w:val="28"/>
          <w:vertAlign w:val="superscript"/>
          <w:lang w:val="pl-PL"/>
        </w:rPr>
        <w:t>1</w:t>
      </w:r>
      <w:r w:rsidRPr="00A93618">
        <w:rPr>
          <w:rFonts w:ascii="Arial" w:eastAsia="Arial" w:hAnsi="Arial" w:cs="Arial"/>
          <w:b/>
          <w:bCs/>
          <w:sz w:val="28"/>
          <w:szCs w:val="28"/>
          <w:lang w:val="pl-PL"/>
        </w:rPr>
        <w:t>, Jakub Juračka</w:t>
      </w:r>
      <w:r w:rsidRPr="00A93618">
        <w:rPr>
          <w:rFonts w:ascii="Arial" w:eastAsia="Arial" w:hAnsi="Arial" w:cs="Arial"/>
          <w:b/>
          <w:bCs/>
          <w:sz w:val="28"/>
          <w:szCs w:val="28"/>
          <w:vertAlign w:val="superscript"/>
          <w:lang w:val="pl-PL"/>
        </w:rPr>
        <w:t>1,2</w:t>
      </w:r>
      <w:r w:rsidRPr="00A93618">
        <w:rPr>
          <w:rFonts w:ascii="Arial" w:eastAsia="Arial" w:hAnsi="Arial" w:cs="Arial"/>
          <w:b/>
          <w:bCs/>
          <w:sz w:val="28"/>
          <w:szCs w:val="28"/>
          <w:lang w:val="pl-PL"/>
        </w:rPr>
        <w:t>, Jakub Galgonek</w:t>
      </w:r>
      <w:r w:rsidRPr="00A93618">
        <w:rPr>
          <w:rFonts w:ascii="Arial" w:eastAsia="Arial" w:hAnsi="Arial" w:cs="Arial"/>
          <w:b/>
          <w:bCs/>
          <w:sz w:val="28"/>
          <w:szCs w:val="28"/>
          <w:vertAlign w:val="superscript"/>
          <w:lang w:val="pl-PL"/>
        </w:rPr>
        <w:t>3</w:t>
      </w:r>
      <w:r w:rsidRPr="00A93618">
        <w:rPr>
          <w:rFonts w:ascii="Arial" w:eastAsia="Arial" w:hAnsi="Arial" w:cs="Arial"/>
          <w:b/>
          <w:bCs/>
          <w:sz w:val="28"/>
          <w:szCs w:val="28"/>
          <w:lang w:val="pl-PL"/>
        </w:rPr>
        <w:t>, Karel Berka</w:t>
      </w:r>
      <w:r w:rsidRPr="00A93618">
        <w:rPr>
          <w:rFonts w:ascii="Arial" w:eastAsia="Arial" w:hAnsi="Arial" w:cs="Arial"/>
          <w:b/>
          <w:bCs/>
          <w:sz w:val="28"/>
          <w:szCs w:val="28"/>
          <w:vertAlign w:val="superscript"/>
          <w:lang w:val="pl-PL"/>
        </w:rPr>
        <w:t>1,3</w:t>
      </w:r>
    </w:p>
    <w:p w14:paraId="18CF110F" w14:textId="77777777" w:rsidR="000C1224" w:rsidRDefault="00000000">
      <w:pPr>
        <w:spacing w:line="480" w:lineRule="auto"/>
        <w:rPr>
          <w:rFonts w:ascii="Roboto" w:eastAsia="Roboto" w:hAnsi="Roboto" w:cs="Roboto"/>
          <w:color w:val="151515"/>
          <w:sz w:val="18"/>
          <w:szCs w:val="18"/>
          <w:highlight w:val="white"/>
        </w:rPr>
      </w:pPr>
      <w:r>
        <w:rPr>
          <w:rFonts w:ascii="Roboto" w:eastAsia="Roboto" w:hAnsi="Roboto" w:cs="Roboto"/>
          <w:color w:val="151515"/>
          <w:sz w:val="18"/>
          <w:szCs w:val="18"/>
          <w:highlight w:val="white"/>
        </w:rPr>
        <w:t>1 Department of Physical Chemistry, Faculty of Science, Palacký University Olomouc, 17. listopadu 12, 771 46 Olomouc, Czech Republic</w:t>
      </w:r>
    </w:p>
    <w:p w14:paraId="5ACE2099" w14:textId="77777777" w:rsidR="000C1224" w:rsidRDefault="00000000">
      <w:pPr>
        <w:spacing w:line="480" w:lineRule="auto"/>
        <w:rPr>
          <w:rFonts w:ascii="Roboto" w:eastAsia="Roboto" w:hAnsi="Roboto" w:cs="Roboto"/>
          <w:color w:val="151515"/>
          <w:sz w:val="18"/>
          <w:szCs w:val="18"/>
          <w:highlight w:val="white"/>
        </w:rPr>
      </w:pPr>
      <w:r>
        <w:rPr>
          <w:rFonts w:ascii="Roboto" w:eastAsia="Roboto" w:hAnsi="Roboto" w:cs="Roboto"/>
          <w:color w:val="151515"/>
          <w:sz w:val="18"/>
          <w:szCs w:val="18"/>
          <w:highlight w:val="white"/>
        </w:rPr>
        <w:t>2 Department of Computer Science, Faculty of Science, Palacký University Olomouc, 17. listopadu 12, 771 46 Olomouc, Czech Republic</w:t>
      </w:r>
    </w:p>
    <w:p w14:paraId="30C5779B" w14:textId="77777777" w:rsidR="000C1224" w:rsidRDefault="00000000">
      <w:pPr>
        <w:spacing w:line="480" w:lineRule="auto"/>
        <w:rPr>
          <w:rFonts w:ascii="Roboto" w:eastAsia="Roboto" w:hAnsi="Roboto" w:cs="Roboto"/>
          <w:color w:val="151515"/>
          <w:sz w:val="18"/>
          <w:szCs w:val="18"/>
          <w:highlight w:val="white"/>
        </w:rPr>
      </w:pPr>
      <w:r>
        <w:rPr>
          <w:rFonts w:ascii="Roboto" w:eastAsia="Roboto" w:hAnsi="Roboto" w:cs="Roboto"/>
          <w:color w:val="151515"/>
          <w:sz w:val="18"/>
          <w:szCs w:val="18"/>
          <w:highlight w:val="white"/>
        </w:rPr>
        <w:t>3 Institute of Organic Chemistry and Biochemistry of the Czech Academy of Sciences, Flemingovo náměstí 2, 166 00 Prague 6, Czech Republic</w:t>
      </w:r>
    </w:p>
    <w:p w14:paraId="228A4FF9" w14:textId="77777777" w:rsidR="000C1224" w:rsidRDefault="00000000">
      <w:r>
        <w:rPr>
          <w:b/>
          <w:bCs/>
        </w:rPr>
        <w:t>Table S1.</w:t>
      </w:r>
      <w:r>
        <w:t xml:space="preserve"> Summary statistics of the MolMeDB dataset at the date of submission (April 2026). These are expected to grow as the MolMeDB database and subsequent updates to the MolMeDB RDF are added.</w:t>
      </w:r>
    </w:p>
    <w:tbl>
      <w:tblPr>
        <w:tblStyle w:val="a"/>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0C1224" w14:paraId="193C4C82" w14:textId="77777777" w:rsidTr="00A93618">
        <w:trPr>
          <w:trHeight w:val="420"/>
        </w:trPr>
        <w:tc>
          <w:tcPr>
            <w:tcW w:w="9026" w:type="dxa"/>
            <w:gridSpan w:val="2"/>
            <w:tcBorders>
              <w:top w:val="single" w:sz="4" w:space="0" w:color="auto"/>
              <w:left w:val="nil"/>
              <w:bottom w:val="single" w:sz="4" w:space="0" w:color="auto"/>
              <w:right w:val="nil"/>
            </w:tcBorders>
            <w:tcMar>
              <w:top w:w="100" w:type="dxa"/>
              <w:left w:w="100" w:type="dxa"/>
              <w:bottom w:w="100" w:type="dxa"/>
              <w:right w:w="100" w:type="dxa"/>
            </w:tcMar>
          </w:tcPr>
          <w:p w14:paraId="2F2AD50E" w14:textId="77777777" w:rsidR="000C1224" w:rsidRDefault="00000000">
            <w:pPr>
              <w:widowControl w:val="0"/>
              <w:spacing w:after="0" w:line="240" w:lineRule="auto"/>
              <w:rPr>
                <w:b/>
                <w:bCs/>
              </w:rPr>
            </w:pPr>
            <w:r>
              <w:rPr>
                <w:b/>
                <w:bCs/>
              </w:rPr>
              <w:t>basic statistics</w:t>
            </w:r>
          </w:p>
        </w:tc>
      </w:tr>
      <w:tr w:rsidR="000C1224" w14:paraId="77C00327" w14:textId="77777777" w:rsidTr="00A93618">
        <w:tc>
          <w:tcPr>
            <w:tcW w:w="4513" w:type="dxa"/>
            <w:tcBorders>
              <w:top w:val="single" w:sz="4" w:space="0" w:color="auto"/>
              <w:left w:val="nil"/>
              <w:bottom w:val="nil"/>
              <w:right w:val="nil"/>
            </w:tcBorders>
            <w:tcMar>
              <w:top w:w="100" w:type="dxa"/>
              <w:left w:w="100" w:type="dxa"/>
              <w:bottom w:w="100" w:type="dxa"/>
              <w:right w:w="100" w:type="dxa"/>
            </w:tcMar>
          </w:tcPr>
          <w:p w14:paraId="394FE993" w14:textId="77777777" w:rsidR="000C1224" w:rsidRDefault="00000000">
            <w:pPr>
              <w:widowControl w:val="0"/>
              <w:spacing w:after="0" w:line="240" w:lineRule="auto"/>
            </w:pPr>
            <w:r>
              <w:t xml:space="preserve">triplets </w:t>
            </w:r>
          </w:p>
        </w:tc>
        <w:tc>
          <w:tcPr>
            <w:tcW w:w="4513" w:type="dxa"/>
            <w:tcBorders>
              <w:top w:val="single" w:sz="4" w:space="0" w:color="auto"/>
              <w:left w:val="nil"/>
              <w:bottom w:val="nil"/>
              <w:right w:val="nil"/>
            </w:tcBorders>
            <w:tcMar>
              <w:top w:w="100" w:type="dxa"/>
              <w:left w:w="100" w:type="dxa"/>
              <w:bottom w:w="100" w:type="dxa"/>
              <w:right w:w="100" w:type="dxa"/>
            </w:tcMar>
          </w:tcPr>
          <w:p w14:paraId="49C077C8" w14:textId="77777777" w:rsidR="000C1224" w:rsidRDefault="00000000">
            <w:pPr>
              <w:widowControl w:val="0"/>
              <w:spacing w:after="0" w:line="240" w:lineRule="auto"/>
            </w:pPr>
            <w:r>
              <w:t>34019186</w:t>
            </w:r>
          </w:p>
        </w:tc>
      </w:tr>
      <w:tr w:rsidR="000C1224" w14:paraId="04027B1A" w14:textId="77777777" w:rsidTr="00A93618">
        <w:tc>
          <w:tcPr>
            <w:tcW w:w="4513" w:type="dxa"/>
            <w:tcBorders>
              <w:top w:val="nil"/>
              <w:left w:val="nil"/>
              <w:bottom w:val="nil"/>
              <w:right w:val="nil"/>
            </w:tcBorders>
            <w:tcMar>
              <w:top w:w="100" w:type="dxa"/>
              <w:left w:w="100" w:type="dxa"/>
              <w:bottom w:w="100" w:type="dxa"/>
              <w:right w:w="100" w:type="dxa"/>
            </w:tcMar>
          </w:tcPr>
          <w:p w14:paraId="1C45E4A8" w14:textId="77777777" w:rsidR="000C1224" w:rsidRDefault="00000000">
            <w:pPr>
              <w:widowControl w:val="0"/>
              <w:spacing w:after="0" w:line="240" w:lineRule="auto"/>
            </w:pPr>
            <w:r>
              <w:t>types</w:t>
            </w:r>
          </w:p>
        </w:tc>
        <w:tc>
          <w:tcPr>
            <w:tcW w:w="4513" w:type="dxa"/>
            <w:tcBorders>
              <w:top w:val="nil"/>
              <w:left w:val="nil"/>
              <w:bottom w:val="nil"/>
              <w:right w:val="nil"/>
            </w:tcBorders>
            <w:tcMar>
              <w:top w:w="100" w:type="dxa"/>
              <w:left w:w="100" w:type="dxa"/>
              <w:bottom w:w="100" w:type="dxa"/>
              <w:right w:w="100" w:type="dxa"/>
            </w:tcMar>
          </w:tcPr>
          <w:p w14:paraId="4061D3AD" w14:textId="77777777" w:rsidR="000C1224" w:rsidRDefault="00000000">
            <w:pPr>
              <w:widowControl w:val="0"/>
              <w:spacing w:after="0" w:line="240" w:lineRule="auto"/>
            </w:pPr>
            <w:r>
              <w:t>61</w:t>
            </w:r>
          </w:p>
        </w:tc>
      </w:tr>
      <w:tr w:rsidR="000C1224" w14:paraId="4656F455" w14:textId="77777777" w:rsidTr="00A93618">
        <w:tc>
          <w:tcPr>
            <w:tcW w:w="4513" w:type="dxa"/>
            <w:tcBorders>
              <w:top w:val="nil"/>
              <w:left w:val="nil"/>
              <w:bottom w:val="single" w:sz="4" w:space="0" w:color="auto"/>
              <w:right w:val="nil"/>
            </w:tcBorders>
            <w:tcMar>
              <w:top w:w="100" w:type="dxa"/>
              <w:left w:w="100" w:type="dxa"/>
              <w:bottom w:w="100" w:type="dxa"/>
              <w:right w:w="100" w:type="dxa"/>
            </w:tcMar>
          </w:tcPr>
          <w:p w14:paraId="6E395375" w14:textId="77777777" w:rsidR="000C1224" w:rsidRDefault="00000000">
            <w:pPr>
              <w:widowControl w:val="0"/>
              <w:spacing w:after="0" w:line="240" w:lineRule="auto"/>
            </w:pPr>
            <w:r>
              <w:t>predicates</w:t>
            </w:r>
          </w:p>
        </w:tc>
        <w:tc>
          <w:tcPr>
            <w:tcW w:w="4513" w:type="dxa"/>
            <w:tcBorders>
              <w:top w:val="nil"/>
              <w:left w:val="nil"/>
              <w:bottom w:val="single" w:sz="4" w:space="0" w:color="auto"/>
              <w:right w:val="nil"/>
            </w:tcBorders>
            <w:tcMar>
              <w:top w:w="100" w:type="dxa"/>
              <w:left w:w="100" w:type="dxa"/>
              <w:bottom w:w="100" w:type="dxa"/>
              <w:right w:w="100" w:type="dxa"/>
            </w:tcMar>
          </w:tcPr>
          <w:p w14:paraId="2843A67E" w14:textId="77777777" w:rsidR="000C1224" w:rsidRDefault="00000000">
            <w:pPr>
              <w:widowControl w:val="0"/>
              <w:spacing w:after="0" w:line="240" w:lineRule="auto"/>
            </w:pPr>
            <w:r>
              <w:t>28</w:t>
            </w:r>
          </w:p>
        </w:tc>
      </w:tr>
      <w:tr w:rsidR="000C1224" w14:paraId="39498932" w14:textId="77777777" w:rsidTr="00A93618">
        <w:trPr>
          <w:trHeight w:val="420"/>
        </w:trPr>
        <w:tc>
          <w:tcPr>
            <w:tcW w:w="9026" w:type="dxa"/>
            <w:gridSpan w:val="2"/>
            <w:tcBorders>
              <w:top w:val="single" w:sz="4" w:space="0" w:color="auto"/>
              <w:left w:val="nil"/>
              <w:bottom w:val="single" w:sz="4" w:space="0" w:color="auto"/>
              <w:right w:val="nil"/>
            </w:tcBorders>
            <w:tcMar>
              <w:top w:w="100" w:type="dxa"/>
              <w:left w:w="100" w:type="dxa"/>
              <w:bottom w:w="100" w:type="dxa"/>
              <w:right w:w="100" w:type="dxa"/>
            </w:tcMar>
          </w:tcPr>
          <w:p w14:paraId="10E84270" w14:textId="77777777" w:rsidR="000C1224" w:rsidRDefault="00000000">
            <w:pPr>
              <w:widowControl w:val="0"/>
              <w:spacing w:after="0" w:line="240" w:lineRule="auto"/>
              <w:rPr>
                <w:b/>
                <w:bCs/>
              </w:rPr>
            </w:pPr>
            <w:r>
              <w:rPr>
                <w:b/>
                <w:bCs/>
              </w:rPr>
              <w:t>class statistics</w:t>
            </w:r>
          </w:p>
        </w:tc>
      </w:tr>
      <w:tr w:rsidR="000C1224" w14:paraId="7B42EDEB" w14:textId="77777777" w:rsidTr="00A93618">
        <w:tc>
          <w:tcPr>
            <w:tcW w:w="4513" w:type="dxa"/>
            <w:tcBorders>
              <w:top w:val="single" w:sz="4" w:space="0" w:color="auto"/>
              <w:left w:val="nil"/>
              <w:bottom w:val="nil"/>
              <w:right w:val="nil"/>
            </w:tcBorders>
            <w:tcMar>
              <w:top w:w="100" w:type="dxa"/>
              <w:left w:w="100" w:type="dxa"/>
              <w:bottom w:w="100" w:type="dxa"/>
              <w:right w:w="100" w:type="dxa"/>
            </w:tcMar>
          </w:tcPr>
          <w:p w14:paraId="55211A14" w14:textId="77777777" w:rsidR="000C1224" w:rsidRDefault="00000000">
            <w:pPr>
              <w:widowControl w:val="0"/>
              <w:spacing w:after="0" w:line="240" w:lineRule="auto"/>
            </w:pPr>
            <w:r>
              <w:t>molecular entities</w:t>
            </w:r>
          </w:p>
        </w:tc>
        <w:tc>
          <w:tcPr>
            <w:tcW w:w="4513" w:type="dxa"/>
            <w:tcBorders>
              <w:top w:val="single" w:sz="4" w:space="0" w:color="auto"/>
              <w:left w:val="nil"/>
              <w:bottom w:val="nil"/>
              <w:right w:val="nil"/>
            </w:tcBorders>
            <w:tcMar>
              <w:top w:w="100" w:type="dxa"/>
              <w:left w:w="100" w:type="dxa"/>
              <w:bottom w:w="100" w:type="dxa"/>
              <w:right w:w="100" w:type="dxa"/>
            </w:tcMar>
          </w:tcPr>
          <w:p w14:paraId="71F26613" w14:textId="77777777" w:rsidR="000C1224" w:rsidRDefault="00000000">
            <w:pPr>
              <w:widowControl w:val="0"/>
              <w:spacing w:after="0" w:line="240" w:lineRule="auto"/>
            </w:pPr>
            <w:r>
              <w:t>476970</w:t>
            </w:r>
          </w:p>
        </w:tc>
      </w:tr>
      <w:tr w:rsidR="000C1224" w14:paraId="4AFA0D3B" w14:textId="77777777" w:rsidTr="00A93618">
        <w:tc>
          <w:tcPr>
            <w:tcW w:w="4513" w:type="dxa"/>
            <w:tcBorders>
              <w:top w:val="nil"/>
              <w:left w:val="nil"/>
              <w:bottom w:val="nil"/>
              <w:right w:val="nil"/>
            </w:tcBorders>
            <w:tcMar>
              <w:top w:w="100" w:type="dxa"/>
              <w:left w:w="100" w:type="dxa"/>
              <w:bottom w:w="100" w:type="dxa"/>
              <w:right w:w="100" w:type="dxa"/>
            </w:tcMar>
          </w:tcPr>
          <w:p w14:paraId="51AE5CDC" w14:textId="77777777" w:rsidR="000C1224" w:rsidRDefault="00000000">
            <w:pPr>
              <w:widowControl w:val="0"/>
              <w:spacing w:after="0" w:line="240" w:lineRule="auto"/>
            </w:pPr>
            <w:r>
              <w:t>membrane assay</w:t>
            </w:r>
          </w:p>
        </w:tc>
        <w:tc>
          <w:tcPr>
            <w:tcW w:w="4513" w:type="dxa"/>
            <w:tcBorders>
              <w:top w:val="nil"/>
              <w:left w:val="nil"/>
              <w:bottom w:val="nil"/>
              <w:right w:val="nil"/>
            </w:tcBorders>
            <w:tcMar>
              <w:top w:w="100" w:type="dxa"/>
              <w:left w:w="100" w:type="dxa"/>
              <w:bottom w:w="100" w:type="dxa"/>
              <w:right w:w="100" w:type="dxa"/>
            </w:tcMar>
          </w:tcPr>
          <w:p w14:paraId="292D53F1" w14:textId="77777777" w:rsidR="000C1224" w:rsidRDefault="00000000">
            <w:pPr>
              <w:widowControl w:val="0"/>
              <w:spacing w:after="0" w:line="240" w:lineRule="auto"/>
            </w:pPr>
            <w:r>
              <w:t>974454</w:t>
            </w:r>
          </w:p>
        </w:tc>
      </w:tr>
      <w:tr w:rsidR="000C1224" w14:paraId="7DF6351E" w14:textId="77777777" w:rsidTr="00A93618">
        <w:tc>
          <w:tcPr>
            <w:tcW w:w="4513" w:type="dxa"/>
            <w:tcBorders>
              <w:top w:val="nil"/>
              <w:left w:val="nil"/>
              <w:bottom w:val="nil"/>
              <w:right w:val="nil"/>
            </w:tcBorders>
            <w:tcMar>
              <w:top w:w="100" w:type="dxa"/>
              <w:left w:w="100" w:type="dxa"/>
              <w:bottom w:w="100" w:type="dxa"/>
              <w:right w:w="100" w:type="dxa"/>
            </w:tcMar>
          </w:tcPr>
          <w:p w14:paraId="75DA719D" w14:textId="77777777" w:rsidR="000C1224" w:rsidRDefault="00000000">
            <w:pPr>
              <w:widowControl w:val="0"/>
              <w:spacing w:after="0" w:line="240" w:lineRule="auto"/>
            </w:pPr>
            <w:r>
              <w:t>methods</w:t>
            </w:r>
          </w:p>
        </w:tc>
        <w:tc>
          <w:tcPr>
            <w:tcW w:w="4513" w:type="dxa"/>
            <w:tcBorders>
              <w:top w:val="nil"/>
              <w:left w:val="nil"/>
              <w:bottom w:val="nil"/>
              <w:right w:val="nil"/>
            </w:tcBorders>
            <w:tcMar>
              <w:top w:w="100" w:type="dxa"/>
              <w:left w:w="100" w:type="dxa"/>
              <w:bottom w:w="100" w:type="dxa"/>
              <w:right w:w="100" w:type="dxa"/>
            </w:tcMar>
          </w:tcPr>
          <w:p w14:paraId="5845846D" w14:textId="77777777" w:rsidR="000C1224" w:rsidRDefault="00000000">
            <w:pPr>
              <w:widowControl w:val="0"/>
              <w:spacing w:after="0" w:line="240" w:lineRule="auto"/>
            </w:pPr>
            <w:r>
              <w:t>57</w:t>
            </w:r>
          </w:p>
        </w:tc>
      </w:tr>
      <w:tr w:rsidR="000C1224" w14:paraId="175B1C62" w14:textId="77777777" w:rsidTr="00A93618">
        <w:tc>
          <w:tcPr>
            <w:tcW w:w="4513" w:type="dxa"/>
            <w:tcBorders>
              <w:top w:val="nil"/>
              <w:left w:val="nil"/>
              <w:bottom w:val="nil"/>
              <w:right w:val="nil"/>
            </w:tcBorders>
            <w:tcMar>
              <w:top w:w="100" w:type="dxa"/>
              <w:left w:w="100" w:type="dxa"/>
              <w:bottom w:w="100" w:type="dxa"/>
              <w:right w:w="100" w:type="dxa"/>
            </w:tcMar>
          </w:tcPr>
          <w:p w14:paraId="6960B2D6" w14:textId="77777777" w:rsidR="000C1224" w:rsidRDefault="00000000">
            <w:pPr>
              <w:widowControl w:val="0"/>
              <w:spacing w:after="0" w:line="240" w:lineRule="auto"/>
            </w:pPr>
            <w:r>
              <w:t>membranes</w:t>
            </w:r>
          </w:p>
        </w:tc>
        <w:tc>
          <w:tcPr>
            <w:tcW w:w="4513" w:type="dxa"/>
            <w:tcBorders>
              <w:top w:val="nil"/>
              <w:left w:val="nil"/>
              <w:bottom w:val="nil"/>
              <w:right w:val="nil"/>
            </w:tcBorders>
            <w:tcMar>
              <w:top w:w="100" w:type="dxa"/>
              <w:left w:w="100" w:type="dxa"/>
              <w:bottom w:w="100" w:type="dxa"/>
              <w:right w:w="100" w:type="dxa"/>
            </w:tcMar>
          </w:tcPr>
          <w:p w14:paraId="3DB9AE28" w14:textId="77777777" w:rsidR="000C1224" w:rsidRDefault="00000000">
            <w:pPr>
              <w:widowControl w:val="0"/>
              <w:spacing w:after="0" w:line="240" w:lineRule="auto"/>
            </w:pPr>
            <w:r>
              <w:t>49</w:t>
            </w:r>
          </w:p>
        </w:tc>
      </w:tr>
      <w:tr w:rsidR="000C1224" w14:paraId="233A5160" w14:textId="77777777" w:rsidTr="00A93618">
        <w:tc>
          <w:tcPr>
            <w:tcW w:w="4513" w:type="dxa"/>
            <w:tcBorders>
              <w:top w:val="nil"/>
              <w:left w:val="nil"/>
              <w:bottom w:val="single" w:sz="4" w:space="0" w:color="auto"/>
              <w:right w:val="nil"/>
            </w:tcBorders>
            <w:tcMar>
              <w:top w:w="100" w:type="dxa"/>
              <w:left w:w="100" w:type="dxa"/>
              <w:bottom w:w="100" w:type="dxa"/>
              <w:right w:w="100" w:type="dxa"/>
            </w:tcMar>
          </w:tcPr>
          <w:p w14:paraId="1D5CAC01" w14:textId="77777777" w:rsidR="000C1224" w:rsidRDefault="00000000">
            <w:pPr>
              <w:widowControl w:val="0"/>
              <w:spacing w:after="0" w:line="240" w:lineRule="auto"/>
            </w:pPr>
            <w:r>
              <w:t>transporter assays</w:t>
            </w:r>
          </w:p>
        </w:tc>
        <w:tc>
          <w:tcPr>
            <w:tcW w:w="4513" w:type="dxa"/>
            <w:tcBorders>
              <w:top w:val="nil"/>
              <w:left w:val="nil"/>
              <w:bottom w:val="single" w:sz="4" w:space="0" w:color="auto"/>
              <w:right w:val="nil"/>
            </w:tcBorders>
            <w:tcMar>
              <w:top w:w="100" w:type="dxa"/>
              <w:left w:w="100" w:type="dxa"/>
              <w:bottom w:w="100" w:type="dxa"/>
              <w:right w:w="100" w:type="dxa"/>
            </w:tcMar>
          </w:tcPr>
          <w:p w14:paraId="073F5205" w14:textId="77777777" w:rsidR="000C1224" w:rsidRDefault="00000000">
            <w:pPr>
              <w:widowControl w:val="0"/>
              <w:spacing w:after="0" w:line="240" w:lineRule="auto"/>
            </w:pPr>
            <w:r>
              <w:t>4472</w:t>
            </w:r>
          </w:p>
        </w:tc>
      </w:tr>
      <w:tr w:rsidR="000C1224" w14:paraId="02E7FC69" w14:textId="77777777" w:rsidTr="00A93618">
        <w:tc>
          <w:tcPr>
            <w:tcW w:w="4513" w:type="dxa"/>
            <w:tcBorders>
              <w:top w:val="single" w:sz="4" w:space="0" w:color="auto"/>
              <w:left w:val="nil"/>
              <w:bottom w:val="nil"/>
              <w:right w:val="nil"/>
            </w:tcBorders>
            <w:tcMar>
              <w:top w:w="100" w:type="dxa"/>
              <w:left w:w="100" w:type="dxa"/>
              <w:bottom w:w="100" w:type="dxa"/>
              <w:right w:w="100" w:type="dxa"/>
            </w:tcMar>
          </w:tcPr>
          <w:p w14:paraId="0F509543" w14:textId="77777777" w:rsidR="000C1224" w:rsidRDefault="00000000">
            <w:pPr>
              <w:widowControl w:val="0"/>
              <w:spacing w:after="0" w:line="240" w:lineRule="auto"/>
            </w:pPr>
            <w:r>
              <w:lastRenderedPageBreak/>
              <w:t>transporters</w:t>
            </w:r>
          </w:p>
        </w:tc>
        <w:tc>
          <w:tcPr>
            <w:tcW w:w="4513" w:type="dxa"/>
            <w:tcBorders>
              <w:top w:val="single" w:sz="4" w:space="0" w:color="auto"/>
              <w:left w:val="nil"/>
              <w:bottom w:val="nil"/>
              <w:right w:val="nil"/>
            </w:tcBorders>
            <w:tcMar>
              <w:top w:w="100" w:type="dxa"/>
              <w:left w:w="100" w:type="dxa"/>
              <w:bottom w:w="100" w:type="dxa"/>
              <w:right w:w="100" w:type="dxa"/>
            </w:tcMar>
          </w:tcPr>
          <w:p w14:paraId="217AE676" w14:textId="77777777" w:rsidR="000C1224" w:rsidRDefault="00000000">
            <w:pPr>
              <w:widowControl w:val="0"/>
              <w:spacing w:after="0" w:line="240" w:lineRule="auto"/>
            </w:pPr>
            <w:r>
              <w:t>208</w:t>
            </w:r>
          </w:p>
        </w:tc>
      </w:tr>
      <w:tr w:rsidR="000C1224" w14:paraId="640034F7" w14:textId="77777777" w:rsidTr="00A93618">
        <w:tc>
          <w:tcPr>
            <w:tcW w:w="4513" w:type="dxa"/>
            <w:tcBorders>
              <w:top w:val="nil"/>
              <w:left w:val="nil"/>
              <w:bottom w:val="single" w:sz="4" w:space="0" w:color="auto"/>
              <w:right w:val="nil"/>
            </w:tcBorders>
            <w:tcMar>
              <w:top w:w="100" w:type="dxa"/>
              <w:left w:w="100" w:type="dxa"/>
              <w:bottom w:w="100" w:type="dxa"/>
              <w:right w:w="100" w:type="dxa"/>
            </w:tcMar>
          </w:tcPr>
          <w:p w14:paraId="18CAFCD2" w14:textId="77777777" w:rsidR="000C1224" w:rsidRDefault="00000000">
            <w:pPr>
              <w:widowControl w:val="0"/>
              <w:spacing w:after="0" w:line="240" w:lineRule="auto"/>
            </w:pPr>
            <w:r>
              <w:t>primary sources</w:t>
            </w:r>
          </w:p>
        </w:tc>
        <w:tc>
          <w:tcPr>
            <w:tcW w:w="4513" w:type="dxa"/>
            <w:tcBorders>
              <w:top w:val="nil"/>
              <w:left w:val="nil"/>
              <w:bottom w:val="single" w:sz="4" w:space="0" w:color="auto"/>
              <w:right w:val="nil"/>
            </w:tcBorders>
            <w:tcMar>
              <w:top w:w="100" w:type="dxa"/>
              <w:left w:w="100" w:type="dxa"/>
              <w:bottom w:w="100" w:type="dxa"/>
              <w:right w:w="100" w:type="dxa"/>
            </w:tcMar>
          </w:tcPr>
          <w:p w14:paraId="3E51D25E" w14:textId="77777777" w:rsidR="000C1224" w:rsidRDefault="00000000">
            <w:pPr>
              <w:widowControl w:val="0"/>
              <w:spacing w:after="0" w:line="240" w:lineRule="auto"/>
            </w:pPr>
            <w:r>
              <w:t>3220</w:t>
            </w:r>
          </w:p>
        </w:tc>
      </w:tr>
      <w:tr w:rsidR="000C1224" w14:paraId="5D2726D8" w14:textId="77777777" w:rsidTr="00A93618">
        <w:trPr>
          <w:trHeight w:val="420"/>
        </w:trPr>
        <w:tc>
          <w:tcPr>
            <w:tcW w:w="9026" w:type="dxa"/>
            <w:gridSpan w:val="2"/>
            <w:tcBorders>
              <w:top w:val="single" w:sz="4" w:space="0" w:color="auto"/>
              <w:left w:val="nil"/>
              <w:bottom w:val="single" w:sz="4" w:space="0" w:color="auto"/>
              <w:right w:val="nil"/>
            </w:tcBorders>
            <w:tcMar>
              <w:top w:w="100" w:type="dxa"/>
              <w:left w:w="100" w:type="dxa"/>
              <w:bottom w:w="100" w:type="dxa"/>
              <w:right w:w="100" w:type="dxa"/>
            </w:tcMar>
          </w:tcPr>
          <w:p w14:paraId="76FCD93E" w14:textId="77777777" w:rsidR="000C1224" w:rsidRDefault="00000000">
            <w:pPr>
              <w:widowControl w:val="0"/>
              <w:spacing w:after="0" w:line="240" w:lineRule="auto"/>
              <w:rPr>
                <w:b/>
                <w:bCs/>
              </w:rPr>
            </w:pPr>
            <w:r>
              <w:rPr>
                <w:b/>
                <w:bCs/>
              </w:rPr>
              <w:t>outlinks</w:t>
            </w:r>
          </w:p>
        </w:tc>
      </w:tr>
      <w:tr w:rsidR="000C1224" w14:paraId="2CE6C147" w14:textId="77777777" w:rsidTr="00A93618">
        <w:tc>
          <w:tcPr>
            <w:tcW w:w="4513" w:type="dxa"/>
            <w:tcBorders>
              <w:top w:val="single" w:sz="4" w:space="0" w:color="auto"/>
              <w:left w:val="nil"/>
              <w:bottom w:val="nil"/>
              <w:right w:val="nil"/>
            </w:tcBorders>
            <w:tcMar>
              <w:top w:w="100" w:type="dxa"/>
              <w:left w:w="100" w:type="dxa"/>
              <w:bottom w:w="100" w:type="dxa"/>
              <w:right w:w="100" w:type="dxa"/>
            </w:tcMar>
          </w:tcPr>
          <w:p w14:paraId="420A081B" w14:textId="77777777" w:rsidR="000C1224" w:rsidRDefault="00000000">
            <w:pPr>
              <w:widowControl w:val="0"/>
              <w:spacing w:after="0" w:line="240" w:lineRule="auto"/>
            </w:pPr>
            <w:r>
              <w:t>molecule to chebi</w:t>
            </w:r>
          </w:p>
        </w:tc>
        <w:tc>
          <w:tcPr>
            <w:tcW w:w="4513" w:type="dxa"/>
            <w:tcBorders>
              <w:top w:val="single" w:sz="4" w:space="0" w:color="auto"/>
              <w:left w:val="nil"/>
              <w:bottom w:val="nil"/>
              <w:right w:val="nil"/>
            </w:tcBorders>
            <w:tcMar>
              <w:top w:w="100" w:type="dxa"/>
              <w:left w:w="100" w:type="dxa"/>
              <w:bottom w:w="100" w:type="dxa"/>
              <w:right w:w="100" w:type="dxa"/>
            </w:tcMar>
          </w:tcPr>
          <w:p w14:paraId="15E5D345" w14:textId="77777777" w:rsidR="000C1224" w:rsidRDefault="00000000">
            <w:pPr>
              <w:widowControl w:val="0"/>
              <w:spacing w:after="0" w:line="240" w:lineRule="auto"/>
            </w:pPr>
            <w:r>
              <w:t>2132</w:t>
            </w:r>
          </w:p>
        </w:tc>
      </w:tr>
      <w:tr w:rsidR="000C1224" w14:paraId="7F8E15E4" w14:textId="77777777" w:rsidTr="00A93618">
        <w:tc>
          <w:tcPr>
            <w:tcW w:w="4513" w:type="dxa"/>
            <w:tcBorders>
              <w:top w:val="nil"/>
              <w:left w:val="nil"/>
              <w:bottom w:val="nil"/>
              <w:right w:val="nil"/>
            </w:tcBorders>
            <w:tcMar>
              <w:top w:w="100" w:type="dxa"/>
              <w:left w:w="100" w:type="dxa"/>
              <w:bottom w:w="100" w:type="dxa"/>
              <w:right w:w="100" w:type="dxa"/>
            </w:tcMar>
          </w:tcPr>
          <w:p w14:paraId="2B919803" w14:textId="77777777" w:rsidR="000C1224" w:rsidRDefault="00000000">
            <w:pPr>
              <w:widowControl w:val="0"/>
              <w:spacing w:after="0" w:line="240" w:lineRule="auto"/>
            </w:pPr>
            <w:r>
              <w:t>molecule to chembl</w:t>
            </w:r>
          </w:p>
        </w:tc>
        <w:tc>
          <w:tcPr>
            <w:tcW w:w="4513" w:type="dxa"/>
            <w:tcBorders>
              <w:top w:val="nil"/>
              <w:left w:val="nil"/>
              <w:bottom w:val="nil"/>
              <w:right w:val="nil"/>
            </w:tcBorders>
            <w:tcMar>
              <w:top w:w="100" w:type="dxa"/>
              <w:left w:w="100" w:type="dxa"/>
              <w:bottom w:w="100" w:type="dxa"/>
              <w:right w:w="100" w:type="dxa"/>
            </w:tcMar>
          </w:tcPr>
          <w:p w14:paraId="0B816F0E" w14:textId="77777777" w:rsidR="000C1224" w:rsidRDefault="00000000">
            <w:pPr>
              <w:widowControl w:val="0"/>
              <w:spacing w:after="0" w:line="240" w:lineRule="auto"/>
            </w:pPr>
            <w:r>
              <w:t>20703</w:t>
            </w:r>
          </w:p>
        </w:tc>
      </w:tr>
      <w:tr w:rsidR="000C1224" w14:paraId="76DACF20" w14:textId="77777777" w:rsidTr="00A93618">
        <w:tc>
          <w:tcPr>
            <w:tcW w:w="4513" w:type="dxa"/>
            <w:tcBorders>
              <w:top w:val="nil"/>
              <w:left w:val="nil"/>
              <w:bottom w:val="nil"/>
              <w:right w:val="nil"/>
            </w:tcBorders>
            <w:tcMar>
              <w:top w:w="100" w:type="dxa"/>
              <w:left w:w="100" w:type="dxa"/>
              <w:bottom w:w="100" w:type="dxa"/>
              <w:right w:w="100" w:type="dxa"/>
            </w:tcMar>
          </w:tcPr>
          <w:p w14:paraId="08EAD9AC" w14:textId="77777777" w:rsidR="000C1224" w:rsidRDefault="00000000">
            <w:pPr>
              <w:widowControl w:val="0"/>
              <w:spacing w:after="0" w:line="240" w:lineRule="auto"/>
            </w:pPr>
            <w:r>
              <w:t>molecule to pdb</w:t>
            </w:r>
          </w:p>
        </w:tc>
        <w:tc>
          <w:tcPr>
            <w:tcW w:w="4513" w:type="dxa"/>
            <w:tcBorders>
              <w:top w:val="nil"/>
              <w:left w:val="nil"/>
              <w:bottom w:val="nil"/>
              <w:right w:val="nil"/>
            </w:tcBorders>
            <w:tcMar>
              <w:top w:w="100" w:type="dxa"/>
              <w:left w:w="100" w:type="dxa"/>
              <w:bottom w:w="100" w:type="dxa"/>
              <w:right w:w="100" w:type="dxa"/>
            </w:tcMar>
          </w:tcPr>
          <w:p w14:paraId="34AD491E" w14:textId="77777777" w:rsidR="000C1224" w:rsidRDefault="00000000">
            <w:pPr>
              <w:widowControl w:val="0"/>
              <w:spacing w:after="0" w:line="240" w:lineRule="auto"/>
            </w:pPr>
            <w:r>
              <w:t>857</w:t>
            </w:r>
          </w:p>
        </w:tc>
      </w:tr>
      <w:tr w:rsidR="000C1224" w14:paraId="4158009F" w14:textId="77777777" w:rsidTr="00A93618">
        <w:tc>
          <w:tcPr>
            <w:tcW w:w="4513" w:type="dxa"/>
            <w:tcBorders>
              <w:top w:val="nil"/>
              <w:left w:val="nil"/>
              <w:bottom w:val="nil"/>
              <w:right w:val="nil"/>
            </w:tcBorders>
            <w:tcMar>
              <w:top w:w="100" w:type="dxa"/>
              <w:left w:w="100" w:type="dxa"/>
              <w:bottom w:w="100" w:type="dxa"/>
              <w:right w:w="100" w:type="dxa"/>
            </w:tcMar>
          </w:tcPr>
          <w:p w14:paraId="4348E68D" w14:textId="77777777" w:rsidR="000C1224" w:rsidRDefault="00000000">
            <w:pPr>
              <w:widowControl w:val="0"/>
              <w:spacing w:after="0" w:line="240" w:lineRule="auto"/>
            </w:pPr>
            <w:r>
              <w:t>molecule to pubchem</w:t>
            </w:r>
          </w:p>
        </w:tc>
        <w:tc>
          <w:tcPr>
            <w:tcW w:w="4513" w:type="dxa"/>
            <w:tcBorders>
              <w:top w:val="nil"/>
              <w:left w:val="nil"/>
              <w:bottom w:val="nil"/>
              <w:right w:val="nil"/>
            </w:tcBorders>
            <w:tcMar>
              <w:top w:w="100" w:type="dxa"/>
              <w:left w:w="100" w:type="dxa"/>
              <w:bottom w:w="100" w:type="dxa"/>
              <w:right w:w="100" w:type="dxa"/>
            </w:tcMar>
          </w:tcPr>
          <w:p w14:paraId="5EC186AA" w14:textId="77777777" w:rsidR="000C1224" w:rsidRDefault="00000000">
            <w:pPr>
              <w:widowControl w:val="0"/>
              <w:spacing w:after="0" w:line="240" w:lineRule="auto"/>
            </w:pPr>
            <w:r>
              <w:t>78359</w:t>
            </w:r>
          </w:p>
        </w:tc>
      </w:tr>
      <w:tr w:rsidR="000C1224" w14:paraId="305FB8F4" w14:textId="77777777" w:rsidTr="00A93618">
        <w:tc>
          <w:tcPr>
            <w:tcW w:w="4513" w:type="dxa"/>
            <w:tcBorders>
              <w:top w:val="nil"/>
              <w:left w:val="nil"/>
              <w:bottom w:val="nil"/>
              <w:right w:val="nil"/>
            </w:tcBorders>
            <w:tcMar>
              <w:top w:w="100" w:type="dxa"/>
              <w:left w:w="100" w:type="dxa"/>
              <w:bottom w:w="100" w:type="dxa"/>
              <w:right w:w="100" w:type="dxa"/>
            </w:tcMar>
          </w:tcPr>
          <w:p w14:paraId="681CBDEF" w14:textId="77777777" w:rsidR="000C1224" w:rsidRDefault="00000000">
            <w:pPr>
              <w:widowControl w:val="0"/>
              <w:spacing w:after="0" w:line="240" w:lineRule="auto"/>
            </w:pPr>
            <w:r>
              <w:t>membrane components to chebi</w:t>
            </w:r>
          </w:p>
        </w:tc>
        <w:tc>
          <w:tcPr>
            <w:tcW w:w="4513" w:type="dxa"/>
            <w:tcBorders>
              <w:top w:val="nil"/>
              <w:left w:val="nil"/>
              <w:bottom w:val="nil"/>
              <w:right w:val="nil"/>
            </w:tcBorders>
            <w:tcMar>
              <w:top w:w="100" w:type="dxa"/>
              <w:left w:w="100" w:type="dxa"/>
              <w:bottom w:w="100" w:type="dxa"/>
              <w:right w:w="100" w:type="dxa"/>
            </w:tcMar>
          </w:tcPr>
          <w:p w14:paraId="31AF626D" w14:textId="77777777" w:rsidR="000C1224" w:rsidRDefault="00000000">
            <w:pPr>
              <w:widowControl w:val="0"/>
              <w:spacing w:after="0" w:line="240" w:lineRule="auto"/>
            </w:pPr>
            <w:r>
              <w:t>30</w:t>
            </w:r>
          </w:p>
        </w:tc>
      </w:tr>
      <w:tr w:rsidR="000C1224" w14:paraId="0F26BE2F" w14:textId="77777777" w:rsidTr="00A93618">
        <w:tc>
          <w:tcPr>
            <w:tcW w:w="4513" w:type="dxa"/>
            <w:tcBorders>
              <w:top w:val="nil"/>
              <w:left w:val="nil"/>
              <w:bottom w:val="nil"/>
              <w:right w:val="nil"/>
            </w:tcBorders>
            <w:tcMar>
              <w:top w:w="100" w:type="dxa"/>
              <w:left w:w="100" w:type="dxa"/>
              <w:bottom w:w="100" w:type="dxa"/>
              <w:right w:w="100" w:type="dxa"/>
            </w:tcMar>
          </w:tcPr>
          <w:p w14:paraId="63473BCF" w14:textId="77777777" w:rsidR="000C1224" w:rsidRDefault="00000000">
            <w:pPr>
              <w:widowControl w:val="0"/>
              <w:spacing w:after="0" w:line="240" w:lineRule="auto"/>
            </w:pPr>
            <w:r>
              <w:t>transporters to UniProt</w:t>
            </w:r>
          </w:p>
        </w:tc>
        <w:tc>
          <w:tcPr>
            <w:tcW w:w="4513" w:type="dxa"/>
            <w:tcBorders>
              <w:top w:val="nil"/>
              <w:left w:val="nil"/>
              <w:bottom w:val="nil"/>
              <w:right w:val="nil"/>
            </w:tcBorders>
            <w:tcMar>
              <w:top w:w="100" w:type="dxa"/>
              <w:left w:w="100" w:type="dxa"/>
              <w:bottom w:w="100" w:type="dxa"/>
              <w:right w:w="100" w:type="dxa"/>
            </w:tcMar>
          </w:tcPr>
          <w:p w14:paraId="3ECE65DE" w14:textId="77777777" w:rsidR="000C1224" w:rsidRDefault="00000000">
            <w:pPr>
              <w:widowControl w:val="0"/>
              <w:spacing w:after="0" w:line="240" w:lineRule="auto"/>
            </w:pPr>
            <w:r>
              <w:t>208</w:t>
            </w:r>
          </w:p>
        </w:tc>
      </w:tr>
      <w:tr w:rsidR="000C1224" w14:paraId="5A339234" w14:textId="77777777" w:rsidTr="00A93618">
        <w:tc>
          <w:tcPr>
            <w:tcW w:w="4513" w:type="dxa"/>
            <w:tcBorders>
              <w:top w:val="nil"/>
              <w:left w:val="nil"/>
              <w:bottom w:val="single" w:sz="4" w:space="0" w:color="auto"/>
              <w:right w:val="nil"/>
            </w:tcBorders>
            <w:tcMar>
              <w:top w:w="100" w:type="dxa"/>
              <w:left w:w="100" w:type="dxa"/>
              <w:bottom w:w="100" w:type="dxa"/>
              <w:right w:w="100" w:type="dxa"/>
            </w:tcMar>
          </w:tcPr>
          <w:p w14:paraId="5C5ABDF4" w14:textId="77777777" w:rsidR="000C1224" w:rsidRDefault="00000000">
            <w:pPr>
              <w:widowControl w:val="0"/>
              <w:spacing w:after="0" w:line="240" w:lineRule="auto"/>
            </w:pPr>
            <w:r>
              <w:t>total outlinks</w:t>
            </w:r>
          </w:p>
        </w:tc>
        <w:tc>
          <w:tcPr>
            <w:tcW w:w="4513" w:type="dxa"/>
            <w:tcBorders>
              <w:top w:val="nil"/>
              <w:left w:val="nil"/>
              <w:bottom w:val="single" w:sz="4" w:space="0" w:color="auto"/>
              <w:right w:val="nil"/>
            </w:tcBorders>
            <w:tcMar>
              <w:top w:w="100" w:type="dxa"/>
              <w:left w:w="100" w:type="dxa"/>
              <w:bottom w:w="100" w:type="dxa"/>
              <w:right w:w="100" w:type="dxa"/>
            </w:tcMar>
          </w:tcPr>
          <w:p w14:paraId="20363247" w14:textId="77777777" w:rsidR="000C1224" w:rsidRDefault="00000000">
            <w:pPr>
              <w:widowControl w:val="0"/>
              <w:spacing w:after="0" w:line="240" w:lineRule="auto"/>
            </w:pPr>
            <w:r>
              <w:t>102289</w:t>
            </w:r>
          </w:p>
        </w:tc>
      </w:tr>
    </w:tbl>
    <w:p w14:paraId="077CA884" w14:textId="77777777" w:rsidR="000C1224" w:rsidRDefault="000C1224"/>
    <w:p w14:paraId="54597857" w14:textId="77777777" w:rsidR="000C1224" w:rsidRDefault="00000000">
      <w:r>
        <w:rPr>
          <w:b/>
          <w:bCs/>
        </w:rPr>
        <w:t>Query S2.</w:t>
      </w:r>
      <w:r>
        <w:t xml:space="preserve"> We have used the capabilities of the MolMeDB RDF SPARQL endpoint to search for drug permeabilities in different membrane models for drugs that act as human ABC transporter inhibitors. Human ABC transporters have been identified using UniProt RDF and matching transporters, and their inhibitors have been found in MolMeDB RDF. Which of these inhibitors are drugs has been decided using ChEBI RDF. Their permeabilities in different membrane models have been found in MolMeDB.</w:t>
      </w:r>
    </w:p>
    <w:p w14:paraId="076A77C7" w14:textId="77777777" w:rsidR="000C1224" w:rsidRDefault="00000000">
      <w:r>
        <w:t xml:space="preserve">SPARQL endpoint: </w:t>
      </w:r>
      <w:hyperlink r:id="rId6">
        <w:r>
          <w:rPr>
            <w:color w:val="1155CC"/>
            <w:u w:val="single"/>
          </w:rPr>
          <w:t>https://idsm.elixir-czech.cz/sparql/endpoint/molmedb</w:t>
        </w:r>
      </w:hyperlink>
    </w:p>
    <w:p w14:paraId="1A81BC6D" w14:textId="77777777" w:rsidR="000C1224" w:rsidRDefault="000C1224"/>
    <w:p w14:paraId="7E265EBC"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bao: &lt;http://www.bioassayontology.org/bao#&gt;</w:t>
      </w:r>
    </w:p>
    <w:p w14:paraId="210D5AE5" w14:textId="77777777" w:rsidR="000C1224" w:rsidRPr="00A93618" w:rsidRDefault="00000000">
      <w:pPr>
        <w:spacing w:after="0" w:line="240" w:lineRule="auto"/>
        <w:rPr>
          <w:rFonts w:ascii="Courier New" w:eastAsia="Courier New" w:hAnsi="Courier New" w:cs="Courier New"/>
          <w:lang w:val="pl-PL"/>
        </w:rPr>
      </w:pPr>
      <w:r w:rsidRPr="00A93618">
        <w:rPr>
          <w:rFonts w:ascii="Courier New" w:eastAsia="Courier New" w:hAnsi="Courier New" w:cs="Courier New"/>
          <w:lang w:val="pl-PL"/>
        </w:rPr>
        <w:t>PREFIX ebi: &lt;http://rdf.ebi.ac.uk/dataset/&gt;</w:t>
      </w:r>
    </w:p>
    <w:p w14:paraId="1864BBC4" w14:textId="77777777" w:rsidR="000C1224" w:rsidRPr="00A93618" w:rsidRDefault="00000000">
      <w:pPr>
        <w:spacing w:after="0" w:line="240" w:lineRule="auto"/>
        <w:rPr>
          <w:rFonts w:ascii="Courier New" w:eastAsia="Courier New" w:hAnsi="Courier New" w:cs="Courier New"/>
          <w:lang w:val="pl-PL"/>
        </w:rPr>
      </w:pPr>
      <w:r w:rsidRPr="00A93618">
        <w:rPr>
          <w:rFonts w:ascii="Courier New" w:eastAsia="Courier New" w:hAnsi="Courier New" w:cs="Courier New"/>
          <w:lang w:val="pl-PL"/>
        </w:rPr>
        <w:t>PREFIX GO: &lt;http://purl.obolibrary.org/obo/GO_&gt;</w:t>
      </w:r>
    </w:p>
    <w:p w14:paraId="6B8406FF"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mmdbvoc: &lt;https://rdf.molmedb.upol.cz/vocabulary#&gt;</w:t>
      </w:r>
    </w:p>
    <w:p w14:paraId="430D58B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obo: &lt;http://purl.obolibrary.org/obo/&gt;</w:t>
      </w:r>
    </w:p>
    <w:p w14:paraId="7210B2CD"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owl: &lt;http://www.w3.org/2002/07/owl#&gt;</w:t>
      </w:r>
    </w:p>
    <w:p w14:paraId="05A85245"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rdf: &lt;http://www.w3.org/1999/02/22-rdf-syntax-ns#&gt;</w:t>
      </w:r>
    </w:p>
    <w:p w14:paraId="2568D4D8"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rdfs: &lt;http://www.w3.org/2000/01/rdf-schema#&gt;</w:t>
      </w:r>
    </w:p>
    <w:p w14:paraId="41BA29A7"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repr: &lt;https://w3id.org/reproduceme#&gt;</w:t>
      </w:r>
    </w:p>
    <w:p w14:paraId="1DDCB493" w14:textId="77777777" w:rsidR="000C1224" w:rsidRPr="00A93618" w:rsidRDefault="00000000">
      <w:pPr>
        <w:spacing w:after="0" w:line="240" w:lineRule="auto"/>
        <w:rPr>
          <w:rFonts w:ascii="Courier New" w:eastAsia="Courier New" w:hAnsi="Courier New" w:cs="Courier New"/>
          <w:lang w:val="pl-PL"/>
        </w:rPr>
      </w:pPr>
      <w:r w:rsidRPr="00A93618">
        <w:rPr>
          <w:rFonts w:ascii="Courier New" w:eastAsia="Courier New" w:hAnsi="Courier New" w:cs="Courier New"/>
          <w:lang w:val="pl-PL"/>
        </w:rPr>
        <w:t>PREFIX sio: &lt;http://semanticscience.org/resource/&gt;</w:t>
      </w:r>
    </w:p>
    <w:p w14:paraId="37083B20" w14:textId="77777777" w:rsidR="000C1224" w:rsidRPr="00A93618" w:rsidRDefault="00000000">
      <w:pPr>
        <w:spacing w:after="0" w:line="240" w:lineRule="auto"/>
        <w:rPr>
          <w:rFonts w:ascii="Courier New" w:eastAsia="Courier New" w:hAnsi="Courier New" w:cs="Courier New"/>
          <w:lang w:val="pl-PL"/>
        </w:rPr>
      </w:pPr>
      <w:r w:rsidRPr="00A93618">
        <w:rPr>
          <w:rFonts w:ascii="Courier New" w:eastAsia="Courier New" w:hAnsi="Courier New" w:cs="Courier New"/>
          <w:lang w:val="pl-PL"/>
        </w:rPr>
        <w:t>PREFIX skos: &lt;http://www.w3.org/2004/02/skos/core#&gt;</w:t>
      </w:r>
    </w:p>
    <w:p w14:paraId="51D11EA7"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up: &lt;http://purl.uniprot.org/core/&gt;</w:t>
      </w:r>
    </w:p>
    <w:p w14:paraId="5E91D950" w14:textId="77777777" w:rsidR="000C1224" w:rsidRDefault="000C1224">
      <w:pPr>
        <w:spacing w:after="0" w:line="240" w:lineRule="auto"/>
        <w:rPr>
          <w:rFonts w:ascii="Courier New" w:eastAsia="Courier New" w:hAnsi="Courier New" w:cs="Courier New"/>
        </w:rPr>
      </w:pPr>
    </w:p>
    <w:p w14:paraId="1C4ABA71"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SELECT DISTINCT ?prot ?ChEBI_mol ?membrane ?LogPerm WHERE {</w:t>
      </w:r>
    </w:p>
    <w:p w14:paraId="79DF357F"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 Human ABC transporters</w:t>
      </w:r>
    </w:p>
    <w:p w14:paraId="03144F0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SERVICE &lt;https://sparql.uniprot.org/sparql&gt; {</w:t>
      </w:r>
    </w:p>
    <w:p w14:paraId="3D28D686"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?prot up:classifiedWith GO:0140359 ;</w:t>
      </w:r>
    </w:p>
    <w:p w14:paraId="62BAACBE"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t xml:space="preserve">  up:organism/up:scientificName "Homo sapiens" }</w:t>
      </w:r>
    </w:p>
    <w:p w14:paraId="2E81F29B"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p>
    <w:p w14:paraId="4A44E845"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 inhibitors of human ABC transporters with ChEBI match</w:t>
      </w:r>
    </w:p>
    <w:p w14:paraId="508F6F3D"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?assay bao:BAO_0090012 [ a bao:BAO_0000283 ;</w:t>
      </w:r>
    </w:p>
    <w:p w14:paraId="29AB5EA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skos:exactMatch ?prot ] ;</w:t>
      </w:r>
    </w:p>
    <w:p w14:paraId="2E5A672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bao:BAO_0090012 ?mol ;</w:t>
      </w:r>
    </w:p>
    <w:p w14:paraId="5D336DF9"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lastRenderedPageBreak/>
        <w:t xml:space="preserve">           bao:BAO_0000208/^bao:BAO_0095000 [a mmdbvoc:InhibitionAssay ;</w:t>
      </w:r>
    </w:p>
    <w:p w14:paraId="190ED582"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sio:SIO_000300 repr:PositiveResult ] .</w:t>
      </w:r>
    </w:p>
    <w:p w14:paraId="69218CD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?mol  a bao:BAO_0000076 ;</w:t>
      </w:r>
    </w:p>
    <w:p w14:paraId="472582F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t>rdfs:label ?name ;</w:t>
      </w:r>
    </w:p>
    <w:p w14:paraId="051E8D5C"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skos:closeMatch ?ChEBI_mol .</w:t>
      </w:r>
    </w:p>
    <w:p w14:paraId="0021C26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p>
    <w:p w14:paraId="2A2C14A1"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 ChEBI molecules classified as drugs</w:t>
      </w:r>
    </w:p>
    <w:p w14:paraId="7820403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SERVICE &lt;https://idsm.elixir-czech.cz/sparql/endpoint/idsm&gt; { GRAPH ebi:chebi {</w:t>
      </w:r>
    </w:p>
    <w:p w14:paraId="084BD958"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t>?ChEBI_mol rdfs:subClassOf</w:t>
      </w:r>
    </w:p>
    <w:p w14:paraId="60DDBF56"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t>[ owl:someValuesFrom/rdfs:subClassOf* obo:CHEBI_23888 ;</w:t>
      </w:r>
    </w:p>
    <w:p w14:paraId="36023330"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t xml:space="preserve">  rdf:type owl:Restriction ;</w:t>
      </w:r>
    </w:p>
    <w:p w14:paraId="0D72965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t xml:space="preserve">  owl:onProperty obo:RO_0000087 ] ; }}</w:t>
      </w:r>
    </w:p>
    <w:p w14:paraId="7FFDB87A" w14:textId="77777777" w:rsidR="000C1224" w:rsidRDefault="000C1224">
      <w:pPr>
        <w:spacing w:after="0" w:line="240" w:lineRule="auto"/>
        <w:rPr>
          <w:rFonts w:ascii="Courier New" w:eastAsia="Courier New" w:hAnsi="Courier New" w:cs="Courier New"/>
        </w:rPr>
      </w:pPr>
    </w:p>
    <w:p w14:paraId="439B27B7"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ab/>
        <w:t>?perm_assay bao:BAO_0090012 ?mol ;</w:t>
      </w:r>
    </w:p>
    <w:p w14:paraId="324F7A0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    bao:BAO_0090012 [a mmdbvoc:MembraneModel ;</w:t>
      </w:r>
    </w:p>
    <w:p w14:paraId="2E089976"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     rdfs:label ?membrane ];</w:t>
      </w:r>
    </w:p>
    <w:p w14:paraId="1AF40B9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t xml:space="preserve">    bao:BAO_0000208 [ a mmdbvoc:LogPerm ;</w:t>
      </w:r>
    </w:p>
    <w:p w14:paraId="1F6CD9B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 xml:space="preserve">  sio:SIO_000300 ?LogPerm ] .</w:t>
      </w:r>
    </w:p>
    <w:p w14:paraId="2DE9677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w:t>
      </w:r>
    </w:p>
    <w:p w14:paraId="6E326710" w14:textId="77777777" w:rsidR="000C1224" w:rsidRDefault="000C1224">
      <w:pPr>
        <w:spacing w:after="0" w:line="240" w:lineRule="auto"/>
        <w:rPr>
          <w:rFonts w:ascii="Courier New" w:eastAsia="Courier New" w:hAnsi="Courier New" w:cs="Courier New"/>
        </w:rPr>
      </w:pPr>
    </w:p>
    <w:p w14:paraId="1EA8CB2C" w14:textId="77777777" w:rsidR="000C1224" w:rsidRDefault="000C1224">
      <w:pPr>
        <w:spacing w:after="0" w:line="240" w:lineRule="auto"/>
        <w:rPr>
          <w:rFonts w:ascii="Courier New" w:eastAsia="Courier New" w:hAnsi="Courier New" w:cs="Courier New"/>
        </w:rPr>
      </w:pPr>
    </w:p>
    <w:p w14:paraId="4C872249" w14:textId="77777777" w:rsidR="000C1224" w:rsidRDefault="00000000">
      <w:pPr>
        <w:spacing w:after="0" w:line="240" w:lineRule="auto"/>
      </w:pPr>
      <w:r>
        <w:rPr>
          <w:b/>
          <w:bCs/>
        </w:rPr>
        <w:t>Query S3</w:t>
      </w:r>
      <w:r>
        <w:t>: an example of how to query SPARQL endpoint for computational/experimental data</w:t>
      </w:r>
    </w:p>
    <w:p w14:paraId="773B3969" w14:textId="77777777" w:rsidR="000C1224" w:rsidRDefault="000C1224">
      <w:pPr>
        <w:spacing w:after="0" w:line="240" w:lineRule="auto"/>
      </w:pPr>
    </w:p>
    <w:p w14:paraId="36166AC1"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mmdbvoc: &lt;https://rdf.molmedb.upol.cz/vocabulary#&gt;</w:t>
      </w:r>
    </w:p>
    <w:p w14:paraId="150A4076"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bao: &lt;http://www.bioassayontology.org/bao#&gt;</w:t>
      </w:r>
    </w:p>
    <w:p w14:paraId="4557BA3F"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PREFIX sachem: &lt;http://bioinfo.uochb.cas.cz/rdf/v1.0/sachem#&gt;</w:t>
      </w:r>
    </w:p>
    <w:p w14:paraId="5190D263" w14:textId="77777777" w:rsidR="000C1224" w:rsidRDefault="000C1224">
      <w:pPr>
        <w:spacing w:after="0" w:line="240" w:lineRule="auto"/>
        <w:rPr>
          <w:rFonts w:ascii="Courier New" w:eastAsia="Courier New" w:hAnsi="Courier New" w:cs="Courier New"/>
        </w:rPr>
      </w:pPr>
    </w:p>
    <w:p w14:paraId="3BE3EF17"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SELECT DISTINCT * WHERE {</w:t>
      </w:r>
    </w:p>
    <w:p w14:paraId="32581801"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?assay bao:BAO_0000208 ?endpoint ;</w:t>
      </w:r>
    </w:p>
    <w:p w14:paraId="789D9F40"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bao:BAO_0000212 ?method .</w:t>
      </w:r>
    </w:p>
    <w:p w14:paraId="51F33FA1"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p>
    <w:p w14:paraId="7BDCD42F"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#method type</w:t>
      </w:r>
    </w:p>
    <w:p w14:paraId="61C500F7"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#bao:BAO_0002202 - assay design method (experimental)</w:t>
      </w:r>
    </w:p>
    <w:p w14:paraId="5DC2E12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#bao:BAO_0002094 - computational method</w:t>
      </w:r>
    </w:p>
    <w:p w14:paraId="1844F582"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#bao:BAO_0002301 - simulation method</w:t>
      </w:r>
    </w:p>
    <w:p w14:paraId="288B294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?method a bao:BAO_0002202 .</w:t>
      </w:r>
    </w:p>
    <w:p w14:paraId="7DBAA92E"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w:t>
      </w:r>
    </w:p>
    <w:p w14:paraId="7CF9529A"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#endpoint type</w:t>
      </w:r>
    </w:p>
    <w:p w14:paraId="03E2D8C2"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#mmdbvoc:LogPerm</w:t>
      </w:r>
    </w:p>
    <w:p w14:paraId="30A232DD"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#mmdbvoc:LogK</w:t>
      </w:r>
    </w:p>
    <w:p w14:paraId="59861E74"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 xml:space="preserve">  ?endpoint a mmdbvoc:LogK</w:t>
      </w:r>
    </w:p>
    <w:p w14:paraId="094B1DA3" w14:textId="77777777" w:rsidR="000C1224" w:rsidRDefault="00000000">
      <w:pPr>
        <w:spacing w:after="0" w:line="240" w:lineRule="auto"/>
        <w:rPr>
          <w:rFonts w:ascii="Courier New" w:eastAsia="Courier New" w:hAnsi="Courier New" w:cs="Courier New"/>
        </w:rPr>
      </w:pPr>
      <w:r>
        <w:rPr>
          <w:rFonts w:ascii="Courier New" w:eastAsia="Courier New" w:hAnsi="Courier New" w:cs="Courier New"/>
        </w:rPr>
        <w:t>}</w:t>
      </w:r>
    </w:p>
    <w:p w14:paraId="21BCB35C" w14:textId="77777777" w:rsidR="000C1224" w:rsidRDefault="000C1224">
      <w:pPr>
        <w:spacing w:after="0" w:line="240" w:lineRule="auto"/>
        <w:rPr>
          <w:rFonts w:ascii="Courier New" w:eastAsia="Courier New" w:hAnsi="Courier New" w:cs="Courier New"/>
        </w:rPr>
      </w:pPr>
    </w:p>
    <w:sectPr w:rsidR="000C122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5F623" w14:textId="77777777" w:rsidR="00183599" w:rsidRDefault="00183599" w:rsidP="00A93618">
      <w:pPr>
        <w:spacing w:after="0" w:line="240" w:lineRule="auto"/>
      </w:pPr>
      <w:r>
        <w:separator/>
      </w:r>
    </w:p>
  </w:endnote>
  <w:endnote w:type="continuationSeparator" w:id="0">
    <w:p w14:paraId="70FF460E" w14:textId="77777777" w:rsidR="00183599" w:rsidRDefault="00183599" w:rsidP="00A93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0656F44-88E4-44F9-94EC-E229E0452EF3}"/>
    <w:embedBold r:id="rId2" w:fontKey="{E7A1AF2C-5111-4BFB-B71E-64CB2C181B67}"/>
    <w:embedItalic r:id="rId3" w:fontKey="{FB3EF706-911A-4CA5-A1D4-C3B5D91DB1EE}"/>
  </w:font>
  <w:font w:name="Play">
    <w:charset w:val="00"/>
    <w:family w:val="auto"/>
    <w:pitch w:val="default"/>
    <w:embedRegular r:id="rId4" w:fontKey="{22801951-13E6-47F3-9A40-1F3A9765502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5" w:fontKey="{A43D99AE-B9FC-438C-BFAE-2814DC8C6DA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21F69DD0-23D5-4FEC-80FC-C3E3F8E58454}"/>
  </w:font>
  <w:font w:name="Cambria">
    <w:panose1 w:val="02040503050406030204"/>
    <w:charset w:val="00"/>
    <w:family w:val="roman"/>
    <w:pitch w:val="variable"/>
    <w:sig w:usb0="E00006FF" w:usb1="420024FF" w:usb2="02000000" w:usb3="00000000" w:csb0="0000019F" w:csb1="00000000"/>
    <w:embedRegular r:id="rId7" w:fontKey="{142B2CBD-2EB0-4D07-9887-5978E7EF36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20FC" w14:textId="77777777" w:rsidR="00A93618" w:rsidRDefault="00A936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27083"/>
      <w:docPartObj>
        <w:docPartGallery w:val="Page Numbers (Bottom of Page)"/>
        <w:docPartUnique/>
      </w:docPartObj>
    </w:sdtPr>
    <w:sdtEndPr>
      <w:rPr>
        <w:noProof/>
      </w:rPr>
    </w:sdtEndPr>
    <w:sdtContent>
      <w:p w14:paraId="74018249" w14:textId="2FFA3483" w:rsidR="00C16203" w:rsidRDefault="00C162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EA96A4" w14:textId="77777777" w:rsidR="00A93618" w:rsidRDefault="00A936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05DA" w14:textId="77777777" w:rsidR="00A93618" w:rsidRDefault="00A93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C8BDD" w14:textId="77777777" w:rsidR="00183599" w:rsidRDefault="00183599" w:rsidP="00A93618">
      <w:pPr>
        <w:spacing w:after="0" w:line="240" w:lineRule="auto"/>
      </w:pPr>
      <w:r>
        <w:separator/>
      </w:r>
    </w:p>
  </w:footnote>
  <w:footnote w:type="continuationSeparator" w:id="0">
    <w:p w14:paraId="5B21A9AF" w14:textId="77777777" w:rsidR="00183599" w:rsidRDefault="00183599" w:rsidP="00A93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D92F" w14:textId="77777777" w:rsidR="00A93618" w:rsidRDefault="00A93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89A8" w14:textId="77777777" w:rsidR="00A93618" w:rsidRDefault="00A936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BF4A" w14:textId="77777777" w:rsidR="00A93618" w:rsidRDefault="00A93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224"/>
    <w:rsid w:val="000C1224"/>
    <w:rsid w:val="00183599"/>
    <w:rsid w:val="00A93618"/>
    <w:rsid w:val="00C16203"/>
    <w:rsid w:val="00D91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D95CE"/>
  <w15:docId w15:val="{CFB4771A-8D6E-4A23-816F-3700440D3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A93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618"/>
  </w:style>
  <w:style w:type="paragraph" w:styleId="Footer">
    <w:name w:val="footer"/>
    <w:basedOn w:val="Normal"/>
    <w:link w:val="FooterChar"/>
    <w:uiPriority w:val="99"/>
    <w:unhideWhenUsed/>
    <w:rsid w:val="00A93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dsm.elixir-czech.cz/sparql/endpoint/molmedb"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636</Words>
  <Characters>3631</Characters>
  <Application>Microsoft Office Word</Application>
  <DocSecurity>0</DocSecurity>
  <Lines>30</Lines>
  <Paragraphs>8</Paragraphs>
  <ScaleCrop>false</ScaleCrop>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Martinat Dominik</cp:lastModifiedBy>
  <cp:revision>3</cp:revision>
  <dcterms:created xsi:type="dcterms:W3CDTF">2026-04-10T09:18:00Z</dcterms:created>
  <dcterms:modified xsi:type="dcterms:W3CDTF">2026-04-10T09:20:00Z</dcterms:modified>
</cp:coreProperties>
</file>