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926A8" w14:textId="77777777" w:rsidR="000E3325" w:rsidRPr="00D638E0" w:rsidRDefault="00D638E0">
      <w:pPr>
        <w:pStyle w:val="Title2"/>
        <w:spacing w:line="360" w:lineRule="auto"/>
        <w:jc w:val="both"/>
        <w:rPr>
          <w:b w:val="0"/>
          <w:sz w:val="32"/>
          <w:szCs w:val="32"/>
        </w:rPr>
      </w:pPr>
      <w:r w:rsidRPr="00D638E0">
        <w:rPr>
          <w:b w:val="0"/>
          <w:sz w:val="32"/>
          <w:szCs w:val="32"/>
        </w:rPr>
        <w:t xml:space="preserve">Supporting Information </w:t>
      </w:r>
    </w:p>
    <w:p w14:paraId="7DACDE3C" w14:textId="77777777" w:rsidR="000E3325" w:rsidRPr="00D638E0" w:rsidRDefault="00D638E0">
      <w:pPr>
        <w:pStyle w:val="Tableofcontents"/>
        <w:rPr>
          <w:lang w:eastAsia="en-US"/>
        </w:rPr>
      </w:pPr>
      <w:r w:rsidRPr="00D638E0">
        <w:rPr>
          <w:lang w:eastAsia="en-US"/>
        </w:rPr>
        <w:t>Controllable</w:t>
      </w:r>
      <w:r w:rsidRPr="00D638E0">
        <w:rPr>
          <w:rFonts w:hint="eastAsia"/>
          <w:lang w:eastAsia="zh-CN"/>
        </w:rPr>
        <w:t xml:space="preserve"> G</w:t>
      </w:r>
      <w:r w:rsidRPr="00D638E0">
        <w:rPr>
          <w:lang w:eastAsia="en-US"/>
        </w:rPr>
        <w:t xml:space="preserve">eneration </w:t>
      </w:r>
      <w:r w:rsidRPr="00D638E0">
        <w:rPr>
          <w:rFonts w:hint="eastAsia"/>
          <w:lang w:eastAsia="zh-CN"/>
        </w:rPr>
        <w:t>o</w:t>
      </w:r>
      <w:r w:rsidRPr="00D638E0">
        <w:rPr>
          <w:lang w:eastAsia="en-US"/>
        </w:rPr>
        <w:t xml:space="preserve">f </w:t>
      </w:r>
      <w:r w:rsidRPr="00D638E0">
        <w:rPr>
          <w:rFonts w:hint="eastAsia"/>
          <w:lang w:eastAsia="zh-CN"/>
        </w:rPr>
        <w:t>Non-hemolytic</w:t>
      </w:r>
      <w:r w:rsidRPr="00D638E0">
        <w:rPr>
          <w:lang w:eastAsia="en-US"/>
        </w:rPr>
        <w:t xml:space="preserve"> </w:t>
      </w:r>
      <w:r w:rsidRPr="00D638E0">
        <w:rPr>
          <w:rFonts w:hint="eastAsia"/>
          <w:lang w:eastAsia="zh-CN"/>
        </w:rPr>
        <w:t>A</w:t>
      </w:r>
      <w:r w:rsidRPr="00D638E0">
        <w:rPr>
          <w:lang w:eastAsia="en-US"/>
        </w:rPr>
        <w:t xml:space="preserve">ntimicrobial </w:t>
      </w:r>
      <w:r w:rsidRPr="00D638E0">
        <w:rPr>
          <w:rFonts w:hint="eastAsia"/>
          <w:lang w:eastAsia="zh-CN"/>
        </w:rPr>
        <w:t>P</w:t>
      </w:r>
      <w:r w:rsidRPr="00D638E0">
        <w:rPr>
          <w:lang w:eastAsia="en-US"/>
        </w:rPr>
        <w:t xml:space="preserve">eptides </w:t>
      </w:r>
      <w:r w:rsidRPr="00D638E0">
        <w:rPr>
          <w:rFonts w:hint="eastAsia"/>
          <w:lang w:eastAsia="zh-CN"/>
        </w:rPr>
        <w:t>b</w:t>
      </w:r>
      <w:r w:rsidRPr="00D638E0">
        <w:rPr>
          <w:lang w:eastAsia="en-US"/>
        </w:rPr>
        <w:t xml:space="preserve">y </w:t>
      </w:r>
      <w:r w:rsidRPr="00D638E0">
        <w:rPr>
          <w:rFonts w:hint="eastAsia"/>
          <w:lang w:eastAsia="zh-CN"/>
        </w:rPr>
        <w:t>M</w:t>
      </w:r>
      <w:r w:rsidRPr="00D638E0">
        <w:rPr>
          <w:lang w:eastAsia="en-US"/>
        </w:rPr>
        <w:t xml:space="preserve">ulti-guided </w:t>
      </w:r>
      <w:r w:rsidRPr="00D638E0">
        <w:rPr>
          <w:rFonts w:hint="eastAsia"/>
          <w:lang w:eastAsia="zh-CN"/>
        </w:rPr>
        <w:t>L</w:t>
      </w:r>
      <w:r w:rsidRPr="00D638E0">
        <w:rPr>
          <w:lang w:eastAsia="en-US"/>
        </w:rPr>
        <w:t xml:space="preserve">atent </w:t>
      </w:r>
      <w:r w:rsidRPr="00D638E0">
        <w:rPr>
          <w:rFonts w:hint="eastAsia"/>
          <w:lang w:eastAsia="zh-CN"/>
        </w:rPr>
        <w:t>D</w:t>
      </w:r>
      <w:r w:rsidRPr="00D638E0">
        <w:rPr>
          <w:lang w:eastAsia="en-US"/>
        </w:rPr>
        <w:t>iffusion</w:t>
      </w:r>
    </w:p>
    <w:p w14:paraId="6BD69084" w14:textId="77777777" w:rsidR="000E3325" w:rsidRPr="00D638E0" w:rsidRDefault="000E3325">
      <w:pPr>
        <w:pStyle w:val="Tableofcontents"/>
        <w:rPr>
          <w:lang w:eastAsia="zh-CN"/>
        </w:rPr>
      </w:pPr>
    </w:p>
    <w:p w14:paraId="21730760" w14:textId="77777777" w:rsidR="000E3325" w:rsidRPr="00D638E0" w:rsidRDefault="00D638E0">
      <w:pPr>
        <w:rPr>
          <w:rFonts w:ascii="Times New Roman" w:eastAsia="Times New Roman" w:hAnsi="Times New Roman" w:cs="Times New Roman"/>
          <w:kern w:val="0"/>
          <w:sz w:val="24"/>
          <w:szCs w:val="22"/>
        </w:rPr>
      </w:pPr>
      <w:r w:rsidRPr="00D638E0">
        <w:rPr>
          <w:rFonts w:ascii="Times New Roman" w:eastAsia="Times New Roman" w:hAnsi="Times New Roman" w:cs="Times New Roman" w:hint="eastAsia"/>
          <w:kern w:val="0"/>
          <w:sz w:val="24"/>
          <w:szCs w:val="22"/>
        </w:rPr>
        <w:t xml:space="preserve">Weihan Qin, Yaling Wu, Chongyang Li, Sen Cao, Jingjing Guo, Yutong Ge, Juan Guo, </w:t>
      </w:r>
      <w:proofErr w:type="spellStart"/>
      <w:r w:rsidRPr="00D638E0">
        <w:rPr>
          <w:rFonts w:ascii="Times New Roman" w:eastAsia="Times New Roman" w:hAnsi="Times New Roman" w:cs="Times New Roman" w:hint="eastAsia"/>
          <w:kern w:val="0"/>
          <w:sz w:val="24"/>
          <w:szCs w:val="22"/>
        </w:rPr>
        <w:t>Jisong</w:t>
      </w:r>
      <w:proofErr w:type="spellEnd"/>
      <w:r w:rsidRPr="00D638E0">
        <w:rPr>
          <w:rFonts w:ascii="Times New Roman" w:eastAsia="Times New Roman" w:hAnsi="Times New Roman" w:cs="Times New Roman" w:hint="eastAsia"/>
          <w:kern w:val="0"/>
          <w:sz w:val="24"/>
          <w:szCs w:val="22"/>
        </w:rPr>
        <w:t xml:space="preserve"> Mo, Ning Zhu*, </w:t>
      </w:r>
      <w:r w:rsidRPr="00D638E0">
        <w:rPr>
          <w:rFonts w:ascii="Times New Roman" w:eastAsia="Times New Roman" w:hAnsi="Times New Roman" w:cs="Times New Roman"/>
          <w:kern w:val="0"/>
          <w:sz w:val="24"/>
          <w:szCs w:val="22"/>
          <w:lang w:eastAsia="en-US"/>
        </w:rPr>
        <w:t>Hongliang</w:t>
      </w:r>
      <w:r w:rsidRPr="00D638E0">
        <w:rPr>
          <w:rFonts w:ascii="Times New Roman" w:eastAsia="Times New Roman" w:hAnsi="Times New Roman" w:cs="Times New Roman" w:hint="eastAsia"/>
          <w:kern w:val="0"/>
          <w:sz w:val="24"/>
          <w:szCs w:val="22"/>
        </w:rPr>
        <w:t xml:space="preserve"> Duan</w:t>
      </w:r>
      <w:r w:rsidRPr="00D638E0">
        <w:rPr>
          <w:rFonts w:ascii="Times New Roman" w:eastAsia="Times New Roman" w:hAnsi="Times New Roman" w:cs="Times New Roman"/>
          <w:kern w:val="0"/>
          <w:sz w:val="24"/>
          <w:szCs w:val="22"/>
          <w:lang w:eastAsia="en-US"/>
        </w:rPr>
        <w:t>*</w:t>
      </w:r>
    </w:p>
    <w:p w14:paraId="54EEA53F" w14:textId="77777777" w:rsidR="000E3325" w:rsidRPr="00D638E0" w:rsidRDefault="000E3325"/>
    <w:p w14:paraId="624644A4" w14:textId="77777777" w:rsidR="000E3325" w:rsidRPr="00D638E0" w:rsidRDefault="00D638E0">
      <w:pPr>
        <w:pStyle w:val="NormalWeb"/>
        <w:rPr>
          <w:rFonts w:ascii="Times New Roman" w:hAnsi="Times New Roman"/>
          <w:b/>
          <w:bCs/>
        </w:rPr>
      </w:pPr>
      <w:r w:rsidRPr="00D638E0">
        <w:rPr>
          <w:rFonts w:ascii="Times New Roman" w:hAnsi="Times New Roman"/>
          <w:b/>
          <w:bCs/>
        </w:rPr>
        <w:t xml:space="preserve">Table </w:t>
      </w:r>
      <w:r w:rsidRPr="00D638E0">
        <w:rPr>
          <w:rFonts w:ascii="Times New Roman" w:hAnsi="Times New Roman" w:hint="eastAsia"/>
          <w:b/>
          <w:bCs/>
        </w:rPr>
        <w:t>S</w:t>
      </w:r>
      <w:r w:rsidRPr="00D638E0">
        <w:rPr>
          <w:rFonts w:ascii="Times New Roman" w:hAnsi="Times New Roman"/>
          <w:b/>
          <w:bCs/>
        </w:rPr>
        <w:t>1 | Mann–Whitney U statistical comparison of NHAMP-generated peptides vs the training set and three diffusion baselines across fi</w:t>
      </w:r>
      <w:r w:rsidRPr="00D638E0">
        <w:rPr>
          <w:rFonts w:ascii="Times New Roman" w:hAnsi="Times New Roman"/>
          <w:b/>
          <w:bCs/>
        </w:rPr>
        <w:t>ve physicochemical properties.</w:t>
      </w:r>
    </w:p>
    <w:tbl>
      <w:tblPr>
        <w:tblW w:w="9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3"/>
        <w:gridCol w:w="1268"/>
        <w:gridCol w:w="1278"/>
        <w:gridCol w:w="1285"/>
        <w:gridCol w:w="1593"/>
        <w:gridCol w:w="1313"/>
      </w:tblGrid>
      <w:tr w:rsidR="00D638E0" w:rsidRPr="00D638E0" w14:paraId="216DBB63" w14:textId="77777777">
        <w:tc>
          <w:tcPr>
            <w:tcW w:w="2400" w:type="dxa"/>
            <w:shd w:val="clear" w:color="auto" w:fill="D9E1F2"/>
          </w:tcPr>
          <w:p w14:paraId="3CC430DA" w14:textId="77777777" w:rsidR="000E3325" w:rsidRPr="00D638E0" w:rsidRDefault="00D638E0">
            <w:pPr>
              <w:rPr>
                <w:rFonts w:ascii="Times New Roman" w:hAnsi="Times New Roman"/>
                <w:b/>
              </w:rPr>
            </w:pPr>
            <w:r w:rsidRPr="00D638E0">
              <w:rPr>
                <w:rFonts w:ascii="Times New Roman" w:hAnsi="Times New Roman"/>
                <w:b/>
              </w:rPr>
              <w:t>Property</w:t>
            </w:r>
          </w:p>
        </w:tc>
        <w:tc>
          <w:tcPr>
            <w:tcW w:w="1320" w:type="dxa"/>
            <w:shd w:val="clear" w:color="auto" w:fill="D9E1F2"/>
          </w:tcPr>
          <w:p w14:paraId="4D92FCE7" w14:textId="77777777" w:rsidR="000E3325" w:rsidRPr="00D638E0" w:rsidRDefault="00D638E0">
            <w:pPr>
              <w:rPr>
                <w:rFonts w:ascii="Times New Roman" w:hAnsi="Times New Roman"/>
                <w:b/>
              </w:rPr>
            </w:pPr>
            <w:r w:rsidRPr="00D638E0">
              <w:rPr>
                <w:rFonts w:ascii="Times New Roman" w:hAnsi="Times New Roman"/>
                <w:b/>
              </w:rPr>
              <w:t>NHAMP vs Training</w:t>
            </w:r>
          </w:p>
        </w:tc>
        <w:tc>
          <w:tcPr>
            <w:tcW w:w="1320" w:type="dxa"/>
            <w:shd w:val="clear" w:color="auto" w:fill="D9E1F2"/>
          </w:tcPr>
          <w:p w14:paraId="1AFCFE5D" w14:textId="77777777" w:rsidR="000E3325" w:rsidRPr="00D638E0" w:rsidRDefault="00D638E0">
            <w:pPr>
              <w:rPr>
                <w:rFonts w:ascii="Times New Roman" w:hAnsi="Times New Roman"/>
                <w:b/>
              </w:rPr>
            </w:pPr>
            <w:r w:rsidRPr="00D638E0">
              <w:rPr>
                <w:rFonts w:ascii="Times New Roman" w:hAnsi="Times New Roman"/>
                <w:b/>
              </w:rPr>
              <w:t>NHAMP vs CPL-Diff</w:t>
            </w:r>
          </w:p>
        </w:tc>
        <w:tc>
          <w:tcPr>
            <w:tcW w:w="1320" w:type="dxa"/>
            <w:shd w:val="clear" w:color="auto" w:fill="D9E1F2"/>
          </w:tcPr>
          <w:p w14:paraId="76B70475" w14:textId="77777777" w:rsidR="000E3325" w:rsidRPr="00D638E0" w:rsidRDefault="00D638E0">
            <w:pPr>
              <w:rPr>
                <w:rFonts w:ascii="Times New Roman" w:eastAsia="SimSun" w:hAnsi="Times New Roman"/>
                <w:b/>
              </w:rPr>
            </w:pPr>
            <w:r w:rsidRPr="00D638E0">
              <w:rPr>
                <w:rFonts w:ascii="Times New Roman" w:hAnsi="Times New Roman"/>
                <w:b/>
              </w:rPr>
              <w:t xml:space="preserve">NHAMP vs </w:t>
            </w:r>
            <w:r w:rsidRPr="00D638E0">
              <w:rPr>
                <w:rFonts w:ascii="Times New Roman" w:hAnsi="Times New Roman" w:hint="eastAsia"/>
                <w:b/>
              </w:rPr>
              <w:t>ProT-Diff</w:t>
            </w:r>
          </w:p>
        </w:tc>
        <w:tc>
          <w:tcPr>
            <w:tcW w:w="1320" w:type="dxa"/>
            <w:shd w:val="clear" w:color="auto" w:fill="D9E1F2"/>
          </w:tcPr>
          <w:p w14:paraId="6632F210" w14:textId="77777777" w:rsidR="000E3325" w:rsidRPr="00D638E0" w:rsidRDefault="00D638E0">
            <w:pPr>
              <w:rPr>
                <w:rFonts w:ascii="Times New Roman" w:hAnsi="Times New Roman"/>
                <w:b/>
              </w:rPr>
            </w:pPr>
            <w:r w:rsidRPr="00D638E0">
              <w:rPr>
                <w:rFonts w:ascii="Times New Roman" w:hAnsi="Times New Roman"/>
                <w:b/>
              </w:rPr>
              <w:t>NHAMP vs AMP-Diffusion</w:t>
            </w:r>
          </w:p>
        </w:tc>
        <w:tc>
          <w:tcPr>
            <w:tcW w:w="1320" w:type="dxa"/>
            <w:shd w:val="clear" w:color="auto" w:fill="D9E1F2"/>
          </w:tcPr>
          <w:p w14:paraId="4B7D4FDD" w14:textId="77777777" w:rsidR="000E3325" w:rsidRPr="00D638E0" w:rsidRDefault="00D638E0">
            <w:pPr>
              <w:rPr>
                <w:rFonts w:ascii="Times New Roman" w:hAnsi="Times New Roman"/>
                <w:b/>
              </w:rPr>
            </w:pPr>
            <w:r w:rsidRPr="00D638E0">
              <w:rPr>
                <w:rFonts w:ascii="Times New Roman" w:hAnsi="Times New Roman"/>
                <w:b/>
              </w:rPr>
              <w:t>Effect</w:t>
            </w:r>
          </w:p>
        </w:tc>
      </w:tr>
      <w:tr w:rsidR="00D638E0" w:rsidRPr="00D638E0" w14:paraId="437A23A4" w14:textId="77777777">
        <w:tc>
          <w:tcPr>
            <w:tcW w:w="2400" w:type="dxa"/>
          </w:tcPr>
          <w:p w14:paraId="09BA803D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Peptide Length</w:t>
            </w:r>
          </w:p>
        </w:tc>
        <w:tc>
          <w:tcPr>
            <w:tcW w:w="1320" w:type="dxa"/>
          </w:tcPr>
          <w:p w14:paraId="52D64B46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1.79e-87 ***</w:t>
            </w:r>
          </w:p>
        </w:tc>
        <w:tc>
          <w:tcPr>
            <w:tcW w:w="1320" w:type="dxa"/>
          </w:tcPr>
          <w:p w14:paraId="02128F3B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3.74e-02 *</w:t>
            </w:r>
          </w:p>
        </w:tc>
        <w:tc>
          <w:tcPr>
            <w:tcW w:w="1320" w:type="dxa"/>
          </w:tcPr>
          <w:p w14:paraId="1D0D72E6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9.08e-09 ***</w:t>
            </w:r>
          </w:p>
        </w:tc>
        <w:tc>
          <w:tcPr>
            <w:tcW w:w="1320" w:type="dxa"/>
          </w:tcPr>
          <w:p w14:paraId="27FD9855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 xml:space="preserve">7.23e-01 </w:t>
            </w:r>
            <w:proofErr w:type="spellStart"/>
            <w:r w:rsidRPr="00D638E0">
              <w:rPr>
                <w:rFonts w:ascii="Times New Roman" w:hAnsi="Times New Roman"/>
              </w:rPr>
              <w:t>n.s</w:t>
            </w:r>
            <w:proofErr w:type="spellEnd"/>
            <w:r w:rsidRPr="00D638E0">
              <w:rPr>
                <w:rFonts w:ascii="Times New Roman" w:hAnsi="Times New Roman"/>
              </w:rPr>
              <w:t>.</w:t>
            </w:r>
          </w:p>
        </w:tc>
        <w:tc>
          <w:tcPr>
            <w:tcW w:w="1320" w:type="dxa"/>
          </w:tcPr>
          <w:p w14:paraId="46C9B6E4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shorter</w:t>
            </w:r>
          </w:p>
        </w:tc>
      </w:tr>
      <w:tr w:rsidR="00D638E0" w:rsidRPr="00D638E0" w14:paraId="1BF39270" w14:textId="77777777">
        <w:tc>
          <w:tcPr>
            <w:tcW w:w="2400" w:type="dxa"/>
          </w:tcPr>
          <w:p w14:paraId="3FB62A1D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Global Hydrophobicity</w:t>
            </w:r>
          </w:p>
        </w:tc>
        <w:tc>
          <w:tcPr>
            <w:tcW w:w="1320" w:type="dxa"/>
          </w:tcPr>
          <w:p w14:paraId="4A7A64B7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1.73e-91 ***</w:t>
            </w:r>
          </w:p>
        </w:tc>
        <w:tc>
          <w:tcPr>
            <w:tcW w:w="1320" w:type="dxa"/>
          </w:tcPr>
          <w:p w14:paraId="54769393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6.54e-10 ***</w:t>
            </w:r>
          </w:p>
        </w:tc>
        <w:tc>
          <w:tcPr>
            <w:tcW w:w="1320" w:type="dxa"/>
          </w:tcPr>
          <w:p w14:paraId="64085919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1.41e-15 ***</w:t>
            </w:r>
          </w:p>
        </w:tc>
        <w:tc>
          <w:tcPr>
            <w:tcW w:w="1320" w:type="dxa"/>
          </w:tcPr>
          <w:p w14:paraId="2F4F0719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8.20e-08 ***</w:t>
            </w:r>
          </w:p>
        </w:tc>
        <w:tc>
          <w:tcPr>
            <w:tcW w:w="1320" w:type="dxa"/>
          </w:tcPr>
          <w:p w14:paraId="05D01CF5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less hydrophobic</w:t>
            </w:r>
          </w:p>
        </w:tc>
      </w:tr>
      <w:tr w:rsidR="00D638E0" w:rsidRPr="00D638E0" w14:paraId="6B8D00A5" w14:textId="77777777">
        <w:tc>
          <w:tcPr>
            <w:tcW w:w="2400" w:type="dxa"/>
          </w:tcPr>
          <w:p w14:paraId="6A458556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Hydrophobic Moment</w:t>
            </w:r>
          </w:p>
        </w:tc>
        <w:tc>
          <w:tcPr>
            <w:tcW w:w="1320" w:type="dxa"/>
          </w:tcPr>
          <w:p w14:paraId="08192C5B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2.21e-97 ***</w:t>
            </w:r>
          </w:p>
        </w:tc>
        <w:tc>
          <w:tcPr>
            <w:tcW w:w="1320" w:type="dxa"/>
          </w:tcPr>
          <w:p w14:paraId="48C7590E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8.77e-09 ***</w:t>
            </w:r>
          </w:p>
        </w:tc>
        <w:tc>
          <w:tcPr>
            <w:tcW w:w="1320" w:type="dxa"/>
          </w:tcPr>
          <w:p w14:paraId="22B03831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 xml:space="preserve">8.80e-02 </w:t>
            </w:r>
            <w:proofErr w:type="spellStart"/>
            <w:r w:rsidRPr="00D638E0">
              <w:rPr>
                <w:rFonts w:ascii="Times New Roman" w:hAnsi="Times New Roman"/>
              </w:rPr>
              <w:t>n.s</w:t>
            </w:r>
            <w:proofErr w:type="spellEnd"/>
            <w:r w:rsidRPr="00D638E0">
              <w:rPr>
                <w:rFonts w:ascii="Times New Roman" w:hAnsi="Times New Roman"/>
              </w:rPr>
              <w:t>.</w:t>
            </w:r>
          </w:p>
        </w:tc>
        <w:tc>
          <w:tcPr>
            <w:tcW w:w="1320" w:type="dxa"/>
          </w:tcPr>
          <w:p w14:paraId="5D687BED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1.38e-17 ***</w:t>
            </w:r>
          </w:p>
        </w:tc>
        <w:tc>
          <w:tcPr>
            <w:tcW w:w="1320" w:type="dxa"/>
          </w:tcPr>
          <w:p w14:paraId="0C6721EC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higher moment</w:t>
            </w:r>
          </w:p>
        </w:tc>
      </w:tr>
      <w:tr w:rsidR="00D638E0" w:rsidRPr="00D638E0" w14:paraId="2B3601A9" w14:textId="77777777">
        <w:tc>
          <w:tcPr>
            <w:tcW w:w="2400" w:type="dxa"/>
          </w:tcPr>
          <w:p w14:paraId="1B5EB6B3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Membrane Insertion Energy</w:t>
            </w:r>
          </w:p>
        </w:tc>
        <w:tc>
          <w:tcPr>
            <w:tcW w:w="1320" w:type="dxa"/>
          </w:tcPr>
          <w:p w14:paraId="1B93B524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3.19e-44 ***</w:t>
            </w:r>
          </w:p>
        </w:tc>
        <w:tc>
          <w:tcPr>
            <w:tcW w:w="1320" w:type="dxa"/>
          </w:tcPr>
          <w:p w14:paraId="0C98DDD4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2.49e-05 ***</w:t>
            </w:r>
          </w:p>
        </w:tc>
        <w:tc>
          <w:tcPr>
            <w:tcW w:w="1320" w:type="dxa"/>
          </w:tcPr>
          <w:p w14:paraId="5F82C6E2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2.53e-06 ***</w:t>
            </w:r>
          </w:p>
        </w:tc>
        <w:tc>
          <w:tcPr>
            <w:tcW w:w="1320" w:type="dxa"/>
          </w:tcPr>
          <w:p w14:paraId="3714C722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1.15e-12 ***</w:t>
            </w:r>
          </w:p>
        </w:tc>
        <w:tc>
          <w:tcPr>
            <w:tcW w:w="1320" w:type="dxa"/>
          </w:tcPr>
          <w:p w14:paraId="332846EF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 w:hint="eastAsia"/>
              </w:rPr>
              <w:t>lower</w:t>
            </w:r>
          </w:p>
        </w:tc>
      </w:tr>
      <w:tr w:rsidR="00D638E0" w:rsidRPr="00D638E0" w14:paraId="223049F6" w14:textId="77777777">
        <w:tc>
          <w:tcPr>
            <w:tcW w:w="2400" w:type="dxa"/>
          </w:tcPr>
          <w:p w14:paraId="51EA8B22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Aliphatic Index</w:t>
            </w:r>
          </w:p>
        </w:tc>
        <w:tc>
          <w:tcPr>
            <w:tcW w:w="1320" w:type="dxa"/>
          </w:tcPr>
          <w:p w14:paraId="2DE86FEB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5.23e-22 ***</w:t>
            </w:r>
          </w:p>
        </w:tc>
        <w:tc>
          <w:tcPr>
            <w:tcW w:w="1320" w:type="dxa"/>
          </w:tcPr>
          <w:p w14:paraId="491A58AC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1.03e-06 ***</w:t>
            </w:r>
          </w:p>
        </w:tc>
        <w:tc>
          <w:tcPr>
            <w:tcW w:w="1320" w:type="dxa"/>
          </w:tcPr>
          <w:p w14:paraId="12C89135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1.43e-09 ***</w:t>
            </w:r>
          </w:p>
        </w:tc>
        <w:tc>
          <w:tcPr>
            <w:tcW w:w="1320" w:type="dxa"/>
          </w:tcPr>
          <w:p w14:paraId="3377661C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1.15e-12 ***</w:t>
            </w:r>
          </w:p>
        </w:tc>
        <w:tc>
          <w:tcPr>
            <w:tcW w:w="1320" w:type="dxa"/>
          </w:tcPr>
          <w:p w14:paraId="0695216F" w14:textId="77777777" w:rsidR="000E3325" w:rsidRPr="00D638E0" w:rsidRDefault="00D638E0">
            <w:pPr>
              <w:rPr>
                <w:rFonts w:ascii="Times New Roman" w:hAnsi="Times New Roman"/>
              </w:rPr>
            </w:pPr>
            <w:r w:rsidRPr="00D638E0">
              <w:rPr>
                <w:rFonts w:ascii="Times New Roman" w:hAnsi="Times New Roman"/>
              </w:rPr>
              <w:t>lower</w:t>
            </w:r>
          </w:p>
        </w:tc>
      </w:tr>
    </w:tbl>
    <w:p w14:paraId="31922368" w14:textId="77777777" w:rsidR="000E3325" w:rsidRPr="00D638E0" w:rsidRDefault="00D638E0">
      <w:pPr>
        <w:pStyle w:val="NormalWeb"/>
        <w:rPr>
          <w:rFonts w:ascii="Times New Roman" w:hAnsi="Times New Roman" w:cs="Times New Roman"/>
          <w:kern w:val="2"/>
          <w:lang w:bidi="ar-SA"/>
        </w:rPr>
      </w:pPr>
      <w:r w:rsidRPr="00D638E0">
        <w:rPr>
          <w:rFonts w:ascii="Times New Roman" w:hAnsi="Times New Roman" w:cs="Times New Roman"/>
          <w:kern w:val="2"/>
          <w:lang w:bidi="ar-SA"/>
        </w:rPr>
        <w:t xml:space="preserve">P-values from two-sided Mann–Whitney U tests comparing the distribution of each property for NHAMP-generated peptides against the indicated reference set. Significance levels: *** p &lt; 0.001, ** p &lt; 0.01, * p &lt; 0.05, </w:t>
      </w:r>
      <w:proofErr w:type="spellStart"/>
      <w:r w:rsidRPr="00D638E0">
        <w:rPr>
          <w:rFonts w:ascii="Times New Roman" w:hAnsi="Times New Roman" w:cs="Times New Roman"/>
          <w:kern w:val="2"/>
          <w:lang w:bidi="ar-SA"/>
        </w:rPr>
        <w:t>n.s</w:t>
      </w:r>
      <w:proofErr w:type="spellEnd"/>
      <w:r w:rsidRPr="00D638E0">
        <w:rPr>
          <w:rFonts w:ascii="Times New Roman" w:hAnsi="Times New Roman" w:cs="Times New Roman"/>
          <w:kern w:val="2"/>
          <w:lang w:bidi="ar-SA"/>
        </w:rPr>
        <w:t>. not significant.</w:t>
      </w:r>
    </w:p>
    <w:p w14:paraId="4E0BE9DC" w14:textId="77777777" w:rsidR="00D92525" w:rsidRPr="00D638E0" w:rsidRDefault="00D92525">
      <w:pPr>
        <w:pStyle w:val="NormalWeb"/>
        <w:rPr>
          <w:rFonts w:ascii="Times New Roman" w:hAnsi="Times New Roman" w:cs="Times New Roman"/>
          <w:kern w:val="2"/>
          <w:lang w:bidi="ar-SA"/>
        </w:rPr>
      </w:pPr>
    </w:p>
    <w:p w14:paraId="4E6519BB" w14:textId="5D8ACA11" w:rsidR="000E3325" w:rsidRPr="00D638E0" w:rsidRDefault="005E16A5">
      <w:pPr>
        <w:pStyle w:val="NormalWeb"/>
        <w:widowControl/>
        <w:rPr>
          <w:rFonts w:ascii="Times New Roman" w:hAnsi="Times New Roman"/>
        </w:rPr>
      </w:pPr>
      <w:r w:rsidRPr="00D638E0">
        <w:rPr>
          <w:rFonts w:ascii="Times New Roman" w:hAnsi="Times New Roman"/>
          <w:noProof/>
        </w:rPr>
        <w:drawing>
          <wp:inline distT="0" distB="0" distL="0" distR="0" wp14:anchorId="1ED2D749" wp14:editId="417A56E8">
            <wp:extent cx="5695315" cy="3467538"/>
            <wp:effectExtent l="0" t="0" r="635" b="0"/>
            <wp:docPr id="51229117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67" cy="3477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9909AE" w14:textId="4956CA30" w:rsidR="000E3325" w:rsidRPr="00D638E0" w:rsidRDefault="00D638E0">
      <w:pPr>
        <w:rPr>
          <w:rFonts w:ascii="Times New Roman" w:hAnsi="Times New Roman" w:cs="Times New Roman"/>
          <w:sz w:val="24"/>
        </w:rPr>
      </w:pPr>
      <w:r w:rsidRPr="00D638E0">
        <w:rPr>
          <w:rFonts w:ascii="Times New Roman" w:hAnsi="Times New Roman" w:cs="Times New Roman" w:hint="eastAsia"/>
          <w:b/>
          <w:kern w:val="0"/>
          <w:sz w:val="24"/>
          <w:lang w:eastAsia="en-US"/>
        </w:rPr>
        <w:t>Figure S1.</w:t>
      </w:r>
      <w:r w:rsidRPr="00D638E0">
        <w:rPr>
          <w:rFonts w:ascii="Times New Roman" w:hAnsi="Times New Roman" w:cs="Times New Roman" w:hint="eastAsia"/>
          <w:b/>
          <w:kern w:val="0"/>
          <w:sz w:val="24"/>
        </w:rPr>
        <w:t xml:space="preserve"> </w:t>
      </w:r>
      <w:r w:rsidRPr="00D638E0">
        <w:rPr>
          <w:rFonts w:ascii="Times New Roman" w:hAnsi="Times New Roman" w:cs="Times New Roman" w:hint="eastAsia"/>
          <w:b/>
          <w:kern w:val="0"/>
          <w:sz w:val="24"/>
          <w:lang w:eastAsia="en-US"/>
        </w:rPr>
        <w:t>Sequ</w:t>
      </w:r>
      <w:r w:rsidRPr="00D638E0">
        <w:rPr>
          <w:rFonts w:ascii="Times New Roman" w:hAnsi="Times New Roman" w:cs="Times New Roman" w:hint="eastAsia"/>
          <w:b/>
          <w:kern w:val="0"/>
          <w:sz w:val="24"/>
          <w:lang w:eastAsia="en-US"/>
        </w:rPr>
        <w:t xml:space="preserve">ence Novelty Analysis of NHAMP. </w:t>
      </w:r>
      <w:r w:rsidRPr="00D638E0">
        <w:rPr>
          <w:rFonts w:ascii="Times New Roman" w:hAnsi="Times New Roman" w:cs="Times New Roman"/>
          <w:sz w:val="24"/>
        </w:rPr>
        <w:t>A histogram displays the distribution of maximum sequence identity for NHAMP-generated peptides compared against the entire training dataset.</w:t>
      </w:r>
      <w:r w:rsidR="00E3771F" w:rsidRPr="00D638E0">
        <w:rPr>
          <w:rFonts w:ascii="Times New Roman" w:hAnsi="Times New Roman" w:cs="Times New Roman" w:hint="eastAsia"/>
          <w:sz w:val="24"/>
        </w:rPr>
        <w:t xml:space="preserve"> </w:t>
      </w:r>
      <w:r w:rsidR="00E3771F" w:rsidRPr="00D638E0">
        <w:rPr>
          <w:rFonts w:ascii="Times New Roman" w:hAnsi="Times New Roman" w:cs="Times New Roman"/>
          <w:sz w:val="24"/>
        </w:rPr>
        <w:t>All 1000 generated peptides were unique within the generated library</w:t>
      </w:r>
      <w:r w:rsidR="00B20CDC" w:rsidRPr="00D638E0">
        <w:rPr>
          <w:rFonts w:ascii="Times New Roman" w:hAnsi="Times New Roman" w:cs="Times New Roman"/>
          <w:sz w:val="24"/>
        </w:rPr>
        <w:t>; only one peptide (0.1%) exactly matched the training set, and 10 peptides (1.0%) had nearest-neighbor edit identity &gt;=80%. These results argue against broad memorization while transparently identifying the small number of high-similarity cases for duplicate filtering before experimental prioritization.</w:t>
      </w:r>
      <w:r w:rsidR="006E5FA6" w:rsidRPr="00D638E0">
        <w:t xml:space="preserve"> </w:t>
      </w:r>
      <w:r w:rsidR="006E5FA6" w:rsidRPr="00D638E0">
        <w:rPr>
          <w:rFonts w:ascii="Times New Roman" w:hAnsi="Times New Roman" w:cs="Times New Roman"/>
          <w:sz w:val="24"/>
        </w:rPr>
        <w:t>The per-sequence nearest-neighbor results are provided in Supplementary Data S1.</w:t>
      </w:r>
    </w:p>
    <w:p w14:paraId="65151D85" w14:textId="77777777" w:rsidR="000E3325" w:rsidRPr="00D638E0" w:rsidRDefault="000E3325"/>
    <w:sectPr w:rsidR="000E3325" w:rsidRPr="00D638E0" w:rsidSect="00D638E0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A5FF9" w14:textId="77777777" w:rsidR="000631CA" w:rsidRDefault="000631CA" w:rsidP="005E16A5">
      <w:r>
        <w:separator/>
      </w:r>
    </w:p>
  </w:endnote>
  <w:endnote w:type="continuationSeparator" w:id="0">
    <w:p w14:paraId="1C6BDD7D" w14:textId="77777777" w:rsidR="000631CA" w:rsidRDefault="000631CA" w:rsidP="005E1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ED2EE" w14:textId="77777777" w:rsidR="000631CA" w:rsidRDefault="000631CA" w:rsidP="005E16A5">
      <w:r>
        <w:separator/>
      </w:r>
    </w:p>
  </w:footnote>
  <w:footnote w:type="continuationSeparator" w:id="0">
    <w:p w14:paraId="18279744" w14:textId="77777777" w:rsidR="000631CA" w:rsidRDefault="000631CA" w:rsidP="005E16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325"/>
    <w:rsid w:val="000631CA"/>
    <w:rsid w:val="000E3325"/>
    <w:rsid w:val="00153B3B"/>
    <w:rsid w:val="00330E16"/>
    <w:rsid w:val="005E16A5"/>
    <w:rsid w:val="00602B22"/>
    <w:rsid w:val="006E5FA6"/>
    <w:rsid w:val="008834A3"/>
    <w:rsid w:val="00997E8D"/>
    <w:rsid w:val="00A2644F"/>
    <w:rsid w:val="00B20CDC"/>
    <w:rsid w:val="00C70001"/>
    <w:rsid w:val="00D638E0"/>
    <w:rsid w:val="00D92525"/>
    <w:rsid w:val="00E3771F"/>
    <w:rsid w:val="119164FD"/>
    <w:rsid w:val="24C26DA3"/>
    <w:rsid w:val="39F12DB2"/>
    <w:rsid w:val="45E670FC"/>
    <w:rsid w:val="46402205"/>
    <w:rsid w:val="57E83927"/>
    <w:rsid w:val="5A063AEE"/>
    <w:rsid w:val="6773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526311"/>
  <w15:docId w15:val="{3C371F89-A942-4681-968A-E277CB44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bo-C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Arial Unicode MS"/>
      <w:kern w:val="0"/>
      <w:sz w:val="24"/>
      <w:lang w:bidi="bo-CN"/>
    </w:rPr>
  </w:style>
  <w:style w:type="paragraph" w:customStyle="1" w:styleId="NatureHeading1">
    <w:name w:val="NatureHeading1"/>
    <w:basedOn w:val="Normal"/>
    <w:qFormat/>
    <w:pPr>
      <w:spacing w:before="240" w:line="288" w:lineRule="auto"/>
    </w:pPr>
    <w:rPr>
      <w:b/>
      <w:sz w:val="28"/>
    </w:rPr>
  </w:style>
  <w:style w:type="paragraph" w:customStyle="1" w:styleId="NatureTitle">
    <w:name w:val="NatureTitle"/>
    <w:basedOn w:val="Normal"/>
    <w:qFormat/>
    <w:pPr>
      <w:spacing w:after="240"/>
      <w:jc w:val="center"/>
    </w:pPr>
    <w:rPr>
      <w:b/>
      <w:sz w:val="36"/>
    </w:rPr>
  </w:style>
  <w:style w:type="paragraph" w:customStyle="1" w:styleId="Title2">
    <w:name w:val="Title2"/>
    <w:basedOn w:val="Normal"/>
    <w:qFormat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lang w:eastAsia="ja-JP"/>
    </w:rPr>
  </w:style>
  <w:style w:type="paragraph" w:customStyle="1" w:styleId="Tableofcontents">
    <w:name w:val="Table of contents"/>
    <w:basedOn w:val="Normal"/>
    <w:autoRedefine/>
    <w:qFormat/>
    <w:pPr>
      <w:widowControl/>
      <w:spacing w:line="360" w:lineRule="auto"/>
    </w:pPr>
    <w:rPr>
      <w:rFonts w:ascii="Times New Roman" w:eastAsia="MS Mincho" w:hAnsi="Times New Roman" w:cs="Times New Roman"/>
      <w:b/>
      <w:kern w:val="0"/>
      <w:sz w:val="24"/>
      <w:lang w:eastAsia="ja-JP"/>
    </w:rPr>
  </w:style>
  <w:style w:type="paragraph" w:customStyle="1" w:styleId="SMcaption">
    <w:name w:val="SM caption"/>
    <w:basedOn w:val="SMText"/>
    <w:qFormat/>
    <w:pPr>
      <w:ind w:firstLine="0"/>
    </w:pPr>
  </w:style>
  <w:style w:type="paragraph" w:customStyle="1" w:styleId="SMText">
    <w:name w:val="SM Text"/>
    <w:basedOn w:val="Normal"/>
    <w:qFormat/>
    <w:pPr>
      <w:widowControl/>
      <w:ind w:firstLine="480"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paragraph" w:styleId="Header">
    <w:name w:val="header"/>
    <w:basedOn w:val="Normal"/>
    <w:link w:val="HeaderChar"/>
    <w:rsid w:val="005E16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5E16A5"/>
    <w:rPr>
      <w:rFonts w:asciiTheme="minorHAnsi" w:eastAsiaTheme="minorEastAsia" w:hAnsiTheme="minorHAnsi" w:cstheme="minorBidi"/>
      <w:kern w:val="2"/>
      <w:sz w:val="18"/>
      <w:szCs w:val="18"/>
      <w:lang w:bidi="ar-SA"/>
    </w:rPr>
  </w:style>
  <w:style w:type="paragraph" w:styleId="Footer">
    <w:name w:val="footer"/>
    <w:basedOn w:val="Normal"/>
    <w:link w:val="FooterChar"/>
    <w:rsid w:val="005E16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5E16A5"/>
    <w:rPr>
      <w:rFonts w:asciiTheme="minorHAnsi" w:eastAsiaTheme="minorEastAsia" w:hAnsiTheme="minorHAnsi" w:cstheme="minorBidi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Revathi Thangaraj</cp:lastModifiedBy>
  <cp:revision>8</cp:revision>
  <dcterms:created xsi:type="dcterms:W3CDTF">2026-05-21T04:00:00Z</dcterms:created>
  <dcterms:modified xsi:type="dcterms:W3CDTF">2026-07-21T10:13:00Z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eyJoZGlkIjoiODgyMDNkN2Q3ZjVlMTk3YzgxMmVmMGUxOTc4MGIxMmUiLCJ1c2VySWQiOiIxMTQ1MjY5MDc2In0=</vt:lpwstr>
  </property>
  <property fmtid="{D5CDD505-2E9C-101B-9397-08002B2CF9AE}" pid="4" name="ICV">
    <vt:lpwstr>58A69E030B004C2AA31E9082FA7F4F6B_12</vt:lpwstr>
  </property>
</Properties>
</file>