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A0AD9" w14:textId="038226DE" w:rsidR="001C16DC" w:rsidRPr="00160699" w:rsidRDefault="001C16DC" w:rsidP="001C16DC">
      <w:pPr>
        <w:outlineLvl w:val="0"/>
        <w:rPr>
          <w:rFonts w:ascii="Cambria" w:hAnsi="Cambria"/>
        </w:rPr>
      </w:pPr>
      <w:r w:rsidRPr="001C16DC">
        <w:rPr>
          <w:rFonts w:ascii="Cambria" w:hAnsi="Cambria"/>
          <w:b/>
        </w:rPr>
        <w:t xml:space="preserve">Table </w:t>
      </w:r>
      <w:r w:rsidR="00E05060">
        <w:rPr>
          <w:rFonts w:ascii="Cambria" w:hAnsi="Cambria"/>
          <w:b/>
        </w:rPr>
        <w:t>S1</w:t>
      </w:r>
      <w:r w:rsidRPr="001C16DC">
        <w:rPr>
          <w:rFonts w:ascii="Cambria" w:hAnsi="Cambria"/>
        </w:rPr>
        <w:t xml:space="preserve">. </w:t>
      </w:r>
      <w:r w:rsidR="000B27CE" w:rsidRPr="00160699">
        <w:rPr>
          <w:rFonts w:ascii="Cambria" w:hAnsi="Cambria"/>
        </w:rPr>
        <w:t>E</w:t>
      </w:r>
      <w:r w:rsidR="006C75C3" w:rsidRPr="00160699">
        <w:rPr>
          <w:rFonts w:ascii="Cambria" w:hAnsi="Cambria"/>
        </w:rPr>
        <w:t xml:space="preserve">ntities in </w:t>
      </w:r>
      <w:r w:rsidR="00160699" w:rsidRPr="00160699">
        <w:rPr>
          <w:rFonts w:ascii="Cambria" w:hAnsi="Cambria"/>
        </w:rPr>
        <w:t xml:space="preserve">Scenario 2: </w:t>
      </w:r>
      <w:r w:rsidR="00160699" w:rsidRPr="00160699">
        <w:rPr>
          <w:rFonts w:ascii="Cambria" w:hAnsi="Cambria"/>
          <w:i/>
        </w:rPr>
        <w:t>Second</w:t>
      </w:r>
      <w:r w:rsidR="005B0672">
        <w:rPr>
          <w:rFonts w:ascii="Cambria" w:hAnsi="Cambria"/>
          <w:i/>
        </w:rPr>
        <w:t xml:space="preserve"> correct</w:t>
      </w:r>
      <w:r w:rsidR="00160699" w:rsidRPr="00160699">
        <w:rPr>
          <w:rFonts w:ascii="Cambria" w:hAnsi="Cambria"/>
          <w:i/>
        </w:rPr>
        <w:t xml:space="preserve"> diagnosis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2530"/>
        <w:gridCol w:w="1229"/>
        <w:gridCol w:w="1536"/>
        <w:gridCol w:w="3343"/>
      </w:tblGrid>
      <w:tr w:rsidR="00FE2142" w:rsidRPr="001C16DC" w14:paraId="16EC673E" w14:textId="77777777" w:rsidTr="00FE2142">
        <w:trPr>
          <w:trHeight w:val="531"/>
        </w:trPr>
        <w:tc>
          <w:tcPr>
            <w:tcW w:w="812" w:type="dxa"/>
          </w:tcPr>
          <w:p w14:paraId="2DCEE9F8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b/>
                <w:sz w:val="22"/>
              </w:rPr>
            </w:pPr>
            <w:r w:rsidRPr="001C16DC">
              <w:rPr>
                <w:rFonts w:ascii="Cambria" w:hAnsi="Cambria"/>
                <w:b/>
                <w:sz w:val="22"/>
              </w:rPr>
              <w:t>IUI</w:t>
            </w:r>
          </w:p>
        </w:tc>
        <w:tc>
          <w:tcPr>
            <w:tcW w:w="2530" w:type="dxa"/>
          </w:tcPr>
          <w:p w14:paraId="75F29F57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b/>
                <w:sz w:val="22"/>
              </w:rPr>
            </w:pPr>
            <w:r w:rsidRPr="001C16DC">
              <w:rPr>
                <w:rFonts w:ascii="Cambria" w:hAnsi="Cambria"/>
                <w:b/>
                <w:sz w:val="22"/>
              </w:rPr>
              <w:t>Entity</w:t>
            </w:r>
          </w:p>
        </w:tc>
        <w:tc>
          <w:tcPr>
            <w:tcW w:w="1229" w:type="dxa"/>
          </w:tcPr>
          <w:p w14:paraId="77D7BB0C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b/>
                <w:sz w:val="22"/>
              </w:rPr>
            </w:pPr>
            <w:r w:rsidRPr="001C16DC">
              <w:rPr>
                <w:rFonts w:ascii="Cambria" w:hAnsi="Cambria"/>
                <w:b/>
                <w:sz w:val="22"/>
              </w:rPr>
              <w:t>Existence period</w:t>
            </w:r>
          </w:p>
        </w:tc>
        <w:tc>
          <w:tcPr>
            <w:tcW w:w="1536" w:type="dxa"/>
          </w:tcPr>
          <w:p w14:paraId="2A2FB1AC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b/>
                <w:sz w:val="22"/>
              </w:rPr>
            </w:pPr>
            <w:r w:rsidRPr="001C16DC">
              <w:rPr>
                <w:rFonts w:ascii="Cambria" w:hAnsi="Cambria"/>
                <w:b/>
                <w:sz w:val="22"/>
              </w:rPr>
              <w:t>Type</w:t>
            </w:r>
          </w:p>
        </w:tc>
        <w:tc>
          <w:tcPr>
            <w:tcW w:w="3343" w:type="dxa"/>
          </w:tcPr>
          <w:p w14:paraId="02BFE622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b/>
                <w:sz w:val="22"/>
              </w:rPr>
            </w:pPr>
            <w:r w:rsidRPr="001C16DC">
              <w:rPr>
                <w:rFonts w:ascii="Cambria" w:hAnsi="Cambria"/>
                <w:b/>
                <w:sz w:val="22"/>
              </w:rPr>
              <w:t>Notes</w:t>
            </w:r>
          </w:p>
        </w:tc>
      </w:tr>
      <w:tr w:rsidR="00FE2142" w:rsidRPr="001C16DC" w14:paraId="0F6CAFE2" w14:textId="77777777" w:rsidTr="00FE2142">
        <w:tc>
          <w:tcPr>
            <w:tcW w:w="812" w:type="dxa"/>
          </w:tcPr>
          <w:p w14:paraId="0641748B" w14:textId="53ADC885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2530" w:type="dxa"/>
          </w:tcPr>
          <w:p w14:paraId="1820B9C3" w14:textId="6E795B99" w:rsidR="001C16DC" w:rsidRPr="001C16DC" w:rsidRDefault="001C16DC" w:rsidP="00160699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A171DF">
              <w:rPr>
                <w:rFonts w:ascii="Cambria" w:hAnsi="Cambria"/>
                <w:sz w:val="20"/>
                <w:szCs w:val="22"/>
              </w:rPr>
              <w:t xml:space="preserve">John </w:t>
            </w:r>
            <w:r w:rsidR="00160699">
              <w:rPr>
                <w:rFonts w:ascii="Cambria" w:hAnsi="Cambria"/>
                <w:sz w:val="20"/>
                <w:szCs w:val="22"/>
              </w:rPr>
              <w:t>Brown</w:t>
            </w:r>
          </w:p>
        </w:tc>
        <w:tc>
          <w:tcPr>
            <w:tcW w:w="1229" w:type="dxa"/>
          </w:tcPr>
          <w:p w14:paraId="3A832955" w14:textId="4CF26A76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1536" w:type="dxa"/>
          </w:tcPr>
          <w:p w14:paraId="54D58442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Human being</w:t>
            </w:r>
          </w:p>
        </w:tc>
        <w:tc>
          <w:tcPr>
            <w:tcW w:w="3343" w:type="dxa"/>
          </w:tcPr>
          <w:p w14:paraId="1E3FC4C6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FE2142" w:rsidRPr="001C16DC" w14:paraId="0D072819" w14:textId="77777777" w:rsidTr="00FE2142">
        <w:tc>
          <w:tcPr>
            <w:tcW w:w="812" w:type="dxa"/>
          </w:tcPr>
          <w:p w14:paraId="57A41D4F" w14:textId="276935D5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4</w:t>
            </w:r>
          </w:p>
        </w:tc>
        <w:tc>
          <w:tcPr>
            <w:tcW w:w="2530" w:type="dxa"/>
          </w:tcPr>
          <w:p w14:paraId="4E053FFB" w14:textId="759077EA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Cognitive system of IUI-</w:t>
            </w:r>
            <w:r w:rsidR="003A04F2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1229" w:type="dxa"/>
          </w:tcPr>
          <w:p w14:paraId="3A7469AF" w14:textId="1ED6860C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4 </w:t>
            </w:r>
          </w:p>
        </w:tc>
        <w:tc>
          <w:tcPr>
            <w:tcW w:w="1536" w:type="dxa"/>
          </w:tcPr>
          <w:p w14:paraId="1F072ED3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  <w:tc>
          <w:tcPr>
            <w:tcW w:w="3343" w:type="dxa"/>
          </w:tcPr>
          <w:p w14:paraId="719C1CBB" w14:textId="28A4400F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FE2142" w:rsidRPr="001C16DC" w14:paraId="15FC0BE0" w14:textId="77777777" w:rsidTr="00FE2142">
        <w:tc>
          <w:tcPr>
            <w:tcW w:w="812" w:type="dxa"/>
          </w:tcPr>
          <w:p w14:paraId="669A0BCA" w14:textId="6A039B49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5</w:t>
            </w:r>
          </w:p>
        </w:tc>
        <w:tc>
          <w:tcPr>
            <w:tcW w:w="2530" w:type="dxa"/>
          </w:tcPr>
          <w:p w14:paraId="3EC333E0" w14:textId="425549F6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An anatomical entity that is part of IUI-</w:t>
            </w:r>
            <w:r w:rsidR="003A04F2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4</w:t>
            </w:r>
          </w:p>
        </w:tc>
        <w:tc>
          <w:tcPr>
            <w:tcW w:w="1229" w:type="dxa"/>
          </w:tcPr>
          <w:p w14:paraId="61A9FD01" w14:textId="230C11F9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5 </w:t>
            </w:r>
          </w:p>
        </w:tc>
        <w:tc>
          <w:tcPr>
            <w:tcW w:w="1536" w:type="dxa"/>
          </w:tcPr>
          <w:p w14:paraId="515BE707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Anatomical entity</w:t>
            </w:r>
          </w:p>
        </w:tc>
        <w:tc>
          <w:tcPr>
            <w:tcW w:w="3343" w:type="dxa"/>
          </w:tcPr>
          <w:p w14:paraId="4DBAE550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Which anatomical entity and its lifetime cannot be easily specified given current state of neuroscience. </w:t>
            </w:r>
          </w:p>
        </w:tc>
      </w:tr>
      <w:tr w:rsidR="00FE2142" w:rsidRPr="001C16DC" w14:paraId="2A3F8F43" w14:textId="77777777" w:rsidTr="00FE2142">
        <w:tc>
          <w:tcPr>
            <w:tcW w:w="812" w:type="dxa"/>
          </w:tcPr>
          <w:p w14:paraId="016053BD" w14:textId="7721E2B8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2530" w:type="dxa"/>
          </w:tcPr>
          <w:p w14:paraId="67793873" w14:textId="5D03493E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Quality that inheres in IUI-</w:t>
            </w:r>
            <w:r w:rsidR="003A04F2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5 and is about IUI-7</w:t>
            </w:r>
          </w:p>
        </w:tc>
        <w:tc>
          <w:tcPr>
            <w:tcW w:w="1229" w:type="dxa"/>
          </w:tcPr>
          <w:p w14:paraId="307775DC" w14:textId="7D4072D4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6 </w:t>
            </w:r>
          </w:p>
        </w:tc>
        <w:tc>
          <w:tcPr>
            <w:tcW w:w="1536" w:type="dxa"/>
          </w:tcPr>
          <w:p w14:paraId="71F1554E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Cognitive representation</w:t>
            </w:r>
          </w:p>
        </w:tc>
        <w:tc>
          <w:tcPr>
            <w:tcW w:w="3343" w:type="dxa"/>
          </w:tcPr>
          <w:p w14:paraId="5262901D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FE2142" w:rsidRPr="001C16DC" w14:paraId="53C8BE0F" w14:textId="77777777" w:rsidTr="00FE2142">
        <w:tc>
          <w:tcPr>
            <w:tcW w:w="812" w:type="dxa"/>
          </w:tcPr>
          <w:p w14:paraId="6367D84D" w14:textId="487622CD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IUI-7</w:t>
            </w:r>
          </w:p>
        </w:tc>
        <w:tc>
          <w:tcPr>
            <w:tcW w:w="2530" w:type="dxa"/>
          </w:tcPr>
          <w:p w14:paraId="21E1EF72" w14:textId="7CAE5EC2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The POR that is truth-maker for 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1229" w:type="dxa"/>
          </w:tcPr>
          <w:p w14:paraId="73ABAA59" w14:textId="24C27751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t7 </w:t>
            </w:r>
          </w:p>
        </w:tc>
        <w:tc>
          <w:tcPr>
            <w:tcW w:w="1536" w:type="dxa"/>
          </w:tcPr>
          <w:p w14:paraId="1BB3128B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Configuration</w:t>
            </w:r>
          </w:p>
        </w:tc>
        <w:tc>
          <w:tcPr>
            <w:tcW w:w="3343" w:type="dxa"/>
          </w:tcPr>
          <w:p w14:paraId="3FDB1BDD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Mr. Jones, his disease, their relationship, and disease’s instantiation</w:t>
            </w:r>
          </w:p>
        </w:tc>
      </w:tr>
      <w:tr w:rsidR="00FE2142" w:rsidRPr="001C16DC" w14:paraId="31501193" w14:textId="77777777" w:rsidTr="00FE2142">
        <w:tc>
          <w:tcPr>
            <w:tcW w:w="812" w:type="dxa"/>
          </w:tcPr>
          <w:p w14:paraId="573017F2" w14:textId="6338C404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2530" w:type="dxa"/>
          </w:tcPr>
          <w:p w14:paraId="6B13783A" w14:textId="793DE048" w:rsidR="001C16DC" w:rsidRPr="001C16DC" w:rsidRDefault="001C16DC" w:rsidP="00A171DF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A171DF">
              <w:rPr>
                <w:rFonts w:ascii="Cambria" w:hAnsi="Cambria"/>
                <w:sz w:val="20"/>
                <w:szCs w:val="22"/>
              </w:rPr>
              <w:t>Brown’s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 diagnosis </w:t>
            </w:r>
          </w:p>
        </w:tc>
        <w:tc>
          <w:tcPr>
            <w:tcW w:w="1229" w:type="dxa"/>
          </w:tcPr>
          <w:p w14:paraId="64F836B0" w14:textId="5C8C9E41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1536" w:type="dxa"/>
          </w:tcPr>
          <w:p w14:paraId="2156F440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Diagnosis</w:t>
            </w:r>
          </w:p>
        </w:tc>
        <w:tc>
          <w:tcPr>
            <w:tcW w:w="3343" w:type="dxa"/>
          </w:tcPr>
          <w:p w14:paraId="1FE50DD3" w14:textId="64CAB0DD" w:rsidR="001C16DC" w:rsidRPr="001C16DC" w:rsidRDefault="001C16DC" w:rsidP="00FE2142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IC</w:t>
            </w:r>
            <w:r w:rsidR="00E05060">
              <w:rPr>
                <w:rFonts w:ascii="Cambria" w:hAnsi="Cambria"/>
                <w:sz w:val="20"/>
                <w:szCs w:val="22"/>
              </w:rPr>
              <w:t>E concretized by IUI-</w:t>
            </w:r>
            <w:r w:rsidR="003A04F2">
              <w:rPr>
                <w:rFonts w:ascii="Cambria" w:hAnsi="Cambria"/>
                <w:sz w:val="20"/>
                <w:szCs w:val="22"/>
              </w:rPr>
              <w:t>2</w:t>
            </w:r>
            <w:r w:rsidR="00E05060">
              <w:rPr>
                <w:rFonts w:ascii="Cambria" w:hAnsi="Cambria"/>
                <w:sz w:val="20"/>
                <w:szCs w:val="22"/>
              </w:rPr>
              <w:t xml:space="preserve">6 </w:t>
            </w:r>
            <w:r w:rsidR="00FE2142">
              <w:rPr>
                <w:rFonts w:ascii="Cambria" w:hAnsi="Cambria"/>
                <w:sz w:val="20"/>
                <w:szCs w:val="22"/>
              </w:rPr>
              <w:t>&amp;</w:t>
            </w:r>
            <w:r w:rsidR="00E05060">
              <w:rPr>
                <w:rFonts w:ascii="Cambria" w:hAnsi="Cambria"/>
                <w:sz w:val="20"/>
                <w:szCs w:val="22"/>
              </w:rPr>
              <w:t xml:space="preserve"> IUI-3</w:t>
            </w:r>
            <w:r w:rsidRPr="001C16DC">
              <w:rPr>
                <w:rFonts w:ascii="Cambria" w:hAnsi="Cambria"/>
                <w:sz w:val="20"/>
                <w:szCs w:val="22"/>
              </w:rPr>
              <w:t>0</w:t>
            </w:r>
          </w:p>
        </w:tc>
      </w:tr>
      <w:tr w:rsidR="00FE2142" w:rsidRPr="001C16DC" w14:paraId="29B45D80" w14:textId="77777777" w:rsidTr="00FE2142">
        <w:tc>
          <w:tcPr>
            <w:tcW w:w="812" w:type="dxa"/>
          </w:tcPr>
          <w:p w14:paraId="67BEF789" w14:textId="35002FDB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IUI-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9</w:t>
            </w:r>
          </w:p>
        </w:tc>
        <w:tc>
          <w:tcPr>
            <w:tcW w:w="2530" w:type="dxa"/>
          </w:tcPr>
          <w:p w14:paraId="242B3962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That which is written down on paper and forms the sentence.</w:t>
            </w:r>
          </w:p>
        </w:tc>
        <w:tc>
          <w:tcPr>
            <w:tcW w:w="1229" w:type="dxa"/>
          </w:tcPr>
          <w:p w14:paraId="29452CAF" w14:textId="79C98116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</w:t>
            </w:r>
            <w:r w:rsidR="00E05060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9</w:t>
            </w:r>
          </w:p>
        </w:tc>
        <w:tc>
          <w:tcPr>
            <w:tcW w:w="1536" w:type="dxa"/>
          </w:tcPr>
          <w:p w14:paraId="5DD0055F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Material entity</w:t>
            </w:r>
          </w:p>
        </w:tc>
        <w:tc>
          <w:tcPr>
            <w:tcW w:w="3343" w:type="dxa"/>
          </w:tcPr>
          <w:p w14:paraId="106AF883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i/>
                <w:sz w:val="20"/>
                <w:szCs w:val="22"/>
              </w:rPr>
              <w:t>I conclude therefore that Mr. Jones has type 2 diabetes mellitus.</w:t>
            </w:r>
          </w:p>
          <w:p w14:paraId="72CC7BC0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FE2142" w:rsidRPr="001C16DC" w14:paraId="266215C2" w14:textId="77777777" w:rsidTr="00FE2142">
        <w:tc>
          <w:tcPr>
            <w:tcW w:w="812" w:type="dxa"/>
          </w:tcPr>
          <w:p w14:paraId="0773CEF2" w14:textId="473B908F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2530" w:type="dxa"/>
          </w:tcPr>
          <w:p w14:paraId="00D6CC6B" w14:textId="2938EC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IQE that inheres in IUI-</w:t>
            </w:r>
            <w:r w:rsidR="003A04F2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9.</w:t>
            </w:r>
          </w:p>
        </w:tc>
        <w:tc>
          <w:tcPr>
            <w:tcW w:w="1229" w:type="dxa"/>
          </w:tcPr>
          <w:p w14:paraId="4B6CE8AE" w14:textId="64FD8BE2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t3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536" w:type="dxa"/>
          </w:tcPr>
          <w:p w14:paraId="2C2743D0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Information quality entity</w:t>
            </w:r>
          </w:p>
        </w:tc>
        <w:tc>
          <w:tcPr>
            <w:tcW w:w="3343" w:type="dxa"/>
          </w:tcPr>
          <w:p w14:paraId="79615761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The sentence began to exist as soon as ink was laid down on paper, but the IQE did not begin to exist until the sentence was finished.</w:t>
            </w:r>
          </w:p>
        </w:tc>
      </w:tr>
      <w:tr w:rsidR="00FE2142" w:rsidRPr="001C16DC" w14:paraId="303C8BEA" w14:textId="77777777" w:rsidTr="00FE2142">
        <w:tc>
          <w:tcPr>
            <w:tcW w:w="812" w:type="dxa"/>
          </w:tcPr>
          <w:p w14:paraId="1BE96E26" w14:textId="6695B706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2530" w:type="dxa"/>
          </w:tcPr>
          <w:p w14:paraId="653363E5" w14:textId="0E9FD946" w:rsidR="001C16DC" w:rsidRPr="001C16DC" w:rsidRDefault="001C16DC" w:rsidP="00A171DF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A171DF">
              <w:rPr>
                <w:rFonts w:ascii="Cambria" w:hAnsi="Cambria"/>
                <w:sz w:val="20"/>
                <w:szCs w:val="22"/>
              </w:rPr>
              <w:t>Brown’s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 interpretive process </w:t>
            </w:r>
          </w:p>
        </w:tc>
        <w:tc>
          <w:tcPr>
            <w:tcW w:w="1229" w:type="dxa"/>
          </w:tcPr>
          <w:p w14:paraId="7F8C3BF4" w14:textId="2E9B7155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occupies </w:t>
            </w:r>
            <w:r w:rsidR="00E05060">
              <w:rPr>
                <w:rFonts w:ascii="Cambria" w:hAnsi="Cambria"/>
                <w:sz w:val="20"/>
                <w:szCs w:val="22"/>
              </w:rPr>
              <w:t>t3</w:t>
            </w:r>
            <w:r w:rsidRPr="001C16DC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1536" w:type="dxa"/>
          </w:tcPr>
          <w:p w14:paraId="41E4F1D5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Diagnostic process</w:t>
            </w:r>
          </w:p>
        </w:tc>
        <w:tc>
          <w:tcPr>
            <w:tcW w:w="3343" w:type="dxa"/>
          </w:tcPr>
          <w:p w14:paraId="071E4B54" w14:textId="48A37044" w:rsidR="001C16DC" w:rsidRPr="001C16DC" w:rsidRDefault="001C16DC" w:rsidP="00A171DF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7C4271">
              <w:rPr>
                <w:rFonts w:ascii="Cambria" w:hAnsi="Cambria"/>
                <w:sz w:val="20"/>
                <w:szCs w:val="22"/>
              </w:rPr>
              <w:t>Brown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’s </w:t>
            </w:r>
            <w:r w:rsidR="00A171DF">
              <w:rPr>
                <w:rFonts w:ascii="Cambria" w:hAnsi="Cambria"/>
                <w:sz w:val="20"/>
                <w:szCs w:val="22"/>
              </w:rPr>
              <w:t>interpretive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 process that led to her diagnosis IUI-</w:t>
            </w:r>
            <w:r w:rsidR="007C4271">
              <w:rPr>
                <w:rFonts w:ascii="Cambria" w:hAnsi="Cambria"/>
                <w:sz w:val="20"/>
                <w:szCs w:val="22"/>
              </w:rPr>
              <w:t>2</w:t>
            </w:r>
            <w:r w:rsidRPr="001C16DC">
              <w:rPr>
                <w:rFonts w:ascii="Cambria" w:hAnsi="Cambria"/>
                <w:sz w:val="20"/>
                <w:szCs w:val="22"/>
              </w:rPr>
              <w:t>8</w:t>
            </w:r>
          </w:p>
        </w:tc>
      </w:tr>
      <w:tr w:rsidR="00FE2142" w:rsidRPr="001C16DC" w14:paraId="652A0F12" w14:textId="77777777" w:rsidTr="00FE2142">
        <w:tc>
          <w:tcPr>
            <w:tcW w:w="812" w:type="dxa"/>
          </w:tcPr>
          <w:p w14:paraId="1DD064E7" w14:textId="194A7CED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2</w:t>
            </w:r>
          </w:p>
        </w:tc>
        <w:tc>
          <w:tcPr>
            <w:tcW w:w="2530" w:type="dxa"/>
          </w:tcPr>
          <w:p w14:paraId="5EBBC40A" w14:textId="1E670A89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The c</w:t>
            </w:r>
            <w:r w:rsidR="00A171DF">
              <w:rPr>
                <w:rFonts w:ascii="Cambria" w:hAnsi="Cambria"/>
                <w:sz w:val="20"/>
                <w:szCs w:val="22"/>
              </w:rPr>
              <w:t>linical picture input into IUI-3</w:t>
            </w:r>
            <w:r w:rsidRPr="001C16DC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1229" w:type="dxa"/>
          </w:tcPr>
          <w:p w14:paraId="645C9078" w14:textId="373951AC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t3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2</w:t>
            </w:r>
          </w:p>
        </w:tc>
        <w:tc>
          <w:tcPr>
            <w:tcW w:w="1536" w:type="dxa"/>
          </w:tcPr>
          <w:p w14:paraId="4E1F2775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Clinical picture</w:t>
            </w:r>
          </w:p>
        </w:tc>
        <w:tc>
          <w:tcPr>
            <w:tcW w:w="3343" w:type="dxa"/>
          </w:tcPr>
          <w:p w14:paraId="1C398182" w14:textId="304B2957" w:rsidR="001C16DC" w:rsidRPr="001C16DC" w:rsidRDefault="001C16DC" w:rsidP="007C4271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7C4271">
              <w:rPr>
                <w:rFonts w:ascii="Cambria" w:hAnsi="Cambria"/>
                <w:sz w:val="20"/>
                <w:szCs w:val="22"/>
              </w:rPr>
              <w:t>Brown’s</w:t>
            </w:r>
            <w:r w:rsidRPr="001C16DC">
              <w:rPr>
                <w:rFonts w:ascii="Cambria" w:hAnsi="Cambria"/>
                <w:sz w:val="20"/>
                <w:szCs w:val="22"/>
              </w:rPr>
              <w:t xml:space="preserve"> clinical picture as ascertained prior to t</w:t>
            </w:r>
            <w:r w:rsidR="007C4271">
              <w:rPr>
                <w:rFonts w:ascii="Cambria" w:hAnsi="Cambria"/>
                <w:sz w:val="20"/>
                <w:szCs w:val="22"/>
              </w:rPr>
              <w:t>25</w:t>
            </w:r>
          </w:p>
        </w:tc>
      </w:tr>
      <w:tr w:rsidR="00FE2142" w:rsidRPr="001C16DC" w14:paraId="4BE09DAA" w14:textId="77777777" w:rsidTr="00FE2142">
        <w:tc>
          <w:tcPr>
            <w:tcW w:w="812" w:type="dxa"/>
          </w:tcPr>
          <w:p w14:paraId="1991243F" w14:textId="036A7276" w:rsidR="001C16DC" w:rsidRPr="001C16DC" w:rsidRDefault="00E05060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1C16DC" w:rsidRPr="001C16DC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2530" w:type="dxa"/>
          </w:tcPr>
          <w:p w14:paraId="70283E47" w14:textId="3D2B5EB7" w:rsidR="001C16DC" w:rsidRPr="001C16DC" w:rsidRDefault="001C16DC" w:rsidP="00A171DF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Dr. </w:t>
            </w:r>
            <w:r w:rsidR="00A171DF">
              <w:rPr>
                <w:rFonts w:ascii="Cambria" w:hAnsi="Cambria"/>
                <w:sz w:val="20"/>
                <w:szCs w:val="22"/>
              </w:rPr>
              <w:t xml:space="preserve">Brown writing his </w:t>
            </w:r>
            <w:r w:rsidRPr="001C16DC">
              <w:rPr>
                <w:rFonts w:ascii="Cambria" w:hAnsi="Cambria"/>
                <w:sz w:val="20"/>
                <w:szCs w:val="22"/>
              </w:rPr>
              <w:t>diagnosis in the note</w:t>
            </w:r>
          </w:p>
        </w:tc>
        <w:tc>
          <w:tcPr>
            <w:tcW w:w="1229" w:type="dxa"/>
          </w:tcPr>
          <w:p w14:paraId="52EA2F3D" w14:textId="4CA923E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 xml:space="preserve">occupies </w:t>
            </w:r>
            <w:r w:rsidR="00E05060">
              <w:rPr>
                <w:rFonts w:ascii="Cambria" w:hAnsi="Cambria"/>
                <w:sz w:val="20"/>
                <w:szCs w:val="22"/>
              </w:rPr>
              <w:t>t3</w:t>
            </w:r>
            <w:r w:rsidRPr="001C16DC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1536" w:type="dxa"/>
          </w:tcPr>
          <w:p w14:paraId="7D232454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1C16DC">
              <w:rPr>
                <w:rFonts w:ascii="Cambria" w:hAnsi="Cambria"/>
                <w:sz w:val="20"/>
                <w:szCs w:val="22"/>
              </w:rPr>
              <w:t>Process</w:t>
            </w:r>
          </w:p>
        </w:tc>
        <w:tc>
          <w:tcPr>
            <w:tcW w:w="3343" w:type="dxa"/>
          </w:tcPr>
          <w:p w14:paraId="48359D4E" w14:textId="77777777" w:rsidR="001C16DC" w:rsidRPr="001C16DC" w:rsidRDefault="001C16DC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</w:tbl>
    <w:p w14:paraId="030D64EB" w14:textId="77777777" w:rsidR="001C16DC" w:rsidRPr="001C16DC" w:rsidRDefault="001C16DC" w:rsidP="001C16DC">
      <w:pPr>
        <w:rPr>
          <w:rFonts w:ascii="Cambria" w:hAnsi="Cambria"/>
          <w:b/>
        </w:rPr>
      </w:pPr>
    </w:p>
    <w:p w14:paraId="33E53CE6" w14:textId="77777777" w:rsidR="001C16DC" w:rsidRPr="001C16DC" w:rsidRDefault="001C16DC" w:rsidP="001C16DC">
      <w:pPr>
        <w:spacing w:line="240" w:lineRule="auto"/>
        <w:rPr>
          <w:rFonts w:ascii="Cambria" w:hAnsi="Cambria"/>
          <w:b/>
        </w:rPr>
      </w:pPr>
      <w:r w:rsidRPr="001C16DC">
        <w:rPr>
          <w:rFonts w:ascii="Cambria" w:hAnsi="Cambria"/>
          <w:b/>
        </w:rPr>
        <w:br w:type="page"/>
      </w:r>
    </w:p>
    <w:p w14:paraId="7C5E1FDE" w14:textId="01311003" w:rsidR="001C16DC" w:rsidRPr="001C16DC" w:rsidRDefault="001C16DC" w:rsidP="001C16DC">
      <w:pPr>
        <w:spacing w:line="240" w:lineRule="auto"/>
        <w:outlineLvl w:val="0"/>
        <w:rPr>
          <w:rFonts w:ascii="Cambria" w:hAnsi="Cambria"/>
        </w:rPr>
      </w:pPr>
      <w:r w:rsidRPr="001C16DC">
        <w:rPr>
          <w:rFonts w:ascii="Cambria" w:hAnsi="Cambria"/>
          <w:b/>
        </w:rPr>
        <w:lastRenderedPageBreak/>
        <w:t xml:space="preserve">Table </w:t>
      </w:r>
      <w:r w:rsidR="00E05060">
        <w:rPr>
          <w:rFonts w:ascii="Cambria" w:hAnsi="Cambria"/>
          <w:b/>
        </w:rPr>
        <w:t>S2</w:t>
      </w:r>
      <w:r w:rsidRPr="001C16DC">
        <w:rPr>
          <w:rFonts w:ascii="Cambria" w:hAnsi="Cambria"/>
          <w:b/>
        </w:rPr>
        <w:t>.</w:t>
      </w:r>
      <w:r w:rsidRPr="001C16DC">
        <w:rPr>
          <w:rFonts w:ascii="Cambria" w:hAnsi="Cambria"/>
        </w:rPr>
        <w:t xml:space="preserve">  Additional</w:t>
      </w:r>
      <w:r w:rsidR="005B0672">
        <w:rPr>
          <w:rFonts w:ascii="Cambria" w:hAnsi="Cambria"/>
        </w:rPr>
        <w:t xml:space="preserve"> temporal entities in Scenario 2: </w:t>
      </w:r>
      <w:r w:rsidR="005B0672">
        <w:rPr>
          <w:rFonts w:ascii="Cambria" w:hAnsi="Cambria"/>
          <w:i/>
        </w:rPr>
        <w:t>Second correct diagnosis</w:t>
      </w:r>
      <w:r w:rsidRPr="001C16DC">
        <w:rPr>
          <w:rFonts w:ascii="Cambria" w:hAnsi="Cambria"/>
        </w:rPr>
        <w:t>.</w:t>
      </w:r>
    </w:p>
    <w:p w14:paraId="41F97019" w14:textId="77777777" w:rsidR="001C16DC" w:rsidRPr="0029278E" w:rsidRDefault="001C16DC" w:rsidP="001C16DC">
      <w:pPr>
        <w:spacing w:line="240" w:lineRule="auto"/>
        <w:rPr>
          <w:rFonts w:ascii="Cambria" w:hAnsi="Cambria"/>
        </w:rPr>
      </w:pPr>
    </w:p>
    <w:p w14:paraId="11EE7403" w14:textId="77777777" w:rsidR="001C16DC" w:rsidRPr="0029278E" w:rsidRDefault="001C16DC" w:rsidP="001C16DC">
      <w:pPr>
        <w:spacing w:line="240" w:lineRule="auto"/>
        <w:rPr>
          <w:rFonts w:ascii="Cambria" w:hAnsi="Cambria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170"/>
        <w:gridCol w:w="3780"/>
        <w:gridCol w:w="4608"/>
      </w:tblGrid>
      <w:tr w:rsidR="00FE2142" w:rsidRPr="0029278E" w14:paraId="0D4DFE75" w14:textId="77777777" w:rsidTr="00FE2142">
        <w:tc>
          <w:tcPr>
            <w:tcW w:w="1170" w:type="dxa"/>
          </w:tcPr>
          <w:p w14:paraId="026B7BA6" w14:textId="77777777" w:rsidR="0029278E" w:rsidRPr="0029278E" w:rsidRDefault="0029278E" w:rsidP="00D814ED">
            <w:pPr>
              <w:spacing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29278E">
              <w:rPr>
                <w:rFonts w:ascii="Cambria" w:hAnsi="Cambria"/>
                <w:b/>
                <w:sz w:val="20"/>
                <w:szCs w:val="20"/>
              </w:rPr>
              <w:t>Temporal identifier</w:t>
            </w:r>
          </w:p>
        </w:tc>
        <w:tc>
          <w:tcPr>
            <w:tcW w:w="3780" w:type="dxa"/>
          </w:tcPr>
          <w:p w14:paraId="7073489F" w14:textId="77777777" w:rsidR="0029278E" w:rsidRPr="0029278E" w:rsidRDefault="0029278E" w:rsidP="00D814ED">
            <w:pPr>
              <w:spacing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29278E">
              <w:rPr>
                <w:rFonts w:ascii="Cambria" w:hAnsi="Cambria"/>
                <w:b/>
                <w:sz w:val="20"/>
                <w:szCs w:val="20"/>
              </w:rPr>
              <w:t>Description</w:t>
            </w:r>
          </w:p>
        </w:tc>
        <w:tc>
          <w:tcPr>
            <w:tcW w:w="4608" w:type="dxa"/>
          </w:tcPr>
          <w:p w14:paraId="11B5FA3F" w14:textId="77777777" w:rsidR="0029278E" w:rsidRPr="0029278E" w:rsidRDefault="0029278E" w:rsidP="00D814ED">
            <w:pPr>
              <w:spacing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29278E">
              <w:rPr>
                <w:rFonts w:ascii="Cambria" w:hAnsi="Cambria"/>
                <w:b/>
                <w:sz w:val="20"/>
                <w:szCs w:val="20"/>
              </w:rPr>
              <w:t>Notes</w:t>
            </w:r>
          </w:p>
        </w:tc>
      </w:tr>
      <w:tr w:rsidR="00FE2142" w:rsidRPr="0029278E" w14:paraId="5914B779" w14:textId="77777777" w:rsidTr="00FE2142">
        <w:tc>
          <w:tcPr>
            <w:tcW w:w="1170" w:type="dxa"/>
          </w:tcPr>
          <w:p w14:paraId="0427917E" w14:textId="4C99A923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t3</w:t>
            </w:r>
            <w:r w:rsidRPr="0029278E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780" w:type="dxa"/>
          </w:tcPr>
          <w:p w14:paraId="7D055115" w14:textId="08E8978E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interval during which the anatomical entity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5) is part of the cognitive system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4)</w:t>
            </w:r>
          </w:p>
        </w:tc>
        <w:tc>
          <w:tcPr>
            <w:tcW w:w="4608" w:type="dxa"/>
          </w:tcPr>
          <w:p w14:paraId="50048951" w14:textId="6374D672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This interval is not easily specified given the current state of neuroscience. It could be different than t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3 and t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4.</w:t>
            </w:r>
          </w:p>
        </w:tc>
      </w:tr>
      <w:tr w:rsidR="00FE2142" w:rsidRPr="0029278E" w14:paraId="44771F14" w14:textId="77777777" w:rsidTr="00FE2142">
        <w:trPr>
          <w:trHeight w:val="260"/>
        </w:trPr>
        <w:tc>
          <w:tcPr>
            <w:tcW w:w="1170" w:type="dxa"/>
          </w:tcPr>
          <w:p w14:paraId="0ACF8F00" w14:textId="33A276A5" w:rsidR="0029278E" w:rsidRPr="0029278E" w:rsidRDefault="0029278E" w:rsidP="0029278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29278E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780" w:type="dxa"/>
          </w:tcPr>
          <w:p w14:paraId="57ADB802" w14:textId="5F94CA43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interval during which the clinical picture</w:t>
            </w:r>
            <w:r>
              <w:rPr>
                <w:rFonts w:ascii="Cambria" w:hAnsi="Cambria"/>
                <w:sz w:val="20"/>
                <w:szCs w:val="20"/>
              </w:rPr>
              <w:t xml:space="preserve"> (IUI-3</w:t>
            </w:r>
            <w:r w:rsidRPr="0029278E">
              <w:rPr>
                <w:rFonts w:ascii="Cambria" w:hAnsi="Cambria"/>
                <w:sz w:val="20"/>
                <w:szCs w:val="20"/>
              </w:rPr>
              <w:t>2) is used in the interpretive process</w:t>
            </w:r>
            <w:r>
              <w:rPr>
                <w:rFonts w:ascii="Cambria" w:hAnsi="Cambria"/>
                <w:sz w:val="20"/>
                <w:szCs w:val="20"/>
              </w:rPr>
              <w:t xml:space="preserve"> (IUI-3</w:t>
            </w:r>
            <w:r w:rsidRPr="0029278E">
              <w:rPr>
                <w:rFonts w:ascii="Cambria" w:hAnsi="Cambria"/>
                <w:sz w:val="20"/>
                <w:szCs w:val="20"/>
              </w:rPr>
              <w:t>1)</w:t>
            </w:r>
          </w:p>
        </w:tc>
        <w:tc>
          <w:tcPr>
            <w:tcW w:w="4608" w:type="dxa"/>
          </w:tcPr>
          <w:p w14:paraId="3E7909BB" w14:textId="6A5B1A93" w:rsidR="0029278E" w:rsidRPr="0029278E" w:rsidRDefault="0029278E" w:rsidP="0029278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Could be shorter than t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29278E">
              <w:rPr>
                <w:rFonts w:ascii="Cambria" w:hAnsi="Cambria"/>
                <w:sz w:val="20"/>
                <w:szCs w:val="20"/>
              </w:rPr>
              <w:t xml:space="preserve">1 </w:t>
            </w:r>
          </w:p>
        </w:tc>
      </w:tr>
      <w:tr w:rsidR="00FE2142" w:rsidRPr="0029278E" w14:paraId="09650E4E" w14:textId="77777777" w:rsidTr="00FE2142">
        <w:tc>
          <w:tcPr>
            <w:tcW w:w="1170" w:type="dxa"/>
          </w:tcPr>
          <w:p w14:paraId="28F01B6F" w14:textId="3CC63A55" w:rsidR="0029278E" w:rsidRPr="0029278E" w:rsidRDefault="0029278E" w:rsidP="0029278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29278E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780" w:type="dxa"/>
          </w:tcPr>
          <w:p w14:paraId="1E592AA6" w14:textId="0CAE6A52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point in time at which the cognitive representation 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6) and diagnosis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8) begin to exist</w:t>
            </w:r>
          </w:p>
        </w:tc>
        <w:tc>
          <w:tcPr>
            <w:tcW w:w="4608" w:type="dxa"/>
          </w:tcPr>
          <w:p w14:paraId="5DC5D40E" w14:textId="3FE833CD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t36 ends t3</w:t>
            </w:r>
            <w:r w:rsidRPr="0029278E">
              <w:rPr>
                <w:rFonts w:ascii="Cambria" w:hAnsi="Cambria"/>
                <w:sz w:val="20"/>
                <w:szCs w:val="20"/>
              </w:rPr>
              <w:t>1.  Because the ICE does not exist until the cognitive representation—its first concretization—exists, this is also the point in time at which the diagnosis begins to exist.</w:t>
            </w:r>
          </w:p>
        </w:tc>
      </w:tr>
      <w:tr w:rsidR="00FE2142" w:rsidRPr="0029278E" w14:paraId="0B41BC52" w14:textId="77777777" w:rsidTr="00FE2142">
        <w:tc>
          <w:tcPr>
            <w:tcW w:w="1170" w:type="dxa"/>
          </w:tcPr>
          <w:p w14:paraId="04E28B6C" w14:textId="0AD7567E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t3</w:t>
            </w:r>
            <w:r w:rsidRPr="0029278E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780" w:type="dxa"/>
          </w:tcPr>
          <w:p w14:paraId="020B73D9" w14:textId="64389CED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interval during which the cognitive representation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6) participat</w:t>
            </w:r>
            <w:r>
              <w:rPr>
                <w:rFonts w:ascii="Cambria" w:hAnsi="Cambria"/>
                <w:sz w:val="20"/>
                <w:szCs w:val="20"/>
              </w:rPr>
              <w:t>es in the writing process (IUI-3</w:t>
            </w:r>
            <w:r w:rsidRPr="0029278E">
              <w:rPr>
                <w:rFonts w:ascii="Cambria" w:hAnsi="Cambria"/>
                <w:sz w:val="20"/>
                <w:szCs w:val="20"/>
              </w:rPr>
              <w:t>3)</w:t>
            </w:r>
          </w:p>
        </w:tc>
        <w:tc>
          <w:tcPr>
            <w:tcW w:w="4608" w:type="dxa"/>
          </w:tcPr>
          <w:p w14:paraId="0C67F57F" w14:textId="77777777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FE2142" w:rsidRPr="0029278E" w14:paraId="679CF879" w14:textId="77777777" w:rsidTr="00FE2142">
        <w:tc>
          <w:tcPr>
            <w:tcW w:w="1170" w:type="dxa"/>
          </w:tcPr>
          <w:p w14:paraId="73E23C37" w14:textId="3A038D59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t3</w:t>
            </w:r>
            <w:r w:rsidRPr="0029278E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3780" w:type="dxa"/>
          </w:tcPr>
          <w:p w14:paraId="492D01E5" w14:textId="55870DDF" w:rsidR="0029278E" w:rsidRPr="0029278E" w:rsidRDefault="0029278E" w:rsidP="0029278E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interval during which the diagnosis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8) participates in the writing process (IUI-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29278E">
              <w:rPr>
                <w:rFonts w:ascii="Cambria" w:hAnsi="Cambria"/>
                <w:sz w:val="20"/>
                <w:szCs w:val="20"/>
              </w:rPr>
              <w:t>3)</w:t>
            </w:r>
          </w:p>
        </w:tc>
        <w:tc>
          <w:tcPr>
            <w:tcW w:w="4608" w:type="dxa"/>
          </w:tcPr>
          <w:p w14:paraId="5EAE8123" w14:textId="3002BB3F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It is possible that the original cognitive representation (IUI-</w:t>
            </w:r>
            <w:r>
              <w:rPr>
                <w:rFonts w:ascii="Cambria" w:hAnsi="Cambria"/>
                <w:sz w:val="20"/>
                <w:szCs w:val="20"/>
              </w:rPr>
              <w:t>2</w:t>
            </w:r>
            <w:r w:rsidRPr="0029278E">
              <w:rPr>
                <w:rFonts w:ascii="Cambria" w:hAnsi="Cambria"/>
                <w:sz w:val="20"/>
                <w:szCs w:val="20"/>
              </w:rPr>
              <w:t>6) gets copied elsewhere in the brain for reasoning and thus that the ICE continues to participate after the initial cognitive representation</w:t>
            </w:r>
          </w:p>
        </w:tc>
      </w:tr>
      <w:tr w:rsidR="00FE2142" w:rsidRPr="0029278E" w14:paraId="2985B905" w14:textId="77777777" w:rsidTr="00FE2142">
        <w:tc>
          <w:tcPr>
            <w:tcW w:w="1170" w:type="dxa"/>
          </w:tcPr>
          <w:p w14:paraId="0BF53538" w14:textId="3940A16E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</w:t>
            </w:r>
            <w:r>
              <w:rPr>
                <w:rFonts w:ascii="Cambria" w:hAnsi="Cambria"/>
                <w:sz w:val="20"/>
                <w:szCs w:val="20"/>
              </w:rPr>
              <w:t>3</w:t>
            </w:r>
            <w:r w:rsidRPr="0029278E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780" w:type="dxa"/>
          </w:tcPr>
          <w:p w14:paraId="5907511A" w14:textId="684EBF03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 xml:space="preserve">The interval during which that </w:t>
            </w:r>
            <w:r>
              <w:rPr>
                <w:rFonts w:ascii="Cambria" w:hAnsi="Cambria"/>
                <w:sz w:val="20"/>
                <w:szCs w:val="20"/>
              </w:rPr>
              <w:t>which is written on paper (IUI-3</w:t>
            </w:r>
            <w:r w:rsidRPr="0029278E">
              <w:rPr>
                <w:rFonts w:ascii="Cambria" w:hAnsi="Cambria"/>
                <w:sz w:val="20"/>
                <w:szCs w:val="20"/>
              </w:rPr>
              <w:t>0) begins to exist until it exists in full</w:t>
            </w:r>
          </w:p>
        </w:tc>
        <w:tc>
          <w:tcPr>
            <w:tcW w:w="4608" w:type="dxa"/>
          </w:tcPr>
          <w:p w14:paraId="08BF2F49" w14:textId="77777777" w:rsidR="0029278E" w:rsidRPr="0029278E" w:rsidRDefault="0029278E" w:rsidP="00D814ED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29278E">
              <w:rPr>
                <w:rFonts w:ascii="Cambria" w:hAnsi="Cambria"/>
                <w:sz w:val="20"/>
                <w:szCs w:val="20"/>
              </w:rPr>
              <w:t>The writing process begins earlier than the time at which the sentence begins to exist: the author starts the process with getting a pen and paper, any preparation necessary (“clicking” the pen), etc.</w:t>
            </w:r>
          </w:p>
        </w:tc>
      </w:tr>
    </w:tbl>
    <w:p w14:paraId="03E54998" w14:textId="524002EE" w:rsidR="001C16DC" w:rsidRPr="001C16DC" w:rsidRDefault="001C16DC" w:rsidP="001C16DC">
      <w:pPr>
        <w:spacing w:line="240" w:lineRule="auto"/>
        <w:rPr>
          <w:rFonts w:ascii="Cambria" w:hAnsi="Cambria"/>
          <w:sz w:val="22"/>
          <w:szCs w:val="22"/>
        </w:rPr>
      </w:pPr>
      <w:r w:rsidRPr="001C16DC">
        <w:rPr>
          <w:rFonts w:ascii="Cambria" w:hAnsi="Cambria"/>
          <w:b/>
          <w:sz w:val="22"/>
          <w:szCs w:val="22"/>
        </w:rPr>
        <w:br w:type="page"/>
        <w:t xml:space="preserve">Table </w:t>
      </w:r>
      <w:r w:rsidR="00E05060">
        <w:rPr>
          <w:rFonts w:ascii="Cambria" w:hAnsi="Cambria"/>
          <w:b/>
          <w:sz w:val="22"/>
          <w:szCs w:val="22"/>
        </w:rPr>
        <w:t>S3</w:t>
      </w:r>
      <w:r w:rsidRPr="001C16DC">
        <w:rPr>
          <w:rFonts w:ascii="Cambria" w:hAnsi="Cambria"/>
          <w:b/>
          <w:sz w:val="22"/>
          <w:szCs w:val="22"/>
        </w:rPr>
        <w:t>.</w:t>
      </w:r>
      <w:r w:rsidRPr="001C16DC">
        <w:rPr>
          <w:rFonts w:ascii="Cambria" w:hAnsi="Cambria"/>
          <w:sz w:val="22"/>
          <w:szCs w:val="22"/>
        </w:rPr>
        <w:t xml:space="preserve">  Relationships</w:t>
      </w:r>
      <w:r w:rsidR="00160699">
        <w:rPr>
          <w:rFonts w:ascii="Cambria" w:hAnsi="Cambria"/>
          <w:sz w:val="22"/>
          <w:szCs w:val="22"/>
        </w:rPr>
        <w:t xml:space="preserve"> among particulars in Scenario 2: </w:t>
      </w:r>
      <w:r w:rsidR="00160699">
        <w:rPr>
          <w:rFonts w:ascii="Cambria" w:hAnsi="Cambria"/>
          <w:i/>
          <w:sz w:val="22"/>
          <w:szCs w:val="22"/>
        </w:rPr>
        <w:t xml:space="preserve">Second </w:t>
      </w:r>
      <w:r w:rsidR="005B0672">
        <w:rPr>
          <w:rFonts w:ascii="Cambria" w:hAnsi="Cambria"/>
          <w:i/>
          <w:sz w:val="22"/>
          <w:szCs w:val="22"/>
        </w:rPr>
        <w:t xml:space="preserve">correct </w:t>
      </w:r>
      <w:r w:rsidR="00160699">
        <w:rPr>
          <w:rFonts w:ascii="Cambria" w:hAnsi="Cambria"/>
          <w:i/>
          <w:sz w:val="22"/>
          <w:szCs w:val="22"/>
        </w:rPr>
        <w:t>diagnosis</w:t>
      </w:r>
      <w:r w:rsidRPr="001C16DC">
        <w:rPr>
          <w:rFonts w:ascii="Cambria" w:hAnsi="Cambria"/>
          <w:sz w:val="22"/>
          <w:szCs w:val="22"/>
        </w:rPr>
        <w:t>.</w:t>
      </w:r>
    </w:p>
    <w:p w14:paraId="0E451008" w14:textId="77777777" w:rsidR="001C16DC" w:rsidRPr="001C16DC" w:rsidRDefault="001C16DC" w:rsidP="001C16DC">
      <w:pPr>
        <w:spacing w:line="240" w:lineRule="auto"/>
        <w:rPr>
          <w:rFonts w:ascii="Cambria" w:hAnsi="Cambria"/>
          <w:sz w:val="22"/>
          <w:szCs w:val="2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620"/>
        <w:gridCol w:w="810"/>
        <w:gridCol w:w="990"/>
        <w:gridCol w:w="5220"/>
      </w:tblGrid>
      <w:tr w:rsidR="00D814ED" w:rsidRPr="00D814ED" w14:paraId="6E514BE9" w14:textId="77777777" w:rsidTr="00002751">
        <w:tc>
          <w:tcPr>
            <w:tcW w:w="810" w:type="dxa"/>
          </w:tcPr>
          <w:p w14:paraId="071DFE6C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bookmarkStart w:id="0" w:name="_GoBack"/>
            <w:r w:rsidRPr="00D814ED">
              <w:rPr>
                <w:rFonts w:ascii="Cambria" w:hAnsi="Cambria"/>
                <w:b/>
                <w:sz w:val="20"/>
                <w:szCs w:val="22"/>
              </w:rPr>
              <w:t>IUI</w:t>
            </w:r>
          </w:p>
        </w:tc>
        <w:tc>
          <w:tcPr>
            <w:tcW w:w="1620" w:type="dxa"/>
          </w:tcPr>
          <w:p w14:paraId="24B62BB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Relation</w:t>
            </w:r>
          </w:p>
        </w:tc>
        <w:tc>
          <w:tcPr>
            <w:tcW w:w="810" w:type="dxa"/>
          </w:tcPr>
          <w:p w14:paraId="7BB79A9D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IUI</w:t>
            </w:r>
          </w:p>
        </w:tc>
        <w:tc>
          <w:tcPr>
            <w:tcW w:w="990" w:type="dxa"/>
          </w:tcPr>
          <w:p w14:paraId="4DB36D6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When relation holds in reality</w:t>
            </w:r>
          </w:p>
        </w:tc>
        <w:tc>
          <w:tcPr>
            <w:tcW w:w="5220" w:type="dxa"/>
          </w:tcPr>
          <w:p w14:paraId="7778BF5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Notes</w:t>
            </w:r>
          </w:p>
        </w:tc>
      </w:tr>
      <w:tr w:rsidR="00D814ED" w:rsidRPr="00D814ED" w14:paraId="0BC52C07" w14:textId="77777777" w:rsidTr="00002751">
        <w:tc>
          <w:tcPr>
            <w:tcW w:w="810" w:type="dxa"/>
          </w:tcPr>
          <w:p w14:paraId="3FDA2BA5" w14:textId="631E87FE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4</w:t>
            </w:r>
          </w:p>
        </w:tc>
        <w:tc>
          <w:tcPr>
            <w:tcW w:w="1620" w:type="dxa"/>
          </w:tcPr>
          <w:p w14:paraId="2FC9387A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part of</w:t>
            </w:r>
          </w:p>
        </w:tc>
        <w:tc>
          <w:tcPr>
            <w:tcW w:w="810" w:type="dxa"/>
          </w:tcPr>
          <w:p w14:paraId="55886A80" w14:textId="0100A318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990" w:type="dxa"/>
          </w:tcPr>
          <w:p w14:paraId="6D6A8398" w14:textId="107D88F8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4</w:t>
            </w:r>
          </w:p>
        </w:tc>
        <w:tc>
          <w:tcPr>
            <w:tcW w:w="5220" w:type="dxa"/>
          </w:tcPr>
          <w:p w14:paraId="2A4748EB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D814ED" w:rsidRPr="00D814ED" w14:paraId="335B6356" w14:textId="77777777" w:rsidTr="00002751">
        <w:tc>
          <w:tcPr>
            <w:tcW w:w="810" w:type="dxa"/>
          </w:tcPr>
          <w:p w14:paraId="2636B50D" w14:textId="255416AF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5</w:t>
            </w:r>
          </w:p>
        </w:tc>
        <w:tc>
          <w:tcPr>
            <w:tcW w:w="1620" w:type="dxa"/>
          </w:tcPr>
          <w:p w14:paraId="1BCC8985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part of</w:t>
            </w:r>
          </w:p>
        </w:tc>
        <w:tc>
          <w:tcPr>
            <w:tcW w:w="810" w:type="dxa"/>
          </w:tcPr>
          <w:p w14:paraId="10C465F9" w14:textId="3AFC3CE1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4</w:t>
            </w:r>
          </w:p>
        </w:tc>
        <w:tc>
          <w:tcPr>
            <w:tcW w:w="990" w:type="dxa"/>
          </w:tcPr>
          <w:p w14:paraId="5988ACD7" w14:textId="0470141F" w:rsidR="00D814ED" w:rsidRPr="00D814ED" w:rsidRDefault="00D814ED" w:rsidP="006C75C3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25</w:t>
            </w:r>
          </w:p>
        </w:tc>
        <w:tc>
          <w:tcPr>
            <w:tcW w:w="5220" w:type="dxa"/>
          </w:tcPr>
          <w:p w14:paraId="6B5B9476" w14:textId="4583A010" w:rsidR="00D814ED" w:rsidRPr="00D814ED" w:rsidRDefault="00D814ED" w:rsidP="00DB4DD2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 xml:space="preserve">All anatomical components in which the cognitive representation inheres are part of the cognitive system.  We do not assume the cognitive system is limited to the </w:t>
            </w:r>
            <w:r w:rsidR="00DB4DD2">
              <w:rPr>
                <w:rFonts w:ascii="Cambria" w:hAnsi="Cambria"/>
                <w:sz w:val="20"/>
                <w:szCs w:val="22"/>
              </w:rPr>
              <w:t>brain or even nervous system</w:t>
            </w:r>
            <w:r w:rsidRPr="00D814ED">
              <w:rPr>
                <w:rFonts w:ascii="Cambria" w:hAnsi="Cambria"/>
                <w:sz w:val="20"/>
                <w:szCs w:val="22"/>
              </w:rPr>
              <w:t>.</w:t>
            </w:r>
          </w:p>
        </w:tc>
      </w:tr>
      <w:tr w:rsidR="00D814ED" w:rsidRPr="00D814ED" w14:paraId="5D40F15D" w14:textId="77777777" w:rsidTr="00002751">
        <w:tc>
          <w:tcPr>
            <w:tcW w:w="810" w:type="dxa"/>
          </w:tcPr>
          <w:p w14:paraId="53FEA672" w14:textId="25F6F14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6B4432D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inheres in</w:t>
            </w:r>
          </w:p>
        </w:tc>
        <w:tc>
          <w:tcPr>
            <w:tcW w:w="810" w:type="dxa"/>
          </w:tcPr>
          <w:p w14:paraId="325F2A43" w14:textId="1F48D0C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 w:rsidR="001549CB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5</w:t>
            </w:r>
          </w:p>
        </w:tc>
        <w:tc>
          <w:tcPr>
            <w:tcW w:w="990" w:type="dxa"/>
          </w:tcPr>
          <w:p w14:paraId="07E5232F" w14:textId="5AC08B6E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7C83898D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D814ED" w:rsidRPr="00D814ED" w14:paraId="0F3EF25A" w14:textId="77777777" w:rsidTr="00002751">
        <w:tc>
          <w:tcPr>
            <w:tcW w:w="810" w:type="dxa"/>
          </w:tcPr>
          <w:p w14:paraId="1F786277" w14:textId="0D92B8AA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 xml:space="preserve">6 </w:t>
            </w:r>
          </w:p>
        </w:tc>
        <w:tc>
          <w:tcPr>
            <w:tcW w:w="1620" w:type="dxa"/>
          </w:tcPr>
          <w:p w14:paraId="6866355C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341A0B3A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IUI-7</w:t>
            </w:r>
          </w:p>
        </w:tc>
        <w:tc>
          <w:tcPr>
            <w:tcW w:w="990" w:type="dxa"/>
          </w:tcPr>
          <w:p w14:paraId="662D6CC3" w14:textId="27B1D9B4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77B2539F" w14:textId="0DA5593F" w:rsidR="00D814ED" w:rsidRPr="00D814ED" w:rsidRDefault="00D814ED" w:rsidP="00441662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The cognitive representation stands in aboutness to IUI-7 as long as it exists</w:t>
            </w:r>
          </w:p>
        </w:tc>
      </w:tr>
      <w:tr w:rsidR="00D814ED" w:rsidRPr="00D814ED" w14:paraId="477B8916" w14:textId="77777777" w:rsidTr="00002751">
        <w:tc>
          <w:tcPr>
            <w:tcW w:w="810" w:type="dxa"/>
          </w:tcPr>
          <w:p w14:paraId="7CE41645" w14:textId="50C30801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55376261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48C61342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IUI-1</w:t>
            </w:r>
          </w:p>
        </w:tc>
        <w:tc>
          <w:tcPr>
            <w:tcW w:w="990" w:type="dxa"/>
          </w:tcPr>
          <w:p w14:paraId="71DD93A7" w14:textId="6CF9A7B4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5C76753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It is also about Mr. Jones</w:t>
            </w:r>
          </w:p>
        </w:tc>
      </w:tr>
      <w:tr w:rsidR="00D814ED" w:rsidRPr="00D814ED" w14:paraId="5923F451" w14:textId="77777777" w:rsidTr="00002751">
        <w:tc>
          <w:tcPr>
            <w:tcW w:w="810" w:type="dxa"/>
          </w:tcPr>
          <w:p w14:paraId="6946DD1E" w14:textId="6516FBAF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5E9DB6B7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63777D1E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IUI-2</w:t>
            </w:r>
          </w:p>
        </w:tc>
        <w:tc>
          <w:tcPr>
            <w:tcW w:w="990" w:type="dxa"/>
          </w:tcPr>
          <w:p w14:paraId="7A07E4A7" w14:textId="40A39203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1BDBC512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And about Mr. Jones’ disease</w:t>
            </w:r>
          </w:p>
        </w:tc>
      </w:tr>
      <w:tr w:rsidR="00D814ED" w:rsidRPr="00D814ED" w14:paraId="4F3541F2" w14:textId="77777777" w:rsidTr="00002751">
        <w:tc>
          <w:tcPr>
            <w:tcW w:w="810" w:type="dxa"/>
          </w:tcPr>
          <w:p w14:paraId="5360AAC8" w14:textId="3DC242F0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3E848EF3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7E6CE760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UUI-1</w:t>
            </w:r>
          </w:p>
        </w:tc>
        <w:tc>
          <w:tcPr>
            <w:tcW w:w="990" w:type="dxa"/>
          </w:tcPr>
          <w:p w14:paraId="32F54BAE" w14:textId="5E254D09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07652B28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And about Type 2 diabetes mellitus</w:t>
            </w:r>
          </w:p>
        </w:tc>
      </w:tr>
      <w:tr w:rsidR="00D814ED" w:rsidRPr="00D814ED" w14:paraId="4498B265" w14:textId="77777777" w:rsidTr="00002751">
        <w:tc>
          <w:tcPr>
            <w:tcW w:w="810" w:type="dxa"/>
          </w:tcPr>
          <w:p w14:paraId="492FC565" w14:textId="608ECD46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48B47D6C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concretizes</w:t>
            </w:r>
          </w:p>
        </w:tc>
        <w:tc>
          <w:tcPr>
            <w:tcW w:w="810" w:type="dxa"/>
          </w:tcPr>
          <w:p w14:paraId="4F3C67E2" w14:textId="477DDE8C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 w:rsidR="001549CB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990" w:type="dxa"/>
          </w:tcPr>
          <w:p w14:paraId="5B6A2629" w14:textId="58094B34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1246E3AA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It also concretizes the diagnosis</w:t>
            </w:r>
          </w:p>
        </w:tc>
      </w:tr>
      <w:tr w:rsidR="00D814ED" w:rsidRPr="00D814ED" w14:paraId="691BCB9E" w14:textId="77777777" w:rsidTr="00002751">
        <w:tc>
          <w:tcPr>
            <w:tcW w:w="810" w:type="dxa"/>
          </w:tcPr>
          <w:p w14:paraId="3100AB07" w14:textId="1B4F8918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01ADF953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inheres in</w:t>
            </w:r>
          </w:p>
        </w:tc>
        <w:tc>
          <w:tcPr>
            <w:tcW w:w="810" w:type="dxa"/>
          </w:tcPr>
          <w:p w14:paraId="0A428719" w14:textId="42CF778D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 w:rsidR="001549CB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9</w:t>
            </w:r>
          </w:p>
        </w:tc>
        <w:tc>
          <w:tcPr>
            <w:tcW w:w="990" w:type="dxa"/>
          </w:tcPr>
          <w:p w14:paraId="3545886D" w14:textId="7796EA2C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at t</w:t>
            </w:r>
            <w:r w:rsidR="006C75C3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9</w:t>
            </w:r>
          </w:p>
        </w:tc>
        <w:tc>
          <w:tcPr>
            <w:tcW w:w="5220" w:type="dxa"/>
          </w:tcPr>
          <w:p w14:paraId="478F8CDD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The IQE inheres in the sentence on paper</w:t>
            </w:r>
          </w:p>
        </w:tc>
      </w:tr>
      <w:tr w:rsidR="00D814ED" w:rsidRPr="00D814ED" w14:paraId="0A9E6C64" w14:textId="77777777" w:rsidTr="00002751">
        <w:tc>
          <w:tcPr>
            <w:tcW w:w="810" w:type="dxa"/>
          </w:tcPr>
          <w:p w14:paraId="6A5F5FF0" w14:textId="3BD11D7C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67F05779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0A589C45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IUI-7</w:t>
            </w:r>
          </w:p>
        </w:tc>
        <w:tc>
          <w:tcPr>
            <w:tcW w:w="990" w:type="dxa"/>
          </w:tcPr>
          <w:p w14:paraId="046FB858" w14:textId="3C9AFC4C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4CFFC110" w14:textId="468E08F6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The IQE stands in aboutness to IUI-7</w:t>
            </w:r>
          </w:p>
        </w:tc>
      </w:tr>
      <w:tr w:rsidR="00D814ED" w:rsidRPr="00D814ED" w14:paraId="7FED1F15" w14:textId="77777777" w:rsidTr="00002751">
        <w:tc>
          <w:tcPr>
            <w:tcW w:w="810" w:type="dxa"/>
          </w:tcPr>
          <w:p w14:paraId="7AB0E92E" w14:textId="19CC1091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</w:t>
            </w:r>
            <w:r>
              <w:rPr>
                <w:rFonts w:ascii="Cambria" w:hAnsi="Cambria"/>
                <w:sz w:val="20"/>
                <w:szCs w:val="22"/>
              </w:rPr>
              <w:t>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6FEE7408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29E64D85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IUI-1</w:t>
            </w:r>
          </w:p>
        </w:tc>
        <w:tc>
          <w:tcPr>
            <w:tcW w:w="990" w:type="dxa"/>
          </w:tcPr>
          <w:p w14:paraId="0338AF7A" w14:textId="0F0FB0F9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30B08BBA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It is also about Mr. Jones</w:t>
            </w:r>
          </w:p>
        </w:tc>
      </w:tr>
      <w:tr w:rsidR="00D814ED" w:rsidRPr="00D814ED" w14:paraId="16CCED98" w14:textId="77777777" w:rsidTr="00002751">
        <w:tc>
          <w:tcPr>
            <w:tcW w:w="810" w:type="dxa"/>
          </w:tcPr>
          <w:p w14:paraId="46CE6888" w14:textId="6C7849C2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778D05A4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781E556B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IUI-2</w:t>
            </w:r>
          </w:p>
        </w:tc>
        <w:tc>
          <w:tcPr>
            <w:tcW w:w="990" w:type="dxa"/>
          </w:tcPr>
          <w:p w14:paraId="3EBFD8FD" w14:textId="230312FF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60F44A22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And about Mr. Jones’ disease</w:t>
            </w:r>
          </w:p>
        </w:tc>
      </w:tr>
      <w:tr w:rsidR="00D814ED" w:rsidRPr="00D814ED" w14:paraId="182B0565" w14:textId="77777777" w:rsidTr="00002751">
        <w:tc>
          <w:tcPr>
            <w:tcW w:w="810" w:type="dxa"/>
          </w:tcPr>
          <w:p w14:paraId="4EC3A1A1" w14:textId="2718A3E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421C8D48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about</w:t>
            </w:r>
          </w:p>
        </w:tc>
        <w:tc>
          <w:tcPr>
            <w:tcW w:w="810" w:type="dxa"/>
          </w:tcPr>
          <w:p w14:paraId="5C64DD4B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UUI-1</w:t>
            </w:r>
          </w:p>
        </w:tc>
        <w:tc>
          <w:tcPr>
            <w:tcW w:w="990" w:type="dxa"/>
          </w:tcPr>
          <w:p w14:paraId="248A73CB" w14:textId="3CB43A8D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6E88FBA6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And about Type 2 diabetes mellitus</w:t>
            </w:r>
          </w:p>
        </w:tc>
      </w:tr>
      <w:tr w:rsidR="00D814ED" w:rsidRPr="00D814ED" w14:paraId="4339D717" w14:textId="77777777" w:rsidTr="00002751">
        <w:tc>
          <w:tcPr>
            <w:tcW w:w="810" w:type="dxa"/>
          </w:tcPr>
          <w:p w14:paraId="457AB15B" w14:textId="77566BB6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0EF2DCB5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concretizes</w:t>
            </w:r>
          </w:p>
        </w:tc>
        <w:tc>
          <w:tcPr>
            <w:tcW w:w="810" w:type="dxa"/>
          </w:tcPr>
          <w:p w14:paraId="1609CDC5" w14:textId="2C2A3C22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 w:rsidR="001549CB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990" w:type="dxa"/>
          </w:tcPr>
          <w:p w14:paraId="1127B305" w14:textId="7E08C6FC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3B0B7FFD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D814ED" w:rsidRPr="00D814ED" w14:paraId="2DC5B0B7" w14:textId="77777777" w:rsidTr="00002751">
        <w:tc>
          <w:tcPr>
            <w:tcW w:w="810" w:type="dxa"/>
          </w:tcPr>
          <w:p w14:paraId="1CFD6074" w14:textId="44FAEEF0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3F6A067A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is conformant to</w:t>
            </w:r>
          </w:p>
        </w:tc>
        <w:tc>
          <w:tcPr>
            <w:tcW w:w="810" w:type="dxa"/>
          </w:tcPr>
          <w:p w14:paraId="618742F8" w14:textId="6B51AB02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 w:rsidR="001549CB"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990" w:type="dxa"/>
          </w:tcPr>
          <w:p w14:paraId="1D211D55" w14:textId="2CC679B5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5220" w:type="dxa"/>
          </w:tcPr>
          <w:p w14:paraId="1A6EF550" w14:textId="72AD1A0C" w:rsidR="00D814ED" w:rsidRPr="00D814ED" w:rsidRDefault="00DB4DD2" w:rsidP="00DB4DD2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The IQE i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s conformant to the cognitive representation as long as it exists</w:t>
            </w:r>
          </w:p>
        </w:tc>
      </w:tr>
      <w:tr w:rsidR="00D814ED" w:rsidRPr="00D814ED" w14:paraId="2F2F3D06" w14:textId="77777777" w:rsidTr="00002751">
        <w:tc>
          <w:tcPr>
            <w:tcW w:w="810" w:type="dxa"/>
          </w:tcPr>
          <w:p w14:paraId="14192E3B" w14:textId="69AD3D3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1620" w:type="dxa"/>
          </w:tcPr>
          <w:p w14:paraId="250F476E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agent in</w:t>
            </w:r>
          </w:p>
        </w:tc>
        <w:tc>
          <w:tcPr>
            <w:tcW w:w="810" w:type="dxa"/>
          </w:tcPr>
          <w:p w14:paraId="56341110" w14:textId="5C9B5ADB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990" w:type="dxa"/>
          </w:tcPr>
          <w:p w14:paraId="267F854E" w14:textId="5C8FBCFC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5220" w:type="dxa"/>
          </w:tcPr>
          <w:p w14:paraId="0529C9CC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</w:p>
        </w:tc>
      </w:tr>
      <w:tr w:rsidR="00D814ED" w:rsidRPr="00D814ED" w14:paraId="764D54EF" w14:textId="77777777" w:rsidTr="00002751">
        <w:tc>
          <w:tcPr>
            <w:tcW w:w="810" w:type="dxa"/>
          </w:tcPr>
          <w:p w14:paraId="4244E592" w14:textId="6F824CB1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2</w:t>
            </w:r>
          </w:p>
        </w:tc>
        <w:tc>
          <w:tcPr>
            <w:tcW w:w="1620" w:type="dxa"/>
          </w:tcPr>
          <w:p w14:paraId="6827FC6F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input into</w:t>
            </w:r>
          </w:p>
        </w:tc>
        <w:tc>
          <w:tcPr>
            <w:tcW w:w="810" w:type="dxa"/>
          </w:tcPr>
          <w:p w14:paraId="610C2BD4" w14:textId="517ACCF7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990" w:type="dxa"/>
          </w:tcPr>
          <w:p w14:paraId="2AFA475F" w14:textId="12757E78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5</w:t>
            </w:r>
          </w:p>
        </w:tc>
        <w:tc>
          <w:tcPr>
            <w:tcW w:w="5220" w:type="dxa"/>
          </w:tcPr>
          <w:p w14:paraId="5E90DBCE" w14:textId="081893B4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C</w:t>
            </w:r>
            <w:r w:rsidR="006C75C3">
              <w:rPr>
                <w:rFonts w:ascii="Cambria" w:hAnsi="Cambria"/>
                <w:sz w:val="20"/>
                <w:szCs w:val="22"/>
              </w:rPr>
              <w:t>linical picture input into IUI-3</w:t>
            </w:r>
            <w:r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</w:tr>
      <w:tr w:rsidR="00D814ED" w:rsidRPr="00D814ED" w14:paraId="3C792AB8" w14:textId="77777777" w:rsidTr="00002751">
        <w:tc>
          <w:tcPr>
            <w:tcW w:w="810" w:type="dxa"/>
          </w:tcPr>
          <w:p w14:paraId="0FC052A2" w14:textId="74C50C2C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602EC36D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output of</w:t>
            </w:r>
          </w:p>
        </w:tc>
        <w:tc>
          <w:tcPr>
            <w:tcW w:w="810" w:type="dxa"/>
          </w:tcPr>
          <w:p w14:paraId="7D0C1DBC" w14:textId="398CE248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990" w:type="dxa"/>
          </w:tcPr>
          <w:p w14:paraId="54DDC023" w14:textId="4520FAEC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5A20EEE2" w14:textId="089EA113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 xml:space="preserve">Cognitive </w:t>
            </w:r>
            <w:r w:rsidR="006C75C3">
              <w:rPr>
                <w:rFonts w:ascii="Cambria" w:hAnsi="Cambria"/>
                <w:sz w:val="20"/>
                <w:szCs w:val="22"/>
              </w:rPr>
              <w:t>representation output from IUI-3</w:t>
            </w:r>
            <w:r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</w:tr>
      <w:tr w:rsidR="00D814ED" w:rsidRPr="00D814ED" w14:paraId="46B50E37" w14:textId="77777777" w:rsidTr="00002751">
        <w:tc>
          <w:tcPr>
            <w:tcW w:w="810" w:type="dxa"/>
          </w:tcPr>
          <w:p w14:paraId="0F68ADC9" w14:textId="4670E726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1620" w:type="dxa"/>
          </w:tcPr>
          <w:p w14:paraId="3DDFC2CC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 xml:space="preserve">output of </w:t>
            </w:r>
          </w:p>
        </w:tc>
        <w:tc>
          <w:tcPr>
            <w:tcW w:w="810" w:type="dxa"/>
          </w:tcPr>
          <w:p w14:paraId="4C40F096" w14:textId="427053F8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  <w:tc>
          <w:tcPr>
            <w:tcW w:w="990" w:type="dxa"/>
          </w:tcPr>
          <w:p w14:paraId="725A9A95" w14:textId="487B0742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5220" w:type="dxa"/>
          </w:tcPr>
          <w:p w14:paraId="18E93C25" w14:textId="3F8AF90E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Both the diagnosis and its conc</w:t>
            </w:r>
            <w:r w:rsidR="006C75C3">
              <w:rPr>
                <w:rFonts w:ascii="Cambria" w:hAnsi="Cambria"/>
                <w:sz w:val="20"/>
                <w:szCs w:val="22"/>
              </w:rPr>
              <w:t>retization are outputs of  IUI-3</w:t>
            </w:r>
            <w:r w:rsidRPr="00D814ED">
              <w:rPr>
                <w:rFonts w:ascii="Cambria" w:hAnsi="Cambria"/>
                <w:sz w:val="20"/>
                <w:szCs w:val="22"/>
              </w:rPr>
              <w:t>1</w:t>
            </w:r>
          </w:p>
        </w:tc>
      </w:tr>
      <w:tr w:rsidR="00D814ED" w:rsidRPr="00D814ED" w14:paraId="44080FFE" w14:textId="77777777" w:rsidTr="00002751">
        <w:tc>
          <w:tcPr>
            <w:tcW w:w="810" w:type="dxa"/>
          </w:tcPr>
          <w:p w14:paraId="2AEF255B" w14:textId="74607DAF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1620" w:type="dxa"/>
          </w:tcPr>
          <w:p w14:paraId="3378D193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input into</w:t>
            </w:r>
          </w:p>
        </w:tc>
        <w:tc>
          <w:tcPr>
            <w:tcW w:w="810" w:type="dxa"/>
          </w:tcPr>
          <w:p w14:paraId="3D0CD31D" w14:textId="6C03F2FA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990" w:type="dxa"/>
          </w:tcPr>
          <w:p w14:paraId="300BC9CA" w14:textId="460A0513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7</w:t>
            </w:r>
          </w:p>
        </w:tc>
        <w:tc>
          <w:tcPr>
            <w:tcW w:w="5220" w:type="dxa"/>
          </w:tcPr>
          <w:p w14:paraId="4F492472" w14:textId="5F7EF432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 xml:space="preserve">The diagnosis is input into </w:t>
            </w:r>
            <w:r w:rsidR="00DB4DD2">
              <w:rPr>
                <w:rFonts w:ascii="Cambria" w:hAnsi="Cambria"/>
                <w:sz w:val="20"/>
                <w:szCs w:val="22"/>
              </w:rPr>
              <w:t xml:space="preserve">the </w:t>
            </w:r>
            <w:r w:rsidRPr="00D814ED">
              <w:rPr>
                <w:rFonts w:ascii="Cambria" w:hAnsi="Cambria"/>
                <w:sz w:val="20"/>
                <w:szCs w:val="22"/>
              </w:rPr>
              <w:t xml:space="preserve">writing </w:t>
            </w:r>
            <w:r w:rsidR="00DB4DD2">
              <w:rPr>
                <w:rFonts w:ascii="Cambria" w:hAnsi="Cambria"/>
                <w:sz w:val="20"/>
                <w:szCs w:val="22"/>
              </w:rPr>
              <w:t>process</w:t>
            </w:r>
          </w:p>
        </w:tc>
      </w:tr>
      <w:tr w:rsidR="00D814ED" w:rsidRPr="00D814ED" w14:paraId="0BCCC3DB" w14:textId="77777777" w:rsidTr="00002751">
        <w:tc>
          <w:tcPr>
            <w:tcW w:w="810" w:type="dxa"/>
          </w:tcPr>
          <w:p w14:paraId="045A504E" w14:textId="34C29D7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IUI-</w:t>
            </w:r>
            <w:r>
              <w:rPr>
                <w:rFonts w:ascii="Cambria" w:hAnsi="Cambria"/>
                <w:sz w:val="20"/>
                <w:szCs w:val="22"/>
              </w:rPr>
              <w:t>2</w:t>
            </w:r>
            <w:r w:rsidRPr="00D814ED">
              <w:rPr>
                <w:rFonts w:ascii="Cambria" w:hAnsi="Cambria"/>
                <w:sz w:val="20"/>
                <w:szCs w:val="22"/>
              </w:rPr>
              <w:t>6</w:t>
            </w:r>
          </w:p>
        </w:tc>
        <w:tc>
          <w:tcPr>
            <w:tcW w:w="1620" w:type="dxa"/>
          </w:tcPr>
          <w:p w14:paraId="17C76953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input into</w:t>
            </w:r>
          </w:p>
        </w:tc>
        <w:tc>
          <w:tcPr>
            <w:tcW w:w="810" w:type="dxa"/>
          </w:tcPr>
          <w:p w14:paraId="58205657" w14:textId="40ECB3A2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990" w:type="dxa"/>
          </w:tcPr>
          <w:p w14:paraId="6B9D227E" w14:textId="63B537BC" w:rsidR="00D814ED" w:rsidRPr="00D814ED" w:rsidRDefault="006C75C3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8</w:t>
            </w:r>
          </w:p>
        </w:tc>
        <w:tc>
          <w:tcPr>
            <w:tcW w:w="5220" w:type="dxa"/>
          </w:tcPr>
          <w:p w14:paraId="06412247" w14:textId="3791C131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As is the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 xml:space="preserve"> cognitive representation</w:t>
            </w:r>
          </w:p>
        </w:tc>
      </w:tr>
      <w:tr w:rsidR="00D814ED" w:rsidRPr="00D814ED" w14:paraId="73CB8E49" w14:textId="77777777" w:rsidTr="00002751">
        <w:tc>
          <w:tcPr>
            <w:tcW w:w="810" w:type="dxa"/>
          </w:tcPr>
          <w:p w14:paraId="498255AA" w14:textId="34C4E7E2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Pr="00D814ED">
              <w:rPr>
                <w:rFonts w:ascii="Cambria" w:hAnsi="Cambria"/>
                <w:sz w:val="20"/>
                <w:szCs w:val="22"/>
              </w:rPr>
              <w:t>0</w:t>
            </w:r>
          </w:p>
        </w:tc>
        <w:tc>
          <w:tcPr>
            <w:tcW w:w="1620" w:type="dxa"/>
          </w:tcPr>
          <w:p w14:paraId="281D41F0" w14:textId="77777777" w:rsidR="00D814ED" w:rsidRPr="00D814ED" w:rsidRDefault="00D814ED" w:rsidP="00D814ED">
            <w:pPr>
              <w:spacing w:line="240" w:lineRule="auto"/>
              <w:rPr>
                <w:rFonts w:ascii="Cambria" w:hAnsi="Cambria"/>
                <w:b/>
                <w:sz w:val="20"/>
                <w:szCs w:val="22"/>
              </w:rPr>
            </w:pPr>
            <w:r w:rsidRPr="00D814ED">
              <w:rPr>
                <w:rFonts w:ascii="Cambria" w:hAnsi="Cambria"/>
                <w:b/>
                <w:sz w:val="20"/>
                <w:szCs w:val="22"/>
              </w:rPr>
              <w:t>output of</w:t>
            </w:r>
          </w:p>
        </w:tc>
        <w:tc>
          <w:tcPr>
            <w:tcW w:w="810" w:type="dxa"/>
          </w:tcPr>
          <w:p w14:paraId="05774C3D" w14:textId="41F33C82" w:rsidR="00D814ED" w:rsidRPr="00D814ED" w:rsidRDefault="00DB4DD2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IUI-3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3</w:t>
            </w:r>
          </w:p>
        </w:tc>
        <w:tc>
          <w:tcPr>
            <w:tcW w:w="990" w:type="dxa"/>
          </w:tcPr>
          <w:p w14:paraId="4CB46E8A" w14:textId="69DB8BBC" w:rsidR="00D814ED" w:rsidRPr="00D814ED" w:rsidRDefault="00160699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>
              <w:rPr>
                <w:rFonts w:ascii="Cambria" w:hAnsi="Cambria"/>
                <w:sz w:val="20"/>
                <w:szCs w:val="22"/>
              </w:rPr>
              <w:t>at t3</w:t>
            </w:r>
            <w:r w:rsidR="00D814ED" w:rsidRPr="00D814ED">
              <w:rPr>
                <w:rFonts w:ascii="Cambria" w:hAnsi="Cambria"/>
                <w:sz w:val="20"/>
                <w:szCs w:val="22"/>
              </w:rPr>
              <w:t>9</w:t>
            </w:r>
          </w:p>
        </w:tc>
        <w:tc>
          <w:tcPr>
            <w:tcW w:w="5220" w:type="dxa"/>
          </w:tcPr>
          <w:p w14:paraId="41018EAE" w14:textId="2A86D415" w:rsidR="00D814ED" w:rsidRPr="00D814ED" w:rsidRDefault="00D814ED" w:rsidP="00D814ED">
            <w:pPr>
              <w:spacing w:line="240" w:lineRule="auto"/>
              <w:rPr>
                <w:rFonts w:ascii="Cambria" w:hAnsi="Cambria"/>
                <w:sz w:val="20"/>
                <w:szCs w:val="22"/>
              </w:rPr>
            </w:pPr>
            <w:r w:rsidRPr="00D814ED">
              <w:rPr>
                <w:rFonts w:ascii="Cambria" w:hAnsi="Cambria"/>
                <w:sz w:val="20"/>
                <w:szCs w:val="22"/>
              </w:rPr>
              <w:t>The sentence is output of</w:t>
            </w:r>
            <w:r w:rsidR="00DB4DD2">
              <w:rPr>
                <w:rFonts w:ascii="Cambria" w:hAnsi="Cambria"/>
                <w:sz w:val="20"/>
                <w:szCs w:val="22"/>
              </w:rPr>
              <w:t xml:space="preserve"> the</w:t>
            </w:r>
            <w:r w:rsidRPr="00D814ED">
              <w:rPr>
                <w:rFonts w:ascii="Cambria" w:hAnsi="Cambria"/>
                <w:sz w:val="20"/>
                <w:szCs w:val="22"/>
              </w:rPr>
              <w:t xml:space="preserve"> writing </w:t>
            </w:r>
            <w:r w:rsidR="00DB4DD2">
              <w:rPr>
                <w:rFonts w:ascii="Cambria" w:hAnsi="Cambria"/>
                <w:sz w:val="20"/>
                <w:szCs w:val="22"/>
              </w:rPr>
              <w:t>process</w:t>
            </w:r>
          </w:p>
        </w:tc>
      </w:tr>
      <w:bookmarkEnd w:id="0"/>
    </w:tbl>
    <w:p w14:paraId="54A47E11" w14:textId="77777777" w:rsidR="00EB5E15" w:rsidRPr="001C16DC" w:rsidRDefault="00EB5E15">
      <w:pPr>
        <w:rPr>
          <w:rFonts w:ascii="Cambria" w:hAnsi="Cambria"/>
        </w:rPr>
      </w:pPr>
    </w:p>
    <w:sectPr w:rsidR="00EB5E15" w:rsidRPr="001C16DC" w:rsidSect="001C1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6DC"/>
    <w:rsid w:val="00002751"/>
    <w:rsid w:val="000B27CE"/>
    <w:rsid w:val="001549CB"/>
    <w:rsid w:val="001566DE"/>
    <w:rsid w:val="00160699"/>
    <w:rsid w:val="001C16DC"/>
    <w:rsid w:val="001F7735"/>
    <w:rsid w:val="0029278E"/>
    <w:rsid w:val="003A04F2"/>
    <w:rsid w:val="00441662"/>
    <w:rsid w:val="004632E2"/>
    <w:rsid w:val="00502E2D"/>
    <w:rsid w:val="005B0672"/>
    <w:rsid w:val="006C75C3"/>
    <w:rsid w:val="00786323"/>
    <w:rsid w:val="007C4271"/>
    <w:rsid w:val="00926A5A"/>
    <w:rsid w:val="00A171DF"/>
    <w:rsid w:val="00D814ED"/>
    <w:rsid w:val="00DB4DD2"/>
    <w:rsid w:val="00E05060"/>
    <w:rsid w:val="00E07DEB"/>
    <w:rsid w:val="00EB5E15"/>
    <w:rsid w:val="00FE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234C5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6DC"/>
    <w:pPr>
      <w:spacing w:line="480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16DC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166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662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AE63BA-BEE1-E140-BB32-9F9D0E417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691</Words>
  <Characters>3939</Characters>
  <Application>Microsoft Macintosh Word</Application>
  <DocSecurity>0</DocSecurity>
  <Lines>32</Lines>
  <Paragraphs>9</Paragraphs>
  <ScaleCrop>false</ScaleCrop>
  <Company>University of Florida</Company>
  <LinksUpToDate>false</LinksUpToDate>
  <CharactersWithSpaces>4621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Hogan,William</dc:creator>
  <cp:keywords/>
  <dc:description/>
  <cp:lastModifiedBy>Hogan,William</cp:lastModifiedBy>
  <cp:revision>19</cp:revision>
  <dcterms:created xsi:type="dcterms:W3CDTF">2015-09-20T23:34:00Z</dcterms:created>
  <dcterms:modified xsi:type="dcterms:W3CDTF">2015-09-30T01:16:00Z</dcterms:modified>
</cp:coreProperties>
</file>