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4E" w:rsidRPr="00F81ACA" w:rsidRDefault="00680F4E" w:rsidP="00680F4E">
      <w:pPr>
        <w:spacing w:line="360" w:lineRule="auto"/>
        <w:rPr>
          <w:rFonts w:ascii="Times New Roman" w:hAnsi="Times New Roman" w:cs="Times New Roman"/>
        </w:rPr>
      </w:pPr>
      <w:r w:rsidRPr="00F81ACA">
        <w:rPr>
          <w:rFonts w:ascii="Times New Roman" w:hAnsi="Times New Roman"/>
          <w:b/>
        </w:rPr>
        <w:t>Supplementary methods</w:t>
      </w:r>
    </w:p>
    <w:p w:rsidR="00680F4E" w:rsidRPr="00F81ACA" w:rsidRDefault="00680F4E" w:rsidP="00680F4E">
      <w:pPr>
        <w:spacing w:line="360" w:lineRule="auto"/>
        <w:rPr>
          <w:rFonts w:ascii="Times New Roman" w:hAnsi="Times New Roman" w:cs="Times New Roman"/>
        </w:rPr>
      </w:pPr>
      <w:r w:rsidRPr="00F81ACA">
        <w:rPr>
          <w:rFonts w:ascii="Times New Roman" w:hAnsi="Times New Roman" w:cs="Times New Roman"/>
          <w:b/>
        </w:rPr>
        <w:t>7-AAD-flow cytometry analysis</w:t>
      </w:r>
    </w:p>
    <w:p w:rsidR="00680F4E" w:rsidRPr="00F81ACA" w:rsidRDefault="00680F4E" w:rsidP="00680F4E">
      <w:pPr>
        <w:spacing w:line="360" w:lineRule="auto"/>
        <w:rPr>
          <w:rFonts w:ascii="Times New Roman" w:hAnsi="Times New Roman" w:cs="Times New Roman"/>
        </w:rPr>
      </w:pPr>
    </w:p>
    <w:p w:rsidR="00680F4E" w:rsidRPr="00F81ACA" w:rsidRDefault="00680F4E" w:rsidP="00680F4E">
      <w:pPr>
        <w:tabs>
          <w:tab w:val="left" w:pos="2127"/>
        </w:tabs>
        <w:spacing w:after="120" w:line="360" w:lineRule="auto"/>
        <w:ind w:firstLine="708"/>
        <w:rPr>
          <w:rFonts w:ascii="Times New Roman" w:hAnsi="Times New Roman" w:cs="Times New Roman"/>
        </w:rPr>
      </w:pPr>
      <w:r w:rsidRPr="00F81ACA">
        <w:rPr>
          <w:rFonts w:ascii="Times New Roman" w:hAnsi="Times New Roman" w:cs="Times New Roman"/>
        </w:rPr>
        <w:t>For 7-AAD viability analyses, cells were grown in growth medium and treated for 24 h with DMSO or Nilotinib. Then, myoblasts were washed 3 times with PBS 1X prior to the addition of cell dissociation buffer (0.025% Trypsin-EDTA (0.5 X) (Life technologies, NY, USA) plus (0.5% BSA, 1 mM EDTA, 1 mM EGTA, pH 7.4). Cells were incubated for 15 minutes until they detached from the plate. To evaluate apoptosis 7-AAD was added (1:500) to the detached-cells (1x10</w:t>
      </w:r>
      <w:r w:rsidRPr="00F81ACA">
        <w:rPr>
          <w:rFonts w:ascii="Times New Roman" w:hAnsi="Times New Roman" w:cs="Times New Roman"/>
          <w:vertAlign w:val="superscript"/>
        </w:rPr>
        <w:t xml:space="preserve">6 </w:t>
      </w:r>
      <w:r w:rsidRPr="00F81ACA">
        <w:rPr>
          <w:rFonts w:ascii="Times New Roman" w:hAnsi="Times New Roman" w:cs="Times New Roman"/>
        </w:rPr>
        <w:t>cells) and incubated for 15 minutes in the dark, prior to analysis by flow cytometry. The analysis was performed on a BD Influx flow cytometer (Becton Dickinson, USA) using 488-excitation laser. For each sample, 20,000 events were collected and analyzed. Gating and the percentage of cells existing within gates was determined using FlowJo 8.7 software (Ashland, OR, USA).</w:t>
      </w:r>
    </w:p>
    <w:p w:rsidR="00680F4E" w:rsidRPr="00F81ACA" w:rsidRDefault="00680F4E" w:rsidP="00680F4E">
      <w:pPr>
        <w:spacing w:after="120" w:line="360" w:lineRule="auto"/>
        <w:ind w:firstLine="708"/>
        <w:rPr>
          <w:rFonts w:ascii="Times New Roman" w:hAnsi="Times New Roman" w:cs="Times New Roman"/>
        </w:rPr>
      </w:pPr>
    </w:p>
    <w:p w:rsidR="00680F4E" w:rsidRPr="00F81ACA" w:rsidRDefault="00680F4E" w:rsidP="00680F4E">
      <w:pPr>
        <w:spacing w:after="120" w:line="360" w:lineRule="auto"/>
        <w:rPr>
          <w:rFonts w:ascii="Times New Roman" w:hAnsi="Times New Roman" w:cs="Times New Roman"/>
        </w:rPr>
      </w:pPr>
      <w:r w:rsidRPr="00F81ACA">
        <w:rPr>
          <w:rFonts w:ascii="Times New Roman" w:hAnsi="Times New Roman"/>
          <w:b/>
        </w:rPr>
        <w:t>Colorimetric MTT (tetrazolium) assay</w:t>
      </w:r>
    </w:p>
    <w:p w:rsidR="00486E40" w:rsidRPr="00680F4E" w:rsidRDefault="00680F4E" w:rsidP="00680F4E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F81ACA">
        <w:rPr>
          <w:rFonts w:ascii="Times New Roman" w:hAnsi="Times New Roman"/>
        </w:rPr>
        <w:t>MTT (3-(4,5-dimethylthiazol-2-yl)-2,5-diphenyl tetrazolium bromide (#475989; Calbiochem, USA) was dissolved in PBS (5 mg/ml) and filtered. 20 h after Nilotinib treatment, stock MTT solution (10X) was added to all assay wells, and plates were incubated at 37°C for 4 h. Warm lysis buffer (50% N,N-Dimethylformamide + 20% SDS in destilled water) was added to all wells and mixed thoroughly to dissolve the dark blue crystals. After a few minutes at room temperature to ensure that all crystals were dissolved, the plates were read in a Synergy H1 equipment using the software Gen5 (BioTek, USA), using a test wavelength of 570 nm, and a reference wavelength of 630 nm. Plates were normally read within 1 h of adding the lysis solution.</w:t>
      </w:r>
    </w:p>
    <w:sectPr w:rsidR="00486E40" w:rsidRPr="00680F4E" w:rsidSect="00486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92D4569-EF8A-402F-88A2-6C2212B68426}"/>
    <w:embedBold r:id="rId2" w:fontKey="{0656BAC3-B23D-49FC-8707-D615D727D1F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FB4D0990-A228-4505-9676-71C40AB6501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characterSpacingControl w:val="doNotCompress"/>
  <w:compat/>
  <w:rsids>
    <w:rsidRoot w:val="00680F4E"/>
    <w:rsid w:val="00021001"/>
    <w:rsid w:val="000C13DA"/>
    <w:rsid w:val="00255E1C"/>
    <w:rsid w:val="0033355B"/>
    <w:rsid w:val="00486E40"/>
    <w:rsid w:val="004923E7"/>
    <w:rsid w:val="00507D25"/>
    <w:rsid w:val="00680F4E"/>
    <w:rsid w:val="006817E1"/>
    <w:rsid w:val="008D3D14"/>
    <w:rsid w:val="008E3F4C"/>
    <w:rsid w:val="008F0A72"/>
    <w:rsid w:val="00956F9A"/>
    <w:rsid w:val="00A26A24"/>
    <w:rsid w:val="00D87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1419</Characters>
  <Application>Microsoft Office Word</Application>
  <DocSecurity>0</DocSecurity>
  <Lines>21</Lines>
  <Paragraphs>5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1</cp:revision>
  <dcterms:created xsi:type="dcterms:W3CDTF">2018-01-10T06:34:00Z</dcterms:created>
  <dcterms:modified xsi:type="dcterms:W3CDTF">2018-01-10T06:34:00Z</dcterms:modified>
</cp:coreProperties>
</file>