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A77" w:rsidRPr="00B74D6E" w:rsidRDefault="00205EA0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Supplementary Material 1</w:t>
      </w:r>
      <w:r w:rsidR="00B74D6E">
        <w:rPr>
          <w:rFonts w:ascii="Times New Roman" w:hAnsi="Times New Roman" w:cs="Times New Roman"/>
          <w:b/>
          <w:sz w:val="24"/>
        </w:rPr>
        <w:t xml:space="preserve"> – Titin repeated region</w:t>
      </w:r>
    </w:p>
    <w:p w:rsidR="00F12B9D" w:rsidRDefault="00F12B9D">
      <w:pPr>
        <w:rPr>
          <w:noProof/>
        </w:rPr>
      </w:pPr>
    </w:p>
    <w:p w:rsidR="00481472" w:rsidRDefault="005E1A77">
      <w:pPr>
        <w:rPr>
          <w:noProof/>
        </w:rPr>
      </w:pPr>
      <w:r>
        <w:rPr>
          <w:noProof/>
        </w:rPr>
        <w:drawing>
          <wp:inline distT="0" distB="0" distL="0" distR="0" wp14:anchorId="40B7A03C">
            <wp:extent cx="6512358" cy="2380891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6690" cy="23861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1A77" w:rsidRDefault="005E1A77" w:rsidP="000B0504"/>
    <w:p w:rsidR="000B0504" w:rsidRPr="007B2AF1" w:rsidRDefault="00481472" w:rsidP="000B0504">
      <w:pPr>
        <w:rPr>
          <w:rFonts w:ascii="Times New Roman" w:hAnsi="Times New Roman" w:cs="Times New Roman"/>
          <w:sz w:val="24"/>
        </w:rPr>
      </w:pPr>
      <w:r w:rsidRPr="007B2AF1">
        <w:rPr>
          <w:rFonts w:ascii="Times New Roman" w:hAnsi="Times New Roman" w:cs="Times New Roman"/>
          <w:sz w:val="24"/>
        </w:rPr>
        <w:t xml:space="preserve">Titin repeated region is composed of nine exons (here represented by different colors) repeated three times. </w:t>
      </w:r>
      <w:r w:rsidR="005F593B" w:rsidRPr="007B2AF1">
        <w:rPr>
          <w:rFonts w:ascii="Times New Roman" w:hAnsi="Times New Roman" w:cs="Times New Roman"/>
          <w:sz w:val="24"/>
        </w:rPr>
        <w:t xml:space="preserve">Therefore, by using an NGS traditional approach, each ´copy´ of a repeated exon is indistinguishable from the others (for example, exon 173 is indistinguishable from exons 182 and 191; 174 is indistinguishable from exons 183 and 192 and so on). </w:t>
      </w:r>
      <w:r w:rsidR="000B0504" w:rsidRPr="007B2AF1">
        <w:rPr>
          <w:rFonts w:ascii="Times New Roman" w:hAnsi="Times New Roman" w:cs="Times New Roman"/>
          <w:sz w:val="24"/>
        </w:rPr>
        <w:t>Moreover, two further exons (204 and 205) are a copy of previous exons.</w:t>
      </w:r>
    </w:p>
    <w:p w:rsidR="005E1A77" w:rsidRPr="007B2AF1" w:rsidRDefault="005E1A77" w:rsidP="000B0504">
      <w:pPr>
        <w:rPr>
          <w:rFonts w:ascii="Times New Roman" w:hAnsi="Times New Roman" w:cs="Times New Roman"/>
          <w:sz w:val="24"/>
        </w:rPr>
      </w:pPr>
      <w:r w:rsidRPr="007B2AF1">
        <w:rPr>
          <w:rFonts w:ascii="Times New Roman" w:hAnsi="Times New Roman" w:cs="Times New Roman"/>
          <w:sz w:val="24"/>
        </w:rPr>
        <w:t>Within the repeated region, the only expressed exons in human adult muscle are 175-182-183-203-204-205 (indicated by an asterisk). The remaining exons are thought to be metatranscript-only exons.</w:t>
      </w:r>
    </w:p>
    <w:p w:rsidR="005B738E" w:rsidRPr="007B2AF1" w:rsidRDefault="00B5326E">
      <w:pPr>
        <w:rPr>
          <w:rFonts w:ascii="Times New Roman" w:hAnsi="Times New Roman" w:cs="Times New Roman"/>
          <w:sz w:val="24"/>
        </w:rPr>
      </w:pPr>
      <w:r w:rsidRPr="007B2AF1">
        <w:rPr>
          <w:rFonts w:ascii="Times New Roman" w:hAnsi="Times New Roman" w:cs="Times New Roman"/>
          <w:sz w:val="24"/>
        </w:rPr>
        <w:t xml:space="preserve">During the </w:t>
      </w:r>
      <w:r w:rsidR="000B0504" w:rsidRPr="007B2AF1">
        <w:rPr>
          <w:rFonts w:ascii="Times New Roman" w:hAnsi="Times New Roman" w:cs="Times New Roman"/>
          <w:sz w:val="24"/>
        </w:rPr>
        <w:t xml:space="preserve">mapping phase, NGS-reads </w:t>
      </w:r>
      <w:proofErr w:type="gramStart"/>
      <w:r w:rsidRPr="007B2AF1">
        <w:rPr>
          <w:rFonts w:ascii="Times New Roman" w:hAnsi="Times New Roman" w:cs="Times New Roman"/>
          <w:sz w:val="24"/>
        </w:rPr>
        <w:t>are split</w:t>
      </w:r>
      <w:proofErr w:type="gramEnd"/>
      <w:r w:rsidRPr="007B2AF1">
        <w:rPr>
          <w:rFonts w:ascii="Times New Roman" w:hAnsi="Times New Roman" w:cs="Times New Roman"/>
          <w:sz w:val="24"/>
        </w:rPr>
        <w:t xml:space="preserve"> among the </w:t>
      </w:r>
      <w:r w:rsidR="000B0504" w:rsidRPr="007B2AF1">
        <w:rPr>
          <w:rFonts w:ascii="Times New Roman" w:hAnsi="Times New Roman" w:cs="Times New Roman"/>
          <w:sz w:val="24"/>
        </w:rPr>
        <w:t>repeated</w:t>
      </w:r>
      <w:r w:rsidRPr="007B2AF1">
        <w:rPr>
          <w:rFonts w:ascii="Times New Roman" w:hAnsi="Times New Roman" w:cs="Times New Roman"/>
          <w:sz w:val="24"/>
        </w:rPr>
        <w:t xml:space="preserve"> </w:t>
      </w:r>
      <w:r w:rsidR="000B0504" w:rsidRPr="007B2AF1">
        <w:rPr>
          <w:rFonts w:ascii="Times New Roman" w:hAnsi="Times New Roman" w:cs="Times New Roman"/>
          <w:sz w:val="24"/>
        </w:rPr>
        <w:t xml:space="preserve">exons, i.e. reads spanning exons 173 and 174 are </w:t>
      </w:r>
      <w:r w:rsidR="008B5BF2">
        <w:rPr>
          <w:rFonts w:ascii="Times New Roman" w:hAnsi="Times New Roman" w:cs="Times New Roman"/>
          <w:sz w:val="24"/>
        </w:rPr>
        <w:t xml:space="preserve">mostly </w:t>
      </w:r>
      <w:r w:rsidR="000B0504" w:rsidRPr="007B2AF1">
        <w:rPr>
          <w:rFonts w:ascii="Times New Roman" w:hAnsi="Times New Roman" w:cs="Times New Roman"/>
          <w:sz w:val="24"/>
        </w:rPr>
        <w:t>indistinguishabl</w:t>
      </w:r>
      <w:r w:rsidR="008B5BF2">
        <w:rPr>
          <w:rFonts w:ascii="Times New Roman" w:hAnsi="Times New Roman" w:cs="Times New Roman"/>
          <w:sz w:val="24"/>
        </w:rPr>
        <w:t>e from those spanning exons 182-</w:t>
      </w:r>
      <w:r w:rsidR="000B0504" w:rsidRPr="007B2AF1">
        <w:rPr>
          <w:rFonts w:ascii="Times New Roman" w:hAnsi="Times New Roman" w:cs="Times New Roman"/>
          <w:sz w:val="24"/>
        </w:rPr>
        <w:t>183; 191-192; 204-205; 173-183; 173</w:t>
      </w:r>
      <w:r w:rsidR="008B5BF2">
        <w:rPr>
          <w:rFonts w:ascii="Times New Roman" w:hAnsi="Times New Roman" w:cs="Times New Roman"/>
          <w:sz w:val="24"/>
        </w:rPr>
        <w:t>-192; 173-205; 182-192; 182-205 and</w:t>
      </w:r>
      <w:r w:rsidR="000B0504" w:rsidRPr="007B2AF1">
        <w:rPr>
          <w:rFonts w:ascii="Times New Roman" w:hAnsi="Times New Roman" w:cs="Times New Roman"/>
          <w:sz w:val="24"/>
        </w:rPr>
        <w:t xml:space="preserve"> 191-205.</w:t>
      </w:r>
      <w:r w:rsidR="005B738E" w:rsidRPr="007B2AF1">
        <w:rPr>
          <w:rFonts w:ascii="Times New Roman" w:hAnsi="Times New Roman" w:cs="Times New Roman"/>
          <w:sz w:val="24"/>
        </w:rPr>
        <w:t xml:space="preserve"> In other words, it is possible to detect reads linking </w:t>
      </w:r>
      <w:r w:rsidR="003644FF" w:rsidRPr="007B2AF1">
        <w:rPr>
          <w:rFonts w:ascii="Times New Roman" w:hAnsi="Times New Roman" w:cs="Times New Roman"/>
          <w:sz w:val="24"/>
        </w:rPr>
        <w:t>‘</w:t>
      </w:r>
      <w:r w:rsidR="005B738E" w:rsidRPr="007B2AF1">
        <w:rPr>
          <w:rFonts w:ascii="Times New Roman" w:hAnsi="Times New Roman" w:cs="Times New Roman"/>
          <w:sz w:val="24"/>
        </w:rPr>
        <w:t>the blue exons</w:t>
      </w:r>
      <w:r w:rsidR="003644FF" w:rsidRPr="007B2AF1">
        <w:rPr>
          <w:rFonts w:ascii="Times New Roman" w:hAnsi="Times New Roman" w:cs="Times New Roman"/>
          <w:sz w:val="24"/>
        </w:rPr>
        <w:t>’</w:t>
      </w:r>
      <w:r w:rsidR="005B738E" w:rsidRPr="007B2AF1">
        <w:rPr>
          <w:rFonts w:ascii="Times New Roman" w:hAnsi="Times New Roman" w:cs="Times New Roman"/>
          <w:sz w:val="24"/>
        </w:rPr>
        <w:t xml:space="preserve"> (173-182-191-204) to the </w:t>
      </w:r>
      <w:r w:rsidR="008B5BF2">
        <w:rPr>
          <w:rFonts w:ascii="Times New Roman" w:hAnsi="Times New Roman" w:cs="Times New Roman"/>
          <w:sz w:val="24"/>
        </w:rPr>
        <w:t>´</w:t>
      </w:r>
      <w:r w:rsidR="005B738E" w:rsidRPr="007B2AF1">
        <w:rPr>
          <w:rFonts w:ascii="Times New Roman" w:hAnsi="Times New Roman" w:cs="Times New Roman"/>
          <w:sz w:val="24"/>
        </w:rPr>
        <w:t>orange ones</w:t>
      </w:r>
      <w:r w:rsidR="008B5BF2">
        <w:rPr>
          <w:rFonts w:ascii="Times New Roman" w:hAnsi="Times New Roman" w:cs="Times New Roman"/>
          <w:sz w:val="24"/>
        </w:rPr>
        <w:t>´</w:t>
      </w:r>
      <w:r w:rsidR="005B738E" w:rsidRPr="007B2AF1">
        <w:rPr>
          <w:rFonts w:ascii="Times New Roman" w:hAnsi="Times New Roman" w:cs="Times New Roman"/>
          <w:sz w:val="24"/>
        </w:rPr>
        <w:t xml:space="preserve"> (174-183-192-205) without </w:t>
      </w:r>
      <w:r w:rsidR="00C247D1" w:rsidRPr="007B2AF1">
        <w:rPr>
          <w:rFonts w:ascii="Times New Roman" w:hAnsi="Times New Roman" w:cs="Times New Roman"/>
          <w:sz w:val="24"/>
        </w:rPr>
        <w:t xml:space="preserve">reliable information about the specific exons connected. </w:t>
      </w:r>
    </w:p>
    <w:p w:rsidR="005F593B" w:rsidRPr="007B2AF1" w:rsidRDefault="000B0504">
      <w:pPr>
        <w:rPr>
          <w:rFonts w:ascii="Times New Roman" w:hAnsi="Times New Roman" w:cs="Times New Roman"/>
          <w:sz w:val="24"/>
        </w:rPr>
      </w:pPr>
      <w:r w:rsidRPr="007B2AF1">
        <w:rPr>
          <w:rFonts w:ascii="Times New Roman" w:hAnsi="Times New Roman" w:cs="Times New Roman"/>
          <w:sz w:val="24"/>
        </w:rPr>
        <w:t xml:space="preserve"> </w:t>
      </w:r>
      <w:r w:rsidR="005F593B" w:rsidRPr="007B2AF1">
        <w:rPr>
          <w:rFonts w:ascii="Times New Roman" w:hAnsi="Times New Roman" w:cs="Times New Roman"/>
          <w:sz w:val="24"/>
        </w:rPr>
        <w:t xml:space="preserve">In order to overcome the technical issues due to such a complex genetic organization, we used a pragmatic approach. </w:t>
      </w:r>
    </w:p>
    <w:p w:rsidR="003644FF" w:rsidRPr="007B2AF1" w:rsidRDefault="005F593B">
      <w:pPr>
        <w:rPr>
          <w:rFonts w:ascii="Times New Roman" w:hAnsi="Times New Roman" w:cs="Times New Roman"/>
          <w:sz w:val="24"/>
        </w:rPr>
      </w:pPr>
      <w:r w:rsidRPr="007B2AF1">
        <w:rPr>
          <w:rFonts w:ascii="Times New Roman" w:hAnsi="Times New Roman" w:cs="Times New Roman"/>
          <w:sz w:val="24"/>
        </w:rPr>
        <w:t xml:space="preserve">1) We counted all reads </w:t>
      </w:r>
      <w:r w:rsidR="00C247D1" w:rsidRPr="007B2AF1">
        <w:rPr>
          <w:rFonts w:ascii="Times New Roman" w:hAnsi="Times New Roman" w:cs="Times New Roman"/>
          <w:sz w:val="24"/>
        </w:rPr>
        <w:t>supporting expected</w:t>
      </w:r>
      <w:r w:rsidR="00061DDB" w:rsidRPr="007B2AF1">
        <w:rPr>
          <w:rFonts w:ascii="Times New Roman" w:hAnsi="Times New Roman" w:cs="Times New Roman"/>
          <w:sz w:val="24"/>
        </w:rPr>
        <w:t>, canonical</w:t>
      </w:r>
      <w:r w:rsidR="00C247D1" w:rsidRPr="007B2AF1">
        <w:rPr>
          <w:rFonts w:ascii="Times New Roman" w:hAnsi="Times New Roman" w:cs="Times New Roman"/>
          <w:sz w:val="24"/>
        </w:rPr>
        <w:t xml:space="preserve"> junctions</w:t>
      </w:r>
      <w:r w:rsidR="005E1A77" w:rsidRPr="007B2AF1">
        <w:rPr>
          <w:rFonts w:ascii="Times New Roman" w:hAnsi="Times New Roman" w:cs="Times New Roman"/>
          <w:sz w:val="24"/>
        </w:rPr>
        <w:t xml:space="preserve"> (</w:t>
      </w:r>
      <w:r w:rsidR="00205EA0">
        <w:rPr>
          <w:rFonts w:ascii="Times New Roman" w:hAnsi="Times New Roman" w:cs="Times New Roman"/>
          <w:sz w:val="24"/>
        </w:rPr>
        <w:t xml:space="preserve">Additional file 4 – </w:t>
      </w:r>
      <w:r w:rsidR="005E1A77" w:rsidRPr="007B2AF1">
        <w:rPr>
          <w:rFonts w:ascii="Times New Roman" w:hAnsi="Times New Roman" w:cs="Times New Roman"/>
          <w:sz w:val="24"/>
        </w:rPr>
        <w:t xml:space="preserve">Table </w:t>
      </w:r>
      <w:r w:rsidR="00205EA0">
        <w:rPr>
          <w:rFonts w:ascii="Times New Roman" w:hAnsi="Times New Roman" w:cs="Times New Roman"/>
          <w:sz w:val="24"/>
        </w:rPr>
        <w:t>S</w:t>
      </w:r>
      <w:r w:rsidR="005E1A77" w:rsidRPr="007B2AF1">
        <w:rPr>
          <w:rFonts w:ascii="Times New Roman" w:hAnsi="Times New Roman" w:cs="Times New Roman"/>
          <w:sz w:val="24"/>
        </w:rPr>
        <w:t>3)</w:t>
      </w:r>
      <w:proofErr w:type="gramStart"/>
      <w:r w:rsidR="005E1A77" w:rsidRPr="007B2AF1">
        <w:rPr>
          <w:rFonts w:ascii="Times New Roman" w:hAnsi="Times New Roman" w:cs="Times New Roman"/>
          <w:sz w:val="24"/>
        </w:rPr>
        <w:t>;</w:t>
      </w:r>
      <w:proofErr w:type="gramEnd"/>
    </w:p>
    <w:p w:rsidR="000B0504" w:rsidRPr="007B2AF1" w:rsidRDefault="00C247D1">
      <w:pPr>
        <w:rPr>
          <w:rFonts w:ascii="Times New Roman" w:hAnsi="Times New Roman" w:cs="Times New Roman"/>
          <w:sz w:val="24"/>
        </w:rPr>
      </w:pPr>
      <w:r w:rsidRPr="007B2AF1">
        <w:rPr>
          <w:rFonts w:ascii="Times New Roman" w:hAnsi="Times New Roman" w:cs="Times New Roman"/>
          <w:sz w:val="24"/>
        </w:rPr>
        <w:t>2) We counted all the reads suggesting previously unreported linear junctions</w:t>
      </w:r>
      <w:r w:rsidR="005E1A77" w:rsidRPr="007B2AF1">
        <w:rPr>
          <w:rFonts w:ascii="Times New Roman" w:hAnsi="Times New Roman" w:cs="Times New Roman"/>
          <w:sz w:val="24"/>
        </w:rPr>
        <w:t xml:space="preserve"> (</w:t>
      </w:r>
      <w:r w:rsidR="00205EA0">
        <w:rPr>
          <w:rFonts w:ascii="Times New Roman" w:hAnsi="Times New Roman" w:cs="Times New Roman"/>
          <w:sz w:val="24"/>
        </w:rPr>
        <w:t xml:space="preserve">Additional file 5 – </w:t>
      </w:r>
      <w:r w:rsidR="005E1A77" w:rsidRPr="007B2AF1">
        <w:rPr>
          <w:rFonts w:ascii="Times New Roman" w:hAnsi="Times New Roman" w:cs="Times New Roman"/>
          <w:sz w:val="24"/>
        </w:rPr>
        <w:t xml:space="preserve">Table </w:t>
      </w:r>
      <w:r w:rsidR="00205EA0">
        <w:rPr>
          <w:rFonts w:ascii="Times New Roman" w:hAnsi="Times New Roman" w:cs="Times New Roman"/>
          <w:sz w:val="24"/>
        </w:rPr>
        <w:t>S</w:t>
      </w:r>
      <w:r w:rsidR="005E1A77" w:rsidRPr="007B2AF1">
        <w:rPr>
          <w:rFonts w:ascii="Times New Roman" w:hAnsi="Times New Roman" w:cs="Times New Roman"/>
          <w:sz w:val="24"/>
        </w:rPr>
        <w:t>4)</w:t>
      </w:r>
      <w:proofErr w:type="gramStart"/>
      <w:r w:rsidR="005E1A77" w:rsidRPr="007B2AF1">
        <w:rPr>
          <w:rFonts w:ascii="Times New Roman" w:hAnsi="Times New Roman" w:cs="Times New Roman"/>
          <w:sz w:val="24"/>
        </w:rPr>
        <w:t>;</w:t>
      </w:r>
      <w:proofErr w:type="gramEnd"/>
    </w:p>
    <w:p w:rsidR="00481472" w:rsidRPr="007B2AF1" w:rsidRDefault="00B15D75">
      <w:pPr>
        <w:rPr>
          <w:rFonts w:ascii="Times New Roman" w:hAnsi="Times New Roman" w:cs="Times New Roman"/>
          <w:sz w:val="24"/>
        </w:rPr>
      </w:pPr>
      <w:r w:rsidRPr="007B2AF1">
        <w:rPr>
          <w:rFonts w:ascii="Times New Roman" w:hAnsi="Times New Roman" w:cs="Times New Roman"/>
          <w:sz w:val="24"/>
        </w:rPr>
        <w:t xml:space="preserve">3) We counted all the </w:t>
      </w:r>
      <w:r w:rsidR="008B5BF2">
        <w:rPr>
          <w:rFonts w:ascii="Times New Roman" w:hAnsi="Times New Roman" w:cs="Times New Roman"/>
          <w:sz w:val="24"/>
        </w:rPr>
        <w:t xml:space="preserve">reads supporting </w:t>
      </w:r>
      <w:r w:rsidRPr="007B2AF1">
        <w:rPr>
          <w:rFonts w:ascii="Times New Roman" w:hAnsi="Times New Roman" w:cs="Times New Roman"/>
          <w:sz w:val="24"/>
        </w:rPr>
        <w:t>not canonical junctions</w:t>
      </w:r>
      <w:r w:rsidR="008B5BF2">
        <w:rPr>
          <w:rFonts w:ascii="Times New Roman" w:hAnsi="Times New Roman" w:cs="Times New Roman"/>
          <w:sz w:val="24"/>
        </w:rPr>
        <w:t>, i.e.</w:t>
      </w:r>
      <w:r w:rsidRPr="007B2AF1">
        <w:rPr>
          <w:rFonts w:ascii="Times New Roman" w:hAnsi="Times New Roman" w:cs="Times New Roman"/>
          <w:sz w:val="24"/>
        </w:rPr>
        <w:t xml:space="preserve"> connecting exons out of the repeated area and exons within the repeated region </w:t>
      </w:r>
      <w:r w:rsidR="005E1A77" w:rsidRPr="007B2AF1">
        <w:rPr>
          <w:rFonts w:ascii="Times New Roman" w:hAnsi="Times New Roman" w:cs="Times New Roman"/>
          <w:sz w:val="24"/>
        </w:rPr>
        <w:t>(</w:t>
      </w:r>
      <w:r w:rsidR="00205EA0">
        <w:rPr>
          <w:rFonts w:ascii="Times New Roman" w:hAnsi="Times New Roman" w:cs="Times New Roman"/>
          <w:sz w:val="24"/>
        </w:rPr>
        <w:t xml:space="preserve">Additional file 5 – </w:t>
      </w:r>
      <w:r w:rsidR="00205EA0" w:rsidRPr="007B2AF1">
        <w:rPr>
          <w:rFonts w:ascii="Times New Roman" w:hAnsi="Times New Roman" w:cs="Times New Roman"/>
          <w:sz w:val="24"/>
        </w:rPr>
        <w:t xml:space="preserve">Table </w:t>
      </w:r>
      <w:r w:rsidR="00205EA0">
        <w:rPr>
          <w:rFonts w:ascii="Times New Roman" w:hAnsi="Times New Roman" w:cs="Times New Roman"/>
          <w:sz w:val="24"/>
        </w:rPr>
        <w:t>S</w:t>
      </w:r>
      <w:r w:rsidR="00205EA0" w:rsidRPr="007B2AF1">
        <w:rPr>
          <w:rFonts w:ascii="Times New Roman" w:hAnsi="Times New Roman" w:cs="Times New Roman"/>
          <w:sz w:val="24"/>
        </w:rPr>
        <w:t>4</w:t>
      </w:r>
      <w:r w:rsidR="005E1A77" w:rsidRPr="007B2AF1">
        <w:rPr>
          <w:rFonts w:ascii="Times New Roman" w:hAnsi="Times New Roman" w:cs="Times New Roman"/>
          <w:sz w:val="24"/>
        </w:rPr>
        <w:t>);</w:t>
      </w:r>
    </w:p>
    <w:p w:rsidR="00EC3F1F" w:rsidRDefault="005E1A77">
      <w:pPr>
        <w:rPr>
          <w:rFonts w:ascii="Times New Roman" w:hAnsi="Times New Roman" w:cs="Times New Roman"/>
          <w:sz w:val="24"/>
        </w:rPr>
      </w:pPr>
      <w:r w:rsidRPr="007B2AF1">
        <w:rPr>
          <w:rFonts w:ascii="Times New Roman" w:hAnsi="Times New Roman" w:cs="Times New Roman"/>
          <w:sz w:val="24"/>
        </w:rPr>
        <w:t>4</w:t>
      </w:r>
      <w:r w:rsidR="00EC3F1F" w:rsidRPr="007B2AF1">
        <w:rPr>
          <w:rFonts w:ascii="Times New Roman" w:hAnsi="Times New Roman" w:cs="Times New Roman"/>
          <w:sz w:val="24"/>
        </w:rPr>
        <w:t xml:space="preserve">) We counted all the </w:t>
      </w:r>
      <w:r w:rsidR="008B5BF2">
        <w:rPr>
          <w:rFonts w:ascii="Times New Roman" w:hAnsi="Times New Roman" w:cs="Times New Roman"/>
          <w:sz w:val="24"/>
        </w:rPr>
        <w:t xml:space="preserve">reads supporting </w:t>
      </w:r>
      <w:r w:rsidR="00EC3F1F" w:rsidRPr="007B2AF1">
        <w:rPr>
          <w:rFonts w:ascii="Times New Roman" w:hAnsi="Times New Roman" w:cs="Times New Roman"/>
          <w:sz w:val="24"/>
        </w:rPr>
        <w:t>not canonical junctions</w:t>
      </w:r>
      <w:r w:rsidR="008B5BF2">
        <w:rPr>
          <w:rFonts w:ascii="Times New Roman" w:hAnsi="Times New Roman" w:cs="Times New Roman"/>
          <w:sz w:val="24"/>
        </w:rPr>
        <w:t>, i.e.</w:t>
      </w:r>
      <w:r w:rsidR="00EC3F1F" w:rsidRPr="007B2AF1">
        <w:rPr>
          <w:rFonts w:ascii="Times New Roman" w:hAnsi="Times New Roman" w:cs="Times New Roman"/>
          <w:sz w:val="24"/>
        </w:rPr>
        <w:t xml:space="preserve"> connecting exons within the repeated region </w:t>
      </w:r>
      <w:r w:rsidRPr="007B2AF1">
        <w:rPr>
          <w:rFonts w:ascii="Times New Roman" w:hAnsi="Times New Roman" w:cs="Times New Roman"/>
          <w:sz w:val="24"/>
        </w:rPr>
        <w:t>(</w:t>
      </w:r>
      <w:r w:rsidR="00205EA0">
        <w:rPr>
          <w:rFonts w:ascii="Times New Roman" w:hAnsi="Times New Roman" w:cs="Times New Roman"/>
          <w:sz w:val="24"/>
        </w:rPr>
        <w:t xml:space="preserve">Additional file 5 – </w:t>
      </w:r>
      <w:r w:rsidR="00205EA0" w:rsidRPr="007B2AF1">
        <w:rPr>
          <w:rFonts w:ascii="Times New Roman" w:hAnsi="Times New Roman" w:cs="Times New Roman"/>
          <w:sz w:val="24"/>
        </w:rPr>
        <w:t xml:space="preserve">Table </w:t>
      </w:r>
      <w:r w:rsidR="00205EA0">
        <w:rPr>
          <w:rFonts w:ascii="Times New Roman" w:hAnsi="Times New Roman" w:cs="Times New Roman"/>
          <w:sz w:val="24"/>
        </w:rPr>
        <w:t>S</w:t>
      </w:r>
      <w:r w:rsidR="00205EA0" w:rsidRPr="007B2AF1">
        <w:rPr>
          <w:rFonts w:ascii="Times New Roman" w:hAnsi="Times New Roman" w:cs="Times New Roman"/>
          <w:sz w:val="24"/>
        </w:rPr>
        <w:t>4</w:t>
      </w:r>
      <w:r w:rsidRPr="007B2AF1">
        <w:rPr>
          <w:rFonts w:ascii="Times New Roman" w:hAnsi="Times New Roman" w:cs="Times New Roman"/>
          <w:sz w:val="24"/>
        </w:rPr>
        <w:t>).</w:t>
      </w:r>
    </w:p>
    <w:p w:rsidR="00C07CE2" w:rsidRPr="00DC3491" w:rsidRDefault="00C07CE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Similarly, we included in Table S3 and S4 the number of reads supporting each junction identified in publicly available Encode data from adult skeletal muscle (</w:t>
      </w:r>
      <w:r w:rsidRPr="00A60745">
        <w:rPr>
          <w:rFonts w:ascii="Times New Roman" w:hAnsi="Times New Roman" w:cs="Times New Roman"/>
          <w:i/>
          <w:sz w:val="24"/>
        </w:rPr>
        <w:t xml:space="preserve">gastrocnemius </w:t>
      </w:r>
      <w:proofErr w:type="spellStart"/>
      <w:r w:rsidRPr="00A60745">
        <w:rPr>
          <w:rFonts w:ascii="Times New Roman" w:hAnsi="Times New Roman" w:cs="Times New Roman"/>
          <w:i/>
          <w:sz w:val="24"/>
        </w:rPr>
        <w:t>medialis</w:t>
      </w:r>
      <w:proofErr w:type="spellEnd"/>
      <w:r w:rsidRPr="00C07CE2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</w:p>
    <w:sectPr w:rsidR="00C07CE2" w:rsidRPr="00DC3491" w:rsidSect="00EC3F1F">
      <w:pgSz w:w="12240" w:h="15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472"/>
    <w:rsid w:val="00045274"/>
    <w:rsid w:val="00061DDB"/>
    <w:rsid w:val="000B0504"/>
    <w:rsid w:val="0015304A"/>
    <w:rsid w:val="001D3109"/>
    <w:rsid w:val="00205728"/>
    <w:rsid w:val="0020580C"/>
    <w:rsid w:val="00205EA0"/>
    <w:rsid w:val="003644FF"/>
    <w:rsid w:val="003F1E1C"/>
    <w:rsid w:val="00481472"/>
    <w:rsid w:val="004C7D13"/>
    <w:rsid w:val="005B738E"/>
    <w:rsid w:val="005E1A77"/>
    <w:rsid w:val="005F593B"/>
    <w:rsid w:val="0076389E"/>
    <w:rsid w:val="007B2AF1"/>
    <w:rsid w:val="00892158"/>
    <w:rsid w:val="008B5BF2"/>
    <w:rsid w:val="00A3453D"/>
    <w:rsid w:val="00B15D75"/>
    <w:rsid w:val="00B5326E"/>
    <w:rsid w:val="00B74D6E"/>
    <w:rsid w:val="00C07CE2"/>
    <w:rsid w:val="00C247D1"/>
    <w:rsid w:val="00DC3491"/>
    <w:rsid w:val="00E86B88"/>
    <w:rsid w:val="00E92A7D"/>
    <w:rsid w:val="00EC3F1F"/>
    <w:rsid w:val="00F1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3B4C2-DD89-4A31-BC45-8730F2984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14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8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Savarese, Marco</dc:creator>
  <cp:keywords/>
  <dc:description/>
  <cp:lastModifiedBy>Savarese, Marco</cp:lastModifiedBy>
  <cp:revision>22</cp:revision>
  <cp:lastPrinted>2017-11-01T09:19:00Z</cp:lastPrinted>
  <dcterms:created xsi:type="dcterms:W3CDTF">2017-10-30T10:18:00Z</dcterms:created>
  <dcterms:modified xsi:type="dcterms:W3CDTF">2018-02-08T13:38:00Z</dcterms:modified>
</cp:coreProperties>
</file>