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CC9" w:rsidRPr="004C317A" w:rsidRDefault="00703CC9" w:rsidP="00703CC9">
      <w:pPr>
        <w:jc w:val="center"/>
        <w:rPr>
          <w:rFonts w:ascii="Arial" w:hAnsi="Arial" w:cs="Arial"/>
          <w:b/>
          <w:bCs/>
        </w:rPr>
      </w:pPr>
      <w:r w:rsidRPr="004C317A">
        <w:rPr>
          <w:rFonts w:ascii="Arial" w:hAnsi="Arial" w:cs="Arial"/>
          <w:b/>
          <w:bCs/>
          <w:noProof/>
        </w:rPr>
        <w:drawing>
          <wp:inline distT="0" distB="0" distL="0" distR="0" wp14:anchorId="5E3193A2" wp14:editId="2EF99268">
            <wp:extent cx="8338860" cy="4991892"/>
            <wp:effectExtent l="0" t="2858" r="2223" b="2222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1V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38860" cy="499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C9" w:rsidRDefault="00703CC9" w:rsidP="00703CC9">
      <w:pPr>
        <w:jc w:val="both"/>
        <w:rPr>
          <w:rFonts w:ascii="Arial" w:hAnsi="Arial" w:cs="Arial"/>
          <w:sz w:val="22"/>
          <w:szCs w:val="22"/>
        </w:rPr>
      </w:pPr>
      <w:r w:rsidRPr="008E192D">
        <w:rPr>
          <w:rFonts w:ascii="Arial" w:hAnsi="Arial" w:cs="Arial"/>
          <w:b/>
          <w:bCs/>
          <w:sz w:val="22"/>
          <w:szCs w:val="22"/>
        </w:rPr>
        <w:lastRenderedPageBreak/>
        <w:t>Figure S1.</w:t>
      </w:r>
      <w:r w:rsidRPr="00DE3A0F">
        <w:rPr>
          <w:rFonts w:ascii="Arial" w:hAnsi="Arial" w:cs="Arial"/>
          <w:sz w:val="22"/>
          <w:szCs w:val="22"/>
        </w:rPr>
        <w:t xml:space="preserve"> (</w:t>
      </w:r>
      <w:proofErr w:type="gramStart"/>
      <w:r w:rsidRPr="00DE3A0F">
        <w:rPr>
          <w:rFonts w:ascii="Arial" w:hAnsi="Arial" w:cs="Arial"/>
          <w:sz w:val="22"/>
          <w:szCs w:val="22"/>
        </w:rPr>
        <w:t>previous</w:t>
      </w:r>
      <w:proofErr w:type="gramEnd"/>
      <w:r w:rsidRPr="00DE3A0F">
        <w:rPr>
          <w:rFonts w:ascii="Arial" w:hAnsi="Arial" w:cs="Arial"/>
          <w:sz w:val="22"/>
          <w:szCs w:val="22"/>
        </w:rPr>
        <w:t xml:space="preserve"> page)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8E192D">
        <w:rPr>
          <w:rFonts w:ascii="Arial" w:hAnsi="Arial" w:cs="Arial"/>
          <w:b/>
          <w:bCs/>
          <w:sz w:val="22"/>
          <w:szCs w:val="22"/>
        </w:rPr>
        <w:t xml:space="preserve">Comparison of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scRNA-seq</w:t>
      </w:r>
      <w:proofErr w:type="spellEnd"/>
      <w:r w:rsidRPr="008E192D">
        <w:rPr>
          <w:rFonts w:ascii="Arial" w:hAnsi="Arial" w:cs="Arial"/>
          <w:b/>
          <w:bCs/>
          <w:sz w:val="22"/>
          <w:szCs w:val="22"/>
        </w:rPr>
        <w:t xml:space="preserve"> integration and batch correction methods.</w:t>
      </w:r>
      <w:proofErr w:type="gramEnd"/>
      <w:r w:rsidRPr="008E192D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192D">
        <w:rPr>
          <w:rFonts w:ascii="Arial" w:hAnsi="Arial" w:cs="Arial"/>
          <w:sz w:val="22"/>
          <w:szCs w:val="22"/>
        </w:rPr>
        <w:t>We compare</w:t>
      </w:r>
      <w:r>
        <w:rPr>
          <w:rFonts w:ascii="Arial" w:hAnsi="Arial" w:cs="Arial"/>
          <w:sz w:val="22"/>
          <w:szCs w:val="22"/>
        </w:rPr>
        <w:t>d</w:t>
      </w:r>
      <w:r w:rsidRPr="008E192D">
        <w:rPr>
          <w:rFonts w:ascii="Arial" w:hAnsi="Arial" w:cs="Arial"/>
          <w:sz w:val="22"/>
          <w:szCs w:val="22"/>
        </w:rPr>
        <w:t xml:space="preserve"> four </w:t>
      </w:r>
      <w:proofErr w:type="spellStart"/>
      <w:r w:rsidRPr="008E192D">
        <w:rPr>
          <w:rFonts w:ascii="Arial" w:hAnsi="Arial" w:cs="Arial"/>
          <w:sz w:val="22"/>
          <w:szCs w:val="22"/>
        </w:rPr>
        <w:t>scRNA-seq</w:t>
      </w:r>
      <w:proofErr w:type="spellEnd"/>
      <w:r w:rsidRPr="008E192D">
        <w:rPr>
          <w:rFonts w:ascii="Arial" w:hAnsi="Arial" w:cs="Arial"/>
          <w:sz w:val="22"/>
          <w:szCs w:val="22"/>
        </w:rPr>
        <w:t xml:space="preserve"> data integration methods to evaluate which most faithfully conserve</w:t>
      </w:r>
      <w:r>
        <w:rPr>
          <w:rFonts w:ascii="Arial" w:hAnsi="Arial" w:cs="Arial"/>
          <w:sz w:val="22"/>
          <w:szCs w:val="22"/>
        </w:rPr>
        <w:t>s</w:t>
      </w:r>
      <w:r w:rsidRPr="008E19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>, anatomical, and biological information while minimiz</w:t>
      </w:r>
      <w:r>
        <w:rPr>
          <w:rFonts w:ascii="Arial" w:hAnsi="Arial" w:cs="Arial"/>
          <w:sz w:val="22"/>
          <w:szCs w:val="22"/>
        </w:rPr>
        <w:t>es</w:t>
      </w:r>
      <w:r w:rsidRPr="008E192D">
        <w:rPr>
          <w:rFonts w:ascii="Arial" w:hAnsi="Arial" w:cs="Arial"/>
          <w:sz w:val="22"/>
          <w:szCs w:val="22"/>
        </w:rPr>
        <w:t xml:space="preserve"> technical </w:t>
      </w:r>
      <w:r>
        <w:rPr>
          <w:rFonts w:ascii="Arial" w:hAnsi="Arial" w:cs="Arial"/>
          <w:sz w:val="22"/>
          <w:szCs w:val="22"/>
        </w:rPr>
        <w:t>biases.</w:t>
      </w:r>
      <w:r w:rsidRPr="008E192D">
        <w:rPr>
          <w:rFonts w:ascii="Arial" w:hAnsi="Arial" w:cs="Arial"/>
          <w:sz w:val="22"/>
          <w:szCs w:val="22"/>
        </w:rPr>
        <w:t xml:space="preserve"> </w:t>
      </w:r>
      <w:r w:rsidRPr="008E192D">
        <w:rPr>
          <w:rFonts w:ascii="Arial" w:hAnsi="Arial" w:cs="Arial"/>
          <w:b/>
          <w:bCs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</w:t>
      </w:r>
      <w:r w:rsidRPr="008E192D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n</w:t>
      </w:r>
      <w:r w:rsidRPr="00944DE2">
        <w:rPr>
          <w:rFonts w:ascii="Times New Roman" w:hAnsi="Times New Roman" w:cs="Times New Roman"/>
          <w:sz w:val="22"/>
          <w:szCs w:val="22"/>
        </w:rPr>
        <w:t> </w:t>
      </w:r>
      <w:r w:rsidRPr="00944DE2">
        <w:rPr>
          <w:rFonts w:ascii="Arial" w:hAnsi="Arial" w:cs="Arial"/>
          <w:sz w:val="22"/>
          <w:szCs w:val="22"/>
        </w:rPr>
        <w:t>=</w:t>
      </w:r>
      <w:r w:rsidRPr="00944DE2">
        <w:rPr>
          <w:rFonts w:ascii="Times New Roman" w:hAnsi="Times New Roman" w:cs="Times New Roman"/>
          <w:sz w:val="22"/>
          <w:szCs w:val="22"/>
        </w:rPr>
        <w:t> </w:t>
      </w:r>
      <w:r w:rsidRPr="008E192D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 xml:space="preserve"> datasets were first annotated independently using a nomenclature of 12 common cell type terms following unsupervised </w:t>
      </w:r>
      <w:r>
        <w:rPr>
          <w:rFonts w:ascii="Arial" w:hAnsi="Arial" w:cs="Arial"/>
          <w:sz w:val="22"/>
          <w:szCs w:val="22"/>
        </w:rPr>
        <w:t xml:space="preserve">SNN </w:t>
      </w:r>
      <w:r w:rsidRPr="008E192D">
        <w:rPr>
          <w:rFonts w:ascii="Arial" w:hAnsi="Arial" w:cs="Arial"/>
          <w:sz w:val="22"/>
          <w:szCs w:val="22"/>
        </w:rPr>
        <w:t xml:space="preserve">clustering. </w:t>
      </w:r>
      <w:r>
        <w:rPr>
          <w:rFonts w:ascii="Arial" w:hAnsi="Arial" w:cs="Arial"/>
          <w:sz w:val="22"/>
          <w:szCs w:val="22"/>
        </w:rPr>
        <w:t>Then we</w:t>
      </w:r>
      <w:r w:rsidRPr="008E192D">
        <w:rPr>
          <w:rFonts w:ascii="Arial" w:hAnsi="Arial" w:cs="Arial"/>
          <w:sz w:val="22"/>
          <w:szCs w:val="22"/>
        </w:rPr>
        <w:t xml:space="preserve"> evaluated the integration method by UMAP and by coloring the data either by cell type, 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 xml:space="preserve"> ID, or </w:t>
      </w:r>
      <w:r>
        <w:rPr>
          <w:rFonts w:ascii="Arial" w:hAnsi="Arial" w:cs="Arial"/>
          <w:sz w:val="22"/>
          <w:szCs w:val="22"/>
        </w:rPr>
        <w:t>10X library</w:t>
      </w:r>
      <w:r w:rsidRPr="008E192D">
        <w:rPr>
          <w:rFonts w:ascii="Arial" w:hAnsi="Arial" w:cs="Arial"/>
          <w:sz w:val="22"/>
          <w:szCs w:val="22"/>
        </w:rPr>
        <w:t xml:space="preserve"> chemistry used. </w:t>
      </w:r>
      <w:r w:rsidRPr="00A15A58">
        <w:rPr>
          <w:rFonts w:ascii="Arial" w:hAnsi="Arial" w:cs="Arial"/>
          <w:i/>
          <w:iCs/>
          <w:sz w:val="22"/>
          <w:szCs w:val="22"/>
        </w:rPr>
        <w:t>First</w:t>
      </w:r>
      <w:r w:rsidRPr="008E192D">
        <w:rPr>
          <w:rFonts w:ascii="Arial" w:hAnsi="Arial" w:cs="Arial"/>
          <w:sz w:val="22"/>
          <w:szCs w:val="22"/>
        </w:rPr>
        <w:t xml:space="preserve">, we integrated the data by merging the individually normalized gene expression matrices without any further correction. We </w:t>
      </w:r>
      <w:r>
        <w:rPr>
          <w:rFonts w:ascii="Arial" w:hAnsi="Arial" w:cs="Arial"/>
          <w:sz w:val="22"/>
          <w:szCs w:val="22"/>
        </w:rPr>
        <w:t>saw</w:t>
      </w:r>
      <w:r w:rsidRPr="008E192D">
        <w:rPr>
          <w:rFonts w:ascii="Arial" w:hAnsi="Arial" w:cs="Arial"/>
          <w:sz w:val="22"/>
          <w:szCs w:val="22"/>
        </w:rPr>
        <w:t xml:space="preserve"> strong technical biases that overwhelm</w:t>
      </w:r>
      <w:r>
        <w:rPr>
          <w:rFonts w:ascii="Arial" w:hAnsi="Arial" w:cs="Arial"/>
          <w:sz w:val="22"/>
          <w:szCs w:val="22"/>
        </w:rPr>
        <w:t>ed</w:t>
      </w:r>
      <w:r w:rsidRPr="008E192D">
        <w:rPr>
          <w:rFonts w:ascii="Arial" w:hAnsi="Arial" w:cs="Arial"/>
          <w:sz w:val="22"/>
          <w:szCs w:val="22"/>
        </w:rPr>
        <w:t xml:space="preserve"> biological information as the different cell </w:t>
      </w:r>
      <w:proofErr w:type="gramStart"/>
      <w:r w:rsidRPr="008E192D">
        <w:rPr>
          <w:rFonts w:ascii="Arial" w:hAnsi="Arial" w:cs="Arial"/>
          <w:sz w:val="22"/>
          <w:szCs w:val="22"/>
        </w:rPr>
        <w:t>populations</w:t>
      </w:r>
      <w:proofErr w:type="gramEnd"/>
      <w:r w:rsidRPr="008E192D">
        <w:rPr>
          <w:rFonts w:ascii="Arial" w:hAnsi="Arial" w:cs="Arial"/>
          <w:sz w:val="22"/>
          <w:szCs w:val="22"/>
        </w:rPr>
        <w:t xml:space="preserve"> segregate by sample/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 xml:space="preserve"> and chemistry type. For instance, the two </w:t>
      </w:r>
      <w:proofErr w:type="spellStart"/>
      <w:r w:rsidRPr="008E192D">
        <w:rPr>
          <w:rFonts w:ascii="Arial" w:hAnsi="Arial" w:cs="Arial"/>
          <w:sz w:val="22"/>
          <w:szCs w:val="22"/>
        </w:rPr>
        <w:t>MuSC</w:t>
      </w:r>
      <w:proofErr w:type="spellEnd"/>
      <w:r w:rsidRPr="008E192D">
        <w:rPr>
          <w:rFonts w:ascii="Arial" w:hAnsi="Arial" w:cs="Arial"/>
          <w:sz w:val="22"/>
          <w:szCs w:val="22"/>
        </w:rPr>
        <w:t xml:space="preserve"> and progenitor subpopulations are grouped with fibroblasts and endothelial cells. </w:t>
      </w:r>
      <w:r w:rsidRPr="00A15A58">
        <w:rPr>
          <w:rFonts w:ascii="Arial" w:hAnsi="Arial" w:cs="Arial"/>
          <w:i/>
          <w:iCs/>
          <w:sz w:val="22"/>
          <w:szCs w:val="22"/>
        </w:rPr>
        <w:t>Second</w:t>
      </w:r>
      <w:r w:rsidRPr="008E192D">
        <w:rPr>
          <w:rFonts w:ascii="Arial" w:hAnsi="Arial" w:cs="Arial"/>
          <w:sz w:val="22"/>
          <w:szCs w:val="22"/>
        </w:rPr>
        <w:t xml:space="preserve">, we tested </w:t>
      </w:r>
      <w:r>
        <w:rPr>
          <w:rFonts w:ascii="Arial" w:hAnsi="Arial" w:cs="Arial"/>
          <w:sz w:val="22"/>
          <w:szCs w:val="22"/>
        </w:rPr>
        <w:t xml:space="preserve">the </w:t>
      </w:r>
      <w:r w:rsidRPr="008E192D">
        <w:rPr>
          <w:rFonts w:ascii="Arial" w:hAnsi="Arial" w:cs="Arial"/>
          <w:sz w:val="22"/>
          <w:szCs w:val="22"/>
        </w:rPr>
        <w:t xml:space="preserve">Seurat SCT integration method </w:t>
      </w:r>
      <w:r w:rsidRPr="000C2A2B">
        <w:rPr>
          <w:rFonts w:ascii="Arial" w:hAnsi="Arial" w:cs="Arial"/>
          <w:sz w:val="22"/>
          <w:szCs w:val="22"/>
        </w:rPr>
        <w:t>(Stuart et al., 2019b)</w:t>
      </w:r>
      <w:r w:rsidRPr="008E192D">
        <w:rPr>
          <w:rFonts w:ascii="Arial" w:hAnsi="Arial" w:cs="Arial"/>
          <w:sz w:val="22"/>
          <w:szCs w:val="22"/>
        </w:rPr>
        <w:t>. This method first calculates a cross-correlation subspace from genes that are shared between datasets. We notice</w:t>
      </w:r>
      <w:r>
        <w:rPr>
          <w:rFonts w:ascii="Arial" w:hAnsi="Arial" w:cs="Arial"/>
          <w:sz w:val="22"/>
          <w:szCs w:val="22"/>
        </w:rPr>
        <w:t>d</w:t>
      </w:r>
      <w:r w:rsidRPr="008E192D">
        <w:rPr>
          <w:rFonts w:ascii="Arial" w:hAnsi="Arial" w:cs="Arial"/>
          <w:sz w:val="22"/>
          <w:szCs w:val="22"/>
        </w:rPr>
        <w:t xml:space="preserve"> that this method better “aligns” 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 xml:space="preserve"> and chemistry type but at the expense of masking biological variability. For instance, we </w:t>
      </w:r>
      <w:r>
        <w:rPr>
          <w:rFonts w:ascii="Arial" w:hAnsi="Arial" w:cs="Arial"/>
          <w:sz w:val="22"/>
          <w:szCs w:val="22"/>
        </w:rPr>
        <w:t>observed</w:t>
      </w:r>
      <w:r w:rsidRPr="008E192D">
        <w:rPr>
          <w:rFonts w:ascii="Arial" w:hAnsi="Arial" w:cs="Arial"/>
          <w:sz w:val="22"/>
          <w:szCs w:val="22"/>
        </w:rPr>
        <w:t xml:space="preserve"> that the two </w:t>
      </w:r>
      <w:proofErr w:type="spellStart"/>
      <w:r w:rsidRPr="008E192D">
        <w:rPr>
          <w:rFonts w:ascii="Arial" w:hAnsi="Arial" w:cs="Arial"/>
          <w:sz w:val="22"/>
          <w:szCs w:val="22"/>
        </w:rPr>
        <w:t>MuSC</w:t>
      </w:r>
      <w:proofErr w:type="spellEnd"/>
      <w:r w:rsidRPr="008E192D">
        <w:rPr>
          <w:rFonts w:ascii="Arial" w:hAnsi="Arial" w:cs="Arial"/>
          <w:sz w:val="22"/>
          <w:szCs w:val="22"/>
        </w:rPr>
        <w:t xml:space="preserve"> and four stromal</w:t>
      </w:r>
      <w:r>
        <w:rPr>
          <w:rFonts w:ascii="Arial" w:hAnsi="Arial" w:cs="Arial"/>
          <w:sz w:val="22"/>
          <w:szCs w:val="22"/>
        </w:rPr>
        <w:t xml:space="preserve"> subpopulations</w:t>
      </w:r>
      <w:r w:rsidRPr="008E192D">
        <w:rPr>
          <w:rFonts w:ascii="Arial" w:hAnsi="Arial" w:cs="Arial"/>
          <w:sz w:val="22"/>
          <w:szCs w:val="22"/>
        </w:rPr>
        <w:t xml:space="preserve"> (Fibroblast 1</w:t>
      </w:r>
      <w:proofErr w:type="gramStart"/>
      <w:r w:rsidRPr="008E192D">
        <w:rPr>
          <w:rFonts w:ascii="Arial" w:hAnsi="Arial" w:cs="Arial"/>
          <w:sz w:val="22"/>
          <w:szCs w:val="22"/>
        </w:rPr>
        <w:t>,2,3</w:t>
      </w:r>
      <w:proofErr w:type="gramEnd"/>
      <w:r w:rsidRPr="008E192D">
        <w:rPr>
          <w:rFonts w:ascii="Arial" w:hAnsi="Arial" w:cs="Arial"/>
          <w:sz w:val="22"/>
          <w:szCs w:val="22"/>
        </w:rPr>
        <w:t xml:space="preserve"> and Adipocytes) </w:t>
      </w:r>
      <w:r>
        <w:rPr>
          <w:rFonts w:ascii="Arial" w:hAnsi="Arial" w:cs="Arial"/>
          <w:sz w:val="22"/>
          <w:szCs w:val="22"/>
        </w:rPr>
        <w:t>were</w:t>
      </w:r>
      <w:r w:rsidRPr="008E192D">
        <w:rPr>
          <w:rFonts w:ascii="Arial" w:hAnsi="Arial" w:cs="Arial"/>
          <w:sz w:val="22"/>
          <w:szCs w:val="22"/>
        </w:rPr>
        <w:t xml:space="preserve"> grouped together, hiding important biological heterogeneity. Although certainly useful to validate reproducibility in </w:t>
      </w:r>
      <w:proofErr w:type="spellStart"/>
      <w:r w:rsidRPr="008E192D">
        <w:rPr>
          <w:rFonts w:ascii="Arial" w:hAnsi="Arial" w:cs="Arial"/>
          <w:sz w:val="22"/>
          <w:szCs w:val="22"/>
        </w:rPr>
        <w:t>scRNA-seq</w:t>
      </w:r>
      <w:proofErr w:type="spellEnd"/>
      <w:r w:rsidRPr="008E192D">
        <w:rPr>
          <w:rFonts w:ascii="Arial" w:hAnsi="Arial" w:cs="Arial"/>
          <w:sz w:val="22"/>
          <w:szCs w:val="22"/>
        </w:rPr>
        <w:t xml:space="preserve"> experiments, </w:t>
      </w:r>
      <w:r>
        <w:rPr>
          <w:rFonts w:ascii="Arial" w:hAnsi="Arial" w:cs="Arial"/>
          <w:sz w:val="22"/>
          <w:szCs w:val="22"/>
        </w:rPr>
        <w:t xml:space="preserve">the </w:t>
      </w:r>
      <w:r w:rsidRPr="008E192D">
        <w:rPr>
          <w:rFonts w:ascii="Arial" w:hAnsi="Arial" w:cs="Arial"/>
          <w:sz w:val="22"/>
          <w:szCs w:val="22"/>
        </w:rPr>
        <w:t>Seurat SCT integration approach overcorrect</w:t>
      </w:r>
      <w:r>
        <w:rPr>
          <w:rFonts w:ascii="Arial" w:hAnsi="Arial" w:cs="Arial"/>
          <w:sz w:val="22"/>
          <w:szCs w:val="22"/>
        </w:rPr>
        <w:t>ed</w:t>
      </w:r>
      <w:r w:rsidRPr="008E192D">
        <w:rPr>
          <w:rFonts w:ascii="Arial" w:hAnsi="Arial" w:cs="Arial"/>
          <w:sz w:val="22"/>
          <w:szCs w:val="22"/>
        </w:rPr>
        <w:t xml:space="preserve"> biological heterogeneity </w:t>
      </w:r>
      <w:r>
        <w:rPr>
          <w:rFonts w:ascii="Arial" w:hAnsi="Arial" w:cs="Arial"/>
          <w:sz w:val="22"/>
          <w:szCs w:val="22"/>
        </w:rPr>
        <w:t>for</w:t>
      </w:r>
      <w:r w:rsidRPr="008E192D">
        <w:rPr>
          <w:rFonts w:ascii="Arial" w:hAnsi="Arial" w:cs="Arial"/>
          <w:sz w:val="22"/>
          <w:szCs w:val="22"/>
        </w:rPr>
        <w:t xml:space="preserve"> heterogeneous samples. </w:t>
      </w:r>
      <w:r w:rsidRPr="00A15A58">
        <w:rPr>
          <w:rFonts w:ascii="Arial" w:hAnsi="Arial" w:cs="Arial"/>
          <w:i/>
          <w:iCs/>
          <w:sz w:val="22"/>
          <w:szCs w:val="22"/>
        </w:rPr>
        <w:t>Third</w:t>
      </w:r>
      <w:r w:rsidRPr="008E192D">
        <w:rPr>
          <w:rFonts w:ascii="Arial" w:hAnsi="Arial" w:cs="Arial"/>
          <w:sz w:val="22"/>
          <w:szCs w:val="22"/>
        </w:rPr>
        <w:t xml:space="preserve">, we tested the </w:t>
      </w:r>
      <w:proofErr w:type="spellStart"/>
      <w:r w:rsidRPr="008E192D">
        <w:rPr>
          <w:rFonts w:ascii="Arial" w:hAnsi="Arial" w:cs="Arial"/>
          <w:sz w:val="22"/>
          <w:szCs w:val="22"/>
        </w:rPr>
        <w:t>Scanorama</w:t>
      </w:r>
      <w:proofErr w:type="spellEnd"/>
      <w:r w:rsidRPr="008E192D">
        <w:rPr>
          <w:rFonts w:ascii="Arial" w:hAnsi="Arial" w:cs="Arial"/>
          <w:sz w:val="22"/>
          <w:szCs w:val="22"/>
        </w:rPr>
        <w:t xml:space="preserve"> method</w:t>
      </w:r>
      <w:r>
        <w:rPr>
          <w:rFonts w:ascii="Arial" w:hAnsi="Arial" w:cs="Arial"/>
          <w:sz w:val="22"/>
          <w:szCs w:val="22"/>
        </w:rPr>
        <w:t xml:space="preserve"> </w:t>
      </w:r>
      <w:r w:rsidRPr="000C2A2B">
        <w:rPr>
          <w:rFonts w:ascii="Arial" w:hAnsi="Arial" w:cs="Arial"/>
          <w:sz w:val="22"/>
          <w:szCs w:val="22"/>
        </w:rPr>
        <w:t>(</w:t>
      </w:r>
      <w:proofErr w:type="spellStart"/>
      <w:r w:rsidRPr="000C2A2B">
        <w:rPr>
          <w:rFonts w:ascii="Arial" w:hAnsi="Arial" w:cs="Arial"/>
          <w:sz w:val="22"/>
          <w:szCs w:val="22"/>
        </w:rPr>
        <w:t>Hie</w:t>
      </w:r>
      <w:proofErr w:type="spellEnd"/>
      <w:r w:rsidRPr="000C2A2B">
        <w:rPr>
          <w:rFonts w:ascii="Arial" w:hAnsi="Arial" w:cs="Arial"/>
          <w:sz w:val="22"/>
          <w:szCs w:val="22"/>
        </w:rPr>
        <w:t xml:space="preserve"> et al., 2019)</w:t>
      </w:r>
      <w:r>
        <w:rPr>
          <w:rFonts w:ascii="Arial" w:hAnsi="Arial" w:cs="Arial"/>
          <w:sz w:val="22"/>
          <w:szCs w:val="22"/>
        </w:rPr>
        <w:t xml:space="preserve">, which </w:t>
      </w:r>
      <w:r w:rsidRPr="008E192D">
        <w:rPr>
          <w:rFonts w:ascii="Arial" w:hAnsi="Arial" w:cs="Arial"/>
          <w:sz w:val="22"/>
          <w:szCs w:val="22"/>
        </w:rPr>
        <w:t>relies on a computer vision algorithm that “stitches” datasets together even when the cell type composition between dataset is considerably different. We see that this method group</w:t>
      </w:r>
      <w:r>
        <w:rPr>
          <w:rFonts w:ascii="Arial" w:hAnsi="Arial" w:cs="Arial"/>
          <w:sz w:val="22"/>
          <w:szCs w:val="22"/>
        </w:rPr>
        <w:t>s</w:t>
      </w:r>
      <w:r w:rsidRPr="008E192D">
        <w:rPr>
          <w:rFonts w:ascii="Arial" w:hAnsi="Arial" w:cs="Arial"/>
          <w:sz w:val="22"/>
          <w:szCs w:val="22"/>
        </w:rPr>
        <w:t xml:space="preserve"> similar cell populations together while acknowledging 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 xml:space="preserve"> differences. Yet, surprisingly, this method is also very sensitive a</w:t>
      </w:r>
      <w:r>
        <w:rPr>
          <w:rFonts w:ascii="Arial" w:hAnsi="Arial" w:cs="Arial"/>
          <w:sz w:val="22"/>
          <w:szCs w:val="22"/>
        </w:rPr>
        <w:t>t</w:t>
      </w:r>
      <w:r w:rsidRPr="008E192D">
        <w:rPr>
          <w:rFonts w:ascii="Arial" w:hAnsi="Arial" w:cs="Arial"/>
          <w:sz w:val="22"/>
          <w:szCs w:val="22"/>
        </w:rPr>
        <w:t xml:space="preserve"> picking up differences in chemistry. To correct this chemistry effect, we scaled the </w:t>
      </w:r>
      <w:proofErr w:type="spellStart"/>
      <w:r w:rsidRPr="008E192D">
        <w:rPr>
          <w:rFonts w:ascii="Arial" w:hAnsi="Arial" w:cs="Arial"/>
          <w:sz w:val="22"/>
          <w:szCs w:val="22"/>
        </w:rPr>
        <w:t>Scanorama</w:t>
      </w:r>
      <w:proofErr w:type="spellEnd"/>
      <w:r w:rsidRPr="008E192D">
        <w:rPr>
          <w:rFonts w:ascii="Arial" w:hAnsi="Arial" w:cs="Arial"/>
          <w:sz w:val="22"/>
          <w:szCs w:val="22"/>
        </w:rPr>
        <w:t xml:space="preserve"> output by regressing out the chemistry and the number of genes detected per cell (significantly different between chemistry type) </w:t>
      </w:r>
      <w:r w:rsidRPr="008E192D">
        <w:rPr>
          <w:rFonts w:ascii="Arial" w:hAnsi="Arial" w:cs="Arial"/>
          <w:b/>
          <w:bCs/>
          <w:sz w:val="22"/>
          <w:szCs w:val="22"/>
        </w:rPr>
        <w:t>(B)</w:t>
      </w:r>
      <w:r w:rsidRPr="008E192D">
        <w:rPr>
          <w:rFonts w:ascii="Arial" w:hAnsi="Arial" w:cs="Arial"/>
          <w:sz w:val="22"/>
          <w:szCs w:val="22"/>
        </w:rPr>
        <w:t xml:space="preserve">. Using this integration method, we </w:t>
      </w:r>
      <w:r>
        <w:rPr>
          <w:rFonts w:ascii="Arial" w:hAnsi="Arial" w:cs="Arial"/>
          <w:sz w:val="22"/>
          <w:szCs w:val="22"/>
        </w:rPr>
        <w:t>observed</w:t>
      </w:r>
      <w:r w:rsidRPr="008E192D">
        <w:rPr>
          <w:rFonts w:ascii="Arial" w:hAnsi="Arial" w:cs="Arial"/>
          <w:sz w:val="22"/>
          <w:szCs w:val="22"/>
        </w:rPr>
        <w:t xml:space="preserve"> clear separation of the independently annotated cell populations. </w:t>
      </w:r>
      <w:r>
        <w:rPr>
          <w:rFonts w:ascii="Arial" w:hAnsi="Arial" w:cs="Arial"/>
          <w:sz w:val="22"/>
          <w:szCs w:val="22"/>
        </w:rPr>
        <w:t xml:space="preserve">We present the </w:t>
      </w:r>
      <w:r w:rsidRPr="008E192D">
        <w:rPr>
          <w:rFonts w:ascii="Arial" w:hAnsi="Arial" w:cs="Arial"/>
          <w:sz w:val="22"/>
          <w:szCs w:val="22"/>
        </w:rPr>
        <w:t>resulting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Scanorama</w:t>
      </w:r>
      <w:proofErr w:type="spellEnd"/>
      <w:r>
        <w:rPr>
          <w:rFonts w:ascii="Arial" w:hAnsi="Arial" w:cs="Arial"/>
          <w:sz w:val="22"/>
          <w:szCs w:val="22"/>
        </w:rPr>
        <w:t>-integrated</w:t>
      </w:r>
      <w:r w:rsidRPr="008E192D">
        <w:rPr>
          <w:rFonts w:ascii="Arial" w:hAnsi="Arial" w:cs="Arial"/>
          <w:sz w:val="22"/>
          <w:szCs w:val="22"/>
        </w:rPr>
        <w:t xml:space="preserve"> dataset </w:t>
      </w:r>
      <w:r>
        <w:rPr>
          <w:rFonts w:ascii="Arial" w:hAnsi="Arial" w:cs="Arial"/>
          <w:sz w:val="22"/>
          <w:szCs w:val="22"/>
        </w:rPr>
        <w:t>as</w:t>
      </w:r>
      <w:r w:rsidRPr="008E192D">
        <w:rPr>
          <w:rFonts w:ascii="Arial" w:hAnsi="Arial" w:cs="Arial"/>
          <w:sz w:val="22"/>
          <w:szCs w:val="22"/>
        </w:rPr>
        <w:t xml:space="preserve"> a “consensus atlas” </w:t>
      </w:r>
      <w:r w:rsidRPr="00A15A58">
        <w:rPr>
          <w:rFonts w:ascii="Arial" w:hAnsi="Arial" w:cs="Arial"/>
          <w:sz w:val="22"/>
          <w:szCs w:val="22"/>
        </w:rPr>
        <w:t>(see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C0AB2">
        <w:rPr>
          <w:rFonts w:ascii="Arial" w:hAnsi="Arial" w:cs="Arial"/>
          <w:b/>
          <w:bCs/>
          <w:sz w:val="22"/>
          <w:szCs w:val="22"/>
        </w:rPr>
        <w:t>Fig. 1B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2C0AB2">
        <w:rPr>
          <w:rFonts w:ascii="Arial" w:hAnsi="Arial" w:cs="Arial"/>
          <w:b/>
          <w:bCs/>
          <w:sz w:val="22"/>
          <w:szCs w:val="22"/>
        </w:rPr>
        <w:t>C</w:t>
      </w:r>
      <w:r w:rsidRPr="00A15A58">
        <w:rPr>
          <w:rFonts w:ascii="Arial" w:hAnsi="Arial" w:cs="Arial"/>
          <w:sz w:val="22"/>
          <w:szCs w:val="22"/>
        </w:rPr>
        <w:t>)</w:t>
      </w:r>
      <w:r w:rsidRPr="002C0AB2">
        <w:rPr>
          <w:rFonts w:ascii="Arial" w:hAnsi="Arial" w:cs="Arial"/>
          <w:sz w:val="22"/>
          <w:szCs w:val="22"/>
        </w:rPr>
        <w:t xml:space="preserve"> </w:t>
      </w:r>
      <w:r w:rsidRPr="008E192D">
        <w:rPr>
          <w:rFonts w:ascii="Arial" w:hAnsi="Arial" w:cs="Arial"/>
          <w:sz w:val="22"/>
          <w:szCs w:val="22"/>
        </w:rPr>
        <w:t xml:space="preserve">of human muscle that describes 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>-to-</w:t>
      </w:r>
      <w:r>
        <w:rPr>
          <w:rFonts w:ascii="Arial" w:hAnsi="Arial" w:cs="Arial"/>
          <w:sz w:val="22"/>
          <w:szCs w:val="22"/>
        </w:rPr>
        <w:t>donor</w:t>
      </w:r>
      <w:r w:rsidRPr="008E192D">
        <w:rPr>
          <w:rFonts w:ascii="Arial" w:hAnsi="Arial" w:cs="Arial"/>
          <w:sz w:val="22"/>
          <w:szCs w:val="22"/>
        </w:rPr>
        <w:t xml:space="preserve"> differences while grouping cells that are similar together and removing technical biases.</w:t>
      </w:r>
    </w:p>
    <w:p w:rsidR="00703CC9" w:rsidRDefault="00703CC9" w:rsidP="00703C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03CC9" w:rsidRDefault="00703CC9" w:rsidP="00703CC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3772707B" wp14:editId="3C51EA36">
            <wp:extent cx="5905070" cy="629094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2_HumanMouse_BC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205" cy="629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C9" w:rsidRDefault="00703CC9" w:rsidP="00703CC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3CC9" w:rsidRDefault="00703CC9" w:rsidP="00703CC9">
      <w:pPr>
        <w:jc w:val="both"/>
        <w:rPr>
          <w:rFonts w:ascii="Arial" w:hAnsi="Arial" w:cs="Arial"/>
          <w:sz w:val="22"/>
          <w:szCs w:val="22"/>
        </w:rPr>
      </w:pPr>
      <w:r w:rsidRPr="008E192D">
        <w:rPr>
          <w:rFonts w:ascii="Arial" w:hAnsi="Arial" w:cs="Arial"/>
          <w:b/>
          <w:bCs/>
          <w:sz w:val="22"/>
          <w:szCs w:val="22"/>
        </w:rPr>
        <w:t>Figure S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8E192D">
        <w:rPr>
          <w:rFonts w:ascii="Arial" w:hAnsi="Arial" w:cs="Arial"/>
          <w:b/>
          <w:bCs/>
          <w:sz w:val="22"/>
          <w:szCs w:val="22"/>
        </w:rPr>
        <w:t>.</w:t>
      </w:r>
      <w:r w:rsidRPr="00DE3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Integration of human and mouse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scRNA-seq</w:t>
      </w:r>
      <w:proofErr w:type="spellEnd"/>
      <w:r w:rsidRPr="008E192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data sets</w:t>
      </w:r>
      <w:r w:rsidRPr="008E192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allows comparison of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MuSC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receptor gene expression across species</w:t>
      </w:r>
      <w:r w:rsidRPr="008E192D">
        <w:rPr>
          <w:rFonts w:ascii="Arial" w:hAnsi="Arial" w:cs="Arial"/>
          <w:b/>
          <w:bCs/>
          <w:sz w:val="22"/>
          <w:szCs w:val="22"/>
        </w:rPr>
        <w:t xml:space="preserve">. </w:t>
      </w:r>
      <w:r w:rsidRPr="008E192D">
        <w:rPr>
          <w:rFonts w:ascii="Arial" w:hAnsi="Arial" w:cs="Arial"/>
          <w:sz w:val="22"/>
          <w:szCs w:val="22"/>
        </w:rPr>
        <w:t xml:space="preserve">We </w:t>
      </w:r>
      <w:r>
        <w:rPr>
          <w:rFonts w:ascii="Arial" w:hAnsi="Arial" w:cs="Arial"/>
          <w:sz w:val="22"/>
          <w:szCs w:val="22"/>
        </w:rPr>
        <w:t xml:space="preserve">generated an integrated </w:t>
      </w:r>
      <w:proofErr w:type="spellStart"/>
      <w:r>
        <w:rPr>
          <w:rFonts w:ascii="Arial" w:hAnsi="Arial" w:cs="Arial"/>
          <w:sz w:val="22"/>
          <w:szCs w:val="22"/>
        </w:rPr>
        <w:t>scRNA-seq</w:t>
      </w:r>
      <w:proofErr w:type="spellEnd"/>
      <w:r>
        <w:rPr>
          <w:rFonts w:ascii="Arial" w:hAnsi="Arial" w:cs="Arial"/>
          <w:sz w:val="22"/>
          <w:szCs w:val="22"/>
        </w:rPr>
        <w:t xml:space="preserve"> atlas including human sample datasets from Fig. 1 and an adult mouse muscle regeneration time-course from De </w:t>
      </w:r>
      <w:proofErr w:type="spellStart"/>
      <w:r>
        <w:rPr>
          <w:rFonts w:ascii="Arial" w:hAnsi="Arial" w:cs="Arial"/>
          <w:sz w:val="22"/>
          <w:szCs w:val="22"/>
        </w:rPr>
        <w:t>Micheli</w:t>
      </w:r>
      <w:proofErr w:type="spellEnd"/>
      <w:r>
        <w:rPr>
          <w:rFonts w:ascii="Arial" w:hAnsi="Arial" w:cs="Arial"/>
          <w:sz w:val="22"/>
          <w:szCs w:val="22"/>
        </w:rPr>
        <w:t xml:space="preserve"> et al. (2020). These datasets were integrated using first </w:t>
      </w:r>
      <w:proofErr w:type="spellStart"/>
      <w:r>
        <w:rPr>
          <w:rFonts w:ascii="Arial" w:hAnsi="Arial" w:cs="Arial"/>
          <w:sz w:val="22"/>
          <w:szCs w:val="22"/>
        </w:rPr>
        <w:t>Scanorama</w:t>
      </w:r>
      <w:proofErr w:type="spellEnd"/>
      <w:r>
        <w:rPr>
          <w:rFonts w:ascii="Arial" w:hAnsi="Arial" w:cs="Arial"/>
          <w:sz w:val="22"/>
          <w:szCs w:val="22"/>
        </w:rPr>
        <w:t xml:space="preserve"> and then Harmony for alignment across species. (</w:t>
      </w:r>
      <w:r w:rsidRPr="00E9689F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Multi-species integrated atlas presented by UMAP plot a colored by sample type. (</w:t>
      </w:r>
      <w:r w:rsidRPr="00E9689F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Multi-species integrated atlas presented by UMAP plot and annotated by cell-type clusters. (</w:t>
      </w:r>
      <w:r w:rsidRPr="00E9689F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The human MuSC1 and MuSC2 clusters were grouped into a cumulative human </w:t>
      </w:r>
      <w:proofErr w:type="spellStart"/>
      <w:r>
        <w:rPr>
          <w:rFonts w:ascii="Arial" w:hAnsi="Arial" w:cs="Arial"/>
          <w:sz w:val="22"/>
          <w:szCs w:val="22"/>
        </w:rPr>
        <w:t>MuSC</w:t>
      </w:r>
      <w:proofErr w:type="spellEnd"/>
      <w:r>
        <w:rPr>
          <w:rFonts w:ascii="Arial" w:hAnsi="Arial" w:cs="Arial"/>
          <w:sz w:val="22"/>
          <w:szCs w:val="22"/>
        </w:rPr>
        <w:t xml:space="preserve"> cell population, which was compared to mouse </w:t>
      </w:r>
      <w:proofErr w:type="spellStart"/>
      <w:r>
        <w:rPr>
          <w:rFonts w:ascii="Arial" w:hAnsi="Arial" w:cs="Arial"/>
          <w:sz w:val="22"/>
          <w:szCs w:val="22"/>
        </w:rPr>
        <w:t>MuSCs</w:t>
      </w:r>
      <w:proofErr w:type="spellEnd"/>
      <w:r>
        <w:rPr>
          <w:rFonts w:ascii="Arial" w:hAnsi="Arial" w:cs="Arial"/>
          <w:sz w:val="22"/>
          <w:szCs w:val="22"/>
        </w:rPr>
        <w:t xml:space="preserve"> from the uninjured samples only. Receptor genes were analyzed between the mouse and human </w:t>
      </w:r>
      <w:proofErr w:type="spellStart"/>
      <w:r>
        <w:rPr>
          <w:rFonts w:ascii="Arial" w:hAnsi="Arial" w:cs="Arial"/>
          <w:sz w:val="22"/>
          <w:szCs w:val="22"/>
        </w:rPr>
        <w:t>MuSC</w:t>
      </w:r>
      <w:proofErr w:type="spellEnd"/>
      <w:r>
        <w:rPr>
          <w:rFonts w:ascii="Arial" w:hAnsi="Arial" w:cs="Arial"/>
          <w:sz w:val="22"/>
          <w:szCs w:val="22"/>
        </w:rPr>
        <w:t xml:space="preserve"> cells for differential expression. Differentially expressed genes with an FDR-corrected q-value &lt;0.05 are shown in (</w:t>
      </w:r>
      <w:r w:rsidRPr="00E9689F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).</w:t>
      </w:r>
    </w:p>
    <w:p w:rsidR="00703CC9" w:rsidRDefault="00703CC9" w:rsidP="00703CC9">
      <w:pPr>
        <w:rPr>
          <w:rFonts w:ascii="Arial" w:hAnsi="Arial" w:cs="Arial"/>
          <w:sz w:val="22"/>
          <w:szCs w:val="22"/>
        </w:rPr>
      </w:pPr>
    </w:p>
    <w:p w:rsidR="00703CC9" w:rsidRDefault="00703CC9" w:rsidP="00703CC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92F70E" wp14:editId="7A1C9AF7">
            <wp:extent cx="5943600" cy="5120005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C9" w:rsidRDefault="00703CC9" w:rsidP="00703CC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03CC9" w:rsidRPr="00F51410" w:rsidRDefault="00703CC9" w:rsidP="00703CC9">
      <w:pPr>
        <w:jc w:val="both"/>
        <w:rPr>
          <w:rFonts w:ascii="Arial" w:hAnsi="Arial" w:cs="Arial"/>
          <w:sz w:val="22"/>
          <w:szCs w:val="22"/>
        </w:rPr>
      </w:pPr>
      <w:r w:rsidRPr="008E192D">
        <w:rPr>
          <w:rFonts w:ascii="Arial" w:hAnsi="Arial" w:cs="Arial"/>
          <w:b/>
          <w:bCs/>
          <w:sz w:val="22"/>
          <w:szCs w:val="22"/>
        </w:rPr>
        <w:t>Figure S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8E192D">
        <w:rPr>
          <w:rFonts w:ascii="Arial" w:hAnsi="Arial" w:cs="Arial"/>
          <w:b/>
          <w:bCs/>
          <w:sz w:val="22"/>
          <w:szCs w:val="22"/>
        </w:rPr>
        <w:t>.</w:t>
      </w:r>
      <w:r w:rsidRPr="00DE3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Composition of single-cell reference atlas as a whole and in cell-type clusters by donor</w:t>
      </w:r>
      <w:r w:rsidRPr="008E192D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(A) </w:t>
      </w:r>
      <w:r>
        <w:rPr>
          <w:rFonts w:ascii="Arial" w:hAnsi="Arial" w:cs="Arial"/>
          <w:sz w:val="22"/>
          <w:szCs w:val="22"/>
        </w:rPr>
        <w:t>Visualization of donor (n</w:t>
      </w:r>
      <w:r w:rsidRPr="00944DE2">
        <w:rPr>
          <w:rFonts w:ascii="Times New Roman" w:hAnsi="Times New Roman" w:cs="Times New Roman"/>
          <w:sz w:val="22"/>
          <w:szCs w:val="22"/>
        </w:rPr>
        <w:t> </w:t>
      </w:r>
      <w:r w:rsidRPr="00944DE2">
        <w:rPr>
          <w:rFonts w:ascii="Arial" w:hAnsi="Arial" w:cs="Arial"/>
          <w:sz w:val="22"/>
          <w:szCs w:val="22"/>
        </w:rPr>
        <w:t>=</w:t>
      </w:r>
      <w:r w:rsidRPr="00944DE2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10) contributions to the whole single-cell reference atlas. In each panel, the full atlas is presented as a UMAP plot, with the cells for an individual donor are colored and overlaid on cells from all other donors (in </w:t>
      </w:r>
      <w:bookmarkStart w:id="0" w:name="path3"/>
      <w:r>
        <w:rPr>
          <w:rFonts w:ascii="Arial" w:hAnsi="Arial" w:cs="Arial"/>
          <w:sz w:val="22"/>
          <w:szCs w:val="22"/>
        </w:rPr>
        <w:t>gray</w:t>
      </w:r>
      <w:bookmarkEnd w:id="0"/>
      <w:r>
        <w:rPr>
          <w:rFonts w:ascii="Arial" w:hAnsi="Arial" w:cs="Arial"/>
          <w:sz w:val="22"/>
          <w:szCs w:val="22"/>
        </w:rPr>
        <w:t>). Note the total number of cells assayed differs for each donor (see Fig. 1A).</w:t>
      </w:r>
      <w:r>
        <w:rPr>
          <w:rFonts w:ascii="Arial" w:hAnsi="Arial" w:cs="Arial"/>
          <w:b/>
          <w:bCs/>
          <w:sz w:val="22"/>
          <w:szCs w:val="22"/>
        </w:rPr>
        <w:t xml:space="preserve"> (B)</w:t>
      </w:r>
      <w:r>
        <w:rPr>
          <w:rFonts w:ascii="Arial" w:hAnsi="Arial" w:cs="Arial"/>
          <w:sz w:val="22"/>
          <w:szCs w:val="22"/>
        </w:rPr>
        <w:t xml:space="preserve"> Bar plot representing the relative contribution of cells with each cell type cluster from each donor. Note that the MuSC1 and MuSC2 clusters are also plotted as a combined cluster on the left side of the bar plot for reference.</w:t>
      </w:r>
    </w:p>
    <w:p w:rsidR="00703CC9" w:rsidRDefault="00703CC9" w:rsidP="00703C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703CC9" w:rsidRDefault="00703CC9" w:rsidP="00703CC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671EF7D" wp14:editId="4BFD6EB1">
            <wp:extent cx="5933944" cy="29260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543" cy="292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CC9" w:rsidRDefault="00703CC9" w:rsidP="00703CC9">
      <w:pPr>
        <w:jc w:val="both"/>
        <w:rPr>
          <w:rFonts w:ascii="Arial" w:hAnsi="Arial" w:cs="Arial"/>
          <w:sz w:val="22"/>
          <w:szCs w:val="22"/>
        </w:rPr>
      </w:pPr>
    </w:p>
    <w:p w:rsidR="00703CC9" w:rsidRPr="009D2754" w:rsidRDefault="00703CC9" w:rsidP="00703CC9">
      <w:pPr>
        <w:jc w:val="both"/>
        <w:rPr>
          <w:rFonts w:ascii="Arial" w:hAnsi="Arial" w:cs="Arial"/>
          <w:sz w:val="22"/>
          <w:szCs w:val="22"/>
        </w:rPr>
      </w:pPr>
      <w:r w:rsidRPr="008E192D">
        <w:rPr>
          <w:rFonts w:ascii="Arial" w:hAnsi="Arial" w:cs="Arial"/>
          <w:b/>
          <w:bCs/>
          <w:sz w:val="22"/>
          <w:szCs w:val="22"/>
        </w:rPr>
        <w:t>Figure S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8E192D">
        <w:rPr>
          <w:rFonts w:ascii="Arial" w:hAnsi="Arial" w:cs="Arial"/>
          <w:b/>
          <w:bCs/>
          <w:sz w:val="22"/>
          <w:szCs w:val="22"/>
        </w:rPr>
        <w:t>.</w:t>
      </w:r>
      <w:r w:rsidRPr="00DE3A0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11576">
        <w:rPr>
          <w:rFonts w:ascii="Arial" w:hAnsi="Arial" w:cs="Arial"/>
          <w:b/>
          <w:bCs/>
          <w:sz w:val="22"/>
          <w:szCs w:val="22"/>
        </w:rPr>
        <w:t>Transcriptomic detection variation within human muscle reference atlas.</w:t>
      </w:r>
      <w:proofErr w:type="gramEnd"/>
      <w:r w:rsidRPr="00211576">
        <w:rPr>
          <w:rFonts w:ascii="Arial" w:hAnsi="Arial" w:cs="Arial"/>
          <w:b/>
          <w:bCs/>
          <w:sz w:val="22"/>
          <w:szCs w:val="22"/>
        </w:rPr>
        <w:t xml:space="preserve"> </w:t>
      </w:r>
      <w:r w:rsidRPr="00211576">
        <w:rPr>
          <w:rFonts w:ascii="Arial" w:hAnsi="Arial" w:cs="Arial"/>
          <w:sz w:val="22"/>
          <w:szCs w:val="22"/>
        </w:rPr>
        <w:t>UMAP plots featuring (</w:t>
      </w:r>
      <w:r w:rsidRPr="00211576">
        <w:rPr>
          <w:rFonts w:ascii="Arial" w:hAnsi="Arial" w:cs="Arial"/>
          <w:i/>
          <w:iCs/>
          <w:sz w:val="22"/>
          <w:szCs w:val="22"/>
        </w:rPr>
        <w:t>left</w:t>
      </w:r>
      <w:r w:rsidRPr="00211576">
        <w:rPr>
          <w:rFonts w:ascii="Arial" w:hAnsi="Arial" w:cs="Arial"/>
          <w:sz w:val="22"/>
          <w:szCs w:val="22"/>
        </w:rPr>
        <w:t>) the number of unique molecular identifiers (UMIs) and (</w:t>
      </w:r>
      <w:r w:rsidRPr="00211576">
        <w:rPr>
          <w:rFonts w:ascii="Arial" w:hAnsi="Arial" w:cs="Arial"/>
          <w:i/>
          <w:iCs/>
          <w:sz w:val="22"/>
          <w:szCs w:val="22"/>
        </w:rPr>
        <w:t>right</w:t>
      </w:r>
      <w:r w:rsidRPr="00211576">
        <w:rPr>
          <w:rFonts w:ascii="Arial" w:hAnsi="Arial" w:cs="Arial"/>
          <w:sz w:val="22"/>
          <w:szCs w:val="22"/>
        </w:rPr>
        <w:t>) number of genes detected per single</w:t>
      </w:r>
      <w:r>
        <w:rPr>
          <w:rFonts w:ascii="Arial" w:hAnsi="Arial" w:cs="Arial"/>
          <w:sz w:val="22"/>
          <w:szCs w:val="22"/>
        </w:rPr>
        <w:t xml:space="preserve"> </w:t>
      </w:r>
      <w:r w:rsidRPr="00211576">
        <w:rPr>
          <w:rFonts w:ascii="Arial" w:hAnsi="Arial" w:cs="Arial"/>
          <w:sz w:val="22"/>
          <w:szCs w:val="22"/>
        </w:rPr>
        <w:t>cell.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11576">
        <w:rPr>
          <w:rFonts w:ascii="Arial" w:hAnsi="Arial" w:cs="Arial"/>
          <w:sz w:val="22"/>
          <w:szCs w:val="22"/>
        </w:rPr>
        <w:t xml:space="preserve">Note </w:t>
      </w:r>
      <w:r>
        <w:rPr>
          <w:rFonts w:ascii="Arial" w:hAnsi="Arial" w:cs="Arial"/>
          <w:sz w:val="22"/>
          <w:szCs w:val="22"/>
        </w:rPr>
        <w:t>that QC filtering removed all cells with less than 1000 UMIs (see Methods).</w:t>
      </w:r>
    </w:p>
    <w:p w:rsidR="00401030" w:rsidRDefault="00401030">
      <w:bookmarkStart w:id="1" w:name="_GoBack"/>
      <w:bookmarkEnd w:id="1"/>
    </w:p>
    <w:sectPr w:rsidR="00401030" w:rsidSect="00DA0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CC9"/>
    <w:rsid w:val="00401030"/>
    <w:rsid w:val="00703CC9"/>
    <w:rsid w:val="008C27D4"/>
    <w:rsid w:val="00A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C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C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3C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2020-06-12T15:31:00Z</dcterms:created>
  <dcterms:modified xsi:type="dcterms:W3CDTF">2020-06-12T15:32:00Z</dcterms:modified>
</cp:coreProperties>
</file>