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764B2" w14:textId="77777777" w:rsidR="006937AE" w:rsidRPr="00EF7426" w:rsidRDefault="006937AE" w:rsidP="006937AE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EF7426">
        <w:rPr>
          <w:rFonts w:ascii="Arial" w:hAnsi="Arial" w:cs="Arial"/>
          <w:b/>
          <w:bCs/>
          <w:sz w:val="22"/>
          <w:szCs w:val="22"/>
        </w:rPr>
        <w:t>SUPPLEMENTARY FIGURES</w:t>
      </w:r>
    </w:p>
    <w:p w14:paraId="7FAEE8A9" w14:textId="77777777" w:rsidR="006937AE" w:rsidRPr="00EF7426" w:rsidRDefault="006937AE" w:rsidP="006937AE">
      <w:pPr>
        <w:jc w:val="center"/>
        <w:rPr>
          <w:rFonts w:ascii="Arial" w:hAnsi="Arial" w:cs="Arial"/>
          <w:sz w:val="22"/>
          <w:szCs w:val="22"/>
        </w:rPr>
      </w:pPr>
      <w:r w:rsidRPr="00EF7426">
        <w:rPr>
          <w:rFonts w:ascii="Arial" w:hAnsi="Arial" w:cs="Arial"/>
          <w:noProof/>
          <w:sz w:val="22"/>
          <w:szCs w:val="22"/>
          <w14:ligatures w14:val="standardContextual"/>
        </w:rPr>
        <w:drawing>
          <wp:inline distT="0" distB="0" distL="0" distR="0" wp14:anchorId="0C5C0BFF" wp14:editId="4244E66A">
            <wp:extent cx="4102383" cy="5162550"/>
            <wp:effectExtent l="0" t="0" r="0" b="0"/>
            <wp:docPr id="18941005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913" cy="51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0A017" w14:textId="77777777" w:rsidR="006937AE" w:rsidRPr="00EF7426" w:rsidRDefault="006937AE" w:rsidP="006937AE">
      <w:pPr>
        <w:jc w:val="both"/>
        <w:rPr>
          <w:rFonts w:ascii="Arial" w:hAnsi="Arial" w:cs="Arial"/>
          <w:sz w:val="22"/>
          <w:szCs w:val="22"/>
        </w:rPr>
      </w:pPr>
      <w:r w:rsidRPr="00EF7426">
        <w:rPr>
          <w:rFonts w:ascii="Arial" w:hAnsi="Arial" w:cs="Arial"/>
          <w:b/>
          <w:bCs/>
          <w:sz w:val="22"/>
          <w:szCs w:val="22"/>
        </w:rPr>
        <w:t>Figure S1.  MDR genotyping and DGC localization.</w:t>
      </w:r>
      <w:r w:rsidRPr="00EF7426">
        <w:rPr>
          <w:rFonts w:ascii="Arial" w:hAnsi="Arial" w:cs="Arial"/>
          <w:sz w:val="22"/>
          <w:szCs w:val="22"/>
        </w:rPr>
        <w:t xml:space="preserve"> (</w:t>
      </w:r>
      <w:r w:rsidRPr="00EF7426">
        <w:rPr>
          <w:rFonts w:ascii="Arial" w:hAnsi="Arial" w:cs="Arial"/>
          <w:b/>
          <w:bCs/>
          <w:sz w:val="22"/>
          <w:szCs w:val="22"/>
        </w:rPr>
        <w:t>A</w:t>
      </w:r>
      <w:r w:rsidRPr="00EF7426">
        <w:rPr>
          <w:rFonts w:ascii="Arial" w:hAnsi="Arial" w:cs="Arial"/>
          <w:sz w:val="22"/>
          <w:szCs w:val="22"/>
        </w:rPr>
        <w:t xml:space="preserve">) A set of three primers are used to genotype the rats. For WT, two primers placed within the intronic region between exons 21 and 22a common forward primer (For) and a WT reverse primer (WT rev) situated 5’ and 3’, respectively, to the sequence targeted by 5’ gRNA yield a 568 bp product.  For MDR, For and a MDR reverse primer (MDR rev) – latter situated 3’ to the 3’ gRNA – yield a 790 bp product.  Examples of the PCR products that match predicted sizes are visible after separation within an agarose gel.  A portion of the sequence trace of the 790 bp products confirms the deletion of 18,307-bp stretch of rat </w:t>
      </w:r>
      <w:proofErr w:type="spellStart"/>
      <w:r w:rsidRPr="00EF7426">
        <w:rPr>
          <w:rFonts w:ascii="Arial" w:hAnsi="Arial" w:cs="Arial"/>
          <w:i/>
          <w:iCs/>
          <w:sz w:val="22"/>
          <w:szCs w:val="22"/>
        </w:rPr>
        <w:t>Dmd</w:t>
      </w:r>
      <w:proofErr w:type="spellEnd"/>
      <w:r w:rsidRPr="00EF7426">
        <w:rPr>
          <w:rFonts w:ascii="Arial" w:hAnsi="Arial" w:cs="Arial"/>
          <w:sz w:val="22"/>
          <w:szCs w:val="22"/>
        </w:rPr>
        <w:t xml:space="preserve"> that includes exons 22-26. (</w:t>
      </w:r>
      <w:r w:rsidRPr="00EF7426">
        <w:rPr>
          <w:rFonts w:ascii="Arial" w:hAnsi="Arial" w:cs="Arial"/>
          <w:b/>
          <w:bCs/>
          <w:sz w:val="22"/>
          <w:szCs w:val="22"/>
        </w:rPr>
        <w:t>B</w:t>
      </w:r>
      <w:r w:rsidRPr="00EF7426">
        <w:rPr>
          <w:rFonts w:ascii="Arial" w:hAnsi="Arial" w:cs="Arial"/>
          <w:sz w:val="22"/>
          <w:szCs w:val="22"/>
        </w:rPr>
        <w:t xml:space="preserve">) Immunofluorescence was used to investigate sarcolemmal localization of dystrophin and the DGC members of </w:t>
      </w:r>
      <w:r w:rsidRPr="00EF7426">
        <w:rPr>
          <w:rFonts w:ascii="Symbol" w:hAnsi="Symbol" w:cs="Arial"/>
          <w:sz w:val="22"/>
          <w:szCs w:val="22"/>
        </w:rPr>
        <w:t>b</w:t>
      </w:r>
      <w:r w:rsidRPr="00EF7426">
        <w:rPr>
          <w:rFonts w:ascii="Arial" w:hAnsi="Arial" w:cs="Arial"/>
          <w:sz w:val="22"/>
          <w:szCs w:val="22"/>
        </w:rPr>
        <w:t>-</w:t>
      </w:r>
      <w:proofErr w:type="spellStart"/>
      <w:r w:rsidRPr="00EF7426">
        <w:rPr>
          <w:rFonts w:ascii="Arial" w:hAnsi="Arial" w:cs="Arial"/>
          <w:sz w:val="22"/>
          <w:szCs w:val="22"/>
        </w:rPr>
        <w:t>dystroglycan</w:t>
      </w:r>
      <w:proofErr w:type="spellEnd"/>
      <w:r w:rsidRPr="00EF7426">
        <w:rPr>
          <w:rFonts w:ascii="Arial" w:hAnsi="Arial" w:cs="Arial"/>
          <w:sz w:val="22"/>
          <w:szCs w:val="22"/>
        </w:rPr>
        <w:t xml:space="preserve"> (</w:t>
      </w:r>
      <w:r w:rsidRPr="00EF7426">
        <w:rPr>
          <w:rFonts w:ascii="Symbol" w:hAnsi="Symbol" w:cs="Arial"/>
          <w:sz w:val="22"/>
          <w:szCs w:val="22"/>
        </w:rPr>
        <w:t>b</w:t>
      </w:r>
      <w:r w:rsidRPr="00EF7426">
        <w:rPr>
          <w:rFonts w:ascii="Arial" w:hAnsi="Arial" w:cs="Arial"/>
          <w:sz w:val="22"/>
          <w:szCs w:val="22"/>
        </w:rPr>
        <w:t xml:space="preserve">-DG), </w:t>
      </w:r>
      <w:r w:rsidRPr="00EF7426">
        <w:rPr>
          <w:rFonts w:ascii="Symbol" w:hAnsi="Symbol" w:cs="Arial"/>
          <w:sz w:val="22"/>
          <w:szCs w:val="22"/>
        </w:rPr>
        <w:t>a</w:t>
      </w:r>
      <w:r w:rsidRPr="00EF7426">
        <w:rPr>
          <w:rFonts w:ascii="Arial" w:hAnsi="Arial" w:cs="Arial"/>
          <w:sz w:val="22"/>
          <w:szCs w:val="22"/>
        </w:rPr>
        <w:t>-</w:t>
      </w:r>
      <w:proofErr w:type="spellStart"/>
      <w:r w:rsidRPr="00EF7426">
        <w:rPr>
          <w:rFonts w:ascii="Arial" w:hAnsi="Arial" w:cs="Arial"/>
          <w:sz w:val="22"/>
          <w:szCs w:val="22"/>
        </w:rPr>
        <w:t>dystrobrevin</w:t>
      </w:r>
      <w:proofErr w:type="spellEnd"/>
      <w:r w:rsidRPr="00EF7426">
        <w:rPr>
          <w:rFonts w:ascii="Symbol" w:hAnsi="Symbol" w:cs="Arial"/>
          <w:sz w:val="22"/>
          <w:szCs w:val="22"/>
        </w:rPr>
        <w:t xml:space="preserve"> </w:t>
      </w:r>
      <w:r w:rsidRPr="00EF7426">
        <w:rPr>
          <w:rFonts w:ascii="Arial" w:hAnsi="Arial" w:cs="Arial"/>
          <w:sz w:val="22"/>
          <w:szCs w:val="22"/>
        </w:rPr>
        <w:t>(</w:t>
      </w:r>
      <w:r w:rsidRPr="00EF7426">
        <w:rPr>
          <w:rFonts w:ascii="Symbol" w:hAnsi="Symbol" w:cs="Arial"/>
          <w:sz w:val="22"/>
          <w:szCs w:val="22"/>
        </w:rPr>
        <w:t>a</w:t>
      </w:r>
      <w:r w:rsidRPr="00EF7426">
        <w:rPr>
          <w:rFonts w:ascii="Arial" w:hAnsi="Arial" w:cs="Arial"/>
          <w:sz w:val="22"/>
          <w:szCs w:val="22"/>
        </w:rPr>
        <w:t xml:space="preserve">-DB), </w:t>
      </w:r>
      <w:r w:rsidRPr="00EF7426">
        <w:rPr>
          <w:rFonts w:ascii="Symbol" w:hAnsi="Symbol" w:cs="Arial"/>
          <w:sz w:val="22"/>
          <w:szCs w:val="22"/>
        </w:rPr>
        <w:t>a</w:t>
      </w:r>
      <w:r w:rsidRPr="00EF7426">
        <w:rPr>
          <w:rFonts w:ascii="Arial" w:hAnsi="Arial" w:cs="Arial"/>
          <w:sz w:val="22"/>
          <w:szCs w:val="22"/>
        </w:rPr>
        <w:t>-</w:t>
      </w:r>
      <w:proofErr w:type="spellStart"/>
      <w:r w:rsidRPr="00EF7426">
        <w:rPr>
          <w:rFonts w:ascii="Arial" w:hAnsi="Arial" w:cs="Arial"/>
          <w:sz w:val="22"/>
          <w:szCs w:val="22"/>
        </w:rPr>
        <w:t>sarcoglycan</w:t>
      </w:r>
      <w:proofErr w:type="spellEnd"/>
      <w:r w:rsidRPr="00EF7426">
        <w:rPr>
          <w:rFonts w:ascii="Symbol" w:hAnsi="Symbol" w:cs="Arial"/>
          <w:sz w:val="22"/>
          <w:szCs w:val="22"/>
        </w:rPr>
        <w:t xml:space="preserve"> </w:t>
      </w:r>
      <w:r w:rsidRPr="00EF7426">
        <w:rPr>
          <w:rFonts w:ascii="Arial" w:hAnsi="Arial" w:cs="Arial"/>
          <w:sz w:val="22"/>
          <w:szCs w:val="22"/>
        </w:rPr>
        <w:t>(</w:t>
      </w:r>
      <w:r w:rsidRPr="00EF7426">
        <w:rPr>
          <w:rFonts w:ascii="Symbol" w:hAnsi="Symbol" w:cs="Arial"/>
          <w:sz w:val="22"/>
          <w:szCs w:val="22"/>
        </w:rPr>
        <w:t>a</w:t>
      </w:r>
      <w:r w:rsidRPr="00EF7426">
        <w:rPr>
          <w:rFonts w:ascii="Arial" w:hAnsi="Arial" w:cs="Arial"/>
          <w:sz w:val="22"/>
          <w:szCs w:val="22"/>
        </w:rPr>
        <w:t xml:space="preserve">-SG), and </w:t>
      </w:r>
      <w:proofErr w:type="spellStart"/>
      <w:r w:rsidRPr="00EF7426">
        <w:rPr>
          <w:rFonts w:ascii="Arial" w:hAnsi="Arial" w:cs="Arial"/>
          <w:sz w:val="22"/>
          <w:szCs w:val="22"/>
        </w:rPr>
        <w:t>syntrophins</w:t>
      </w:r>
      <w:proofErr w:type="spellEnd"/>
      <w:r w:rsidRPr="00EF7426">
        <w:rPr>
          <w:rFonts w:ascii="Arial" w:hAnsi="Arial" w:cs="Arial"/>
          <w:sz w:val="22"/>
          <w:szCs w:val="22"/>
        </w:rPr>
        <w:t xml:space="preserve"> in WT and MDR soleus, diaphragm, and heart, as well as (</w:t>
      </w:r>
      <w:r w:rsidRPr="00EF7426">
        <w:rPr>
          <w:rFonts w:ascii="Arial" w:hAnsi="Arial" w:cs="Arial"/>
          <w:b/>
          <w:bCs/>
          <w:sz w:val="22"/>
          <w:szCs w:val="22"/>
        </w:rPr>
        <w:t>C</w:t>
      </w:r>
      <w:r w:rsidRPr="00EF7426">
        <w:rPr>
          <w:rFonts w:ascii="Arial" w:hAnsi="Arial" w:cs="Arial"/>
          <w:sz w:val="22"/>
          <w:szCs w:val="22"/>
        </w:rPr>
        <w:t xml:space="preserve">) utrophin localization in the WT and MDR gastrocnemius and heart (scale bars = 50 µm).  </w:t>
      </w:r>
    </w:p>
    <w:p w14:paraId="22AA8692" w14:textId="77777777" w:rsidR="006937AE" w:rsidRPr="00EF7426" w:rsidRDefault="006937AE" w:rsidP="006937AE">
      <w:pPr>
        <w:jc w:val="both"/>
        <w:rPr>
          <w:rFonts w:ascii="Arial" w:hAnsi="Arial" w:cs="Arial"/>
          <w:sz w:val="22"/>
          <w:szCs w:val="22"/>
        </w:rPr>
      </w:pPr>
    </w:p>
    <w:p w14:paraId="02F95E64" w14:textId="77777777" w:rsidR="006937AE" w:rsidRPr="00EF7426" w:rsidRDefault="006937AE" w:rsidP="006937A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3A6E384" w14:textId="77777777" w:rsidR="006937AE" w:rsidRPr="00EF7426" w:rsidRDefault="006937AE" w:rsidP="006937AE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F7426">
        <w:rPr>
          <w:rFonts w:ascii="Arial" w:hAnsi="Arial" w:cs="Arial"/>
          <w:noProof/>
          <w:sz w:val="22"/>
          <w:szCs w:val="22"/>
          <w14:ligatures w14:val="standardContextual"/>
        </w:rPr>
        <w:lastRenderedPageBreak/>
        <w:drawing>
          <wp:inline distT="0" distB="0" distL="0" distR="0" wp14:anchorId="684853DC" wp14:editId="39C61995">
            <wp:extent cx="5943600" cy="4806950"/>
            <wp:effectExtent l="0" t="0" r="0" b="6350"/>
            <wp:docPr id="769513637" name="Picture 5" descr="A group of graphs showing different types of dat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513637" name="Picture 5" descr="A group of graphs showing different types of data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0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319D8" w14:textId="77777777" w:rsidR="006937AE" w:rsidRPr="00EF7426" w:rsidRDefault="006937AE" w:rsidP="006937AE">
      <w:pPr>
        <w:jc w:val="both"/>
        <w:rPr>
          <w:rFonts w:ascii="Arial" w:hAnsi="Arial" w:cs="Arial"/>
          <w:sz w:val="22"/>
          <w:szCs w:val="22"/>
        </w:rPr>
      </w:pPr>
      <w:r w:rsidRPr="00EF7426">
        <w:rPr>
          <w:rFonts w:ascii="Arial" w:hAnsi="Arial" w:cs="Arial"/>
          <w:b/>
          <w:bCs/>
          <w:sz w:val="22"/>
          <w:szCs w:val="22"/>
        </w:rPr>
        <w:t>Figure S2.  Reduced myofiber diameters of MDR skeletal muscles.</w:t>
      </w:r>
      <w:r w:rsidRPr="00EF7426">
        <w:rPr>
          <w:rFonts w:ascii="Arial" w:hAnsi="Arial" w:cs="Arial"/>
          <w:sz w:val="22"/>
          <w:szCs w:val="22"/>
        </w:rPr>
        <w:t xml:space="preserve">  The frequency distribution of WT and MDR diaphragm and soleus muscle fibers minimum Feret’s diameter was performed at 3 and 12 months of age (n = 3-4).  There is a left shift (towards smaller diameter) for dystrophic rat muscle fibers.  The vertical bars above the frequency distribution plot indicate the average minimum Feret’s diameter, with the arrow indicating the WT-to-MDR shift.  Data are displayed as </w:t>
      </w:r>
      <w:proofErr w:type="spellStart"/>
      <w:r w:rsidRPr="00EF7426">
        <w:rPr>
          <w:rFonts w:ascii="Arial" w:hAnsi="Arial" w:cs="Arial"/>
          <w:sz w:val="22"/>
          <w:szCs w:val="22"/>
        </w:rPr>
        <w:t>mean±SEM</w:t>
      </w:r>
      <w:proofErr w:type="spellEnd"/>
      <w:r w:rsidRPr="00EF7426">
        <w:rPr>
          <w:rFonts w:ascii="Arial" w:hAnsi="Arial" w:cs="Arial"/>
          <w:sz w:val="22"/>
          <w:szCs w:val="22"/>
        </w:rPr>
        <w:t xml:space="preserve"> and were analyzed using multiple T-tests (α = 0.05; * p &lt; 0.05, ** p &lt; 0.01, *** p &lt; 0.001).</w:t>
      </w:r>
    </w:p>
    <w:p w14:paraId="6EB34A9C" w14:textId="77777777" w:rsidR="006937AE" w:rsidRPr="00EF7426" w:rsidRDefault="006937AE" w:rsidP="006937AE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6F422606" w14:textId="77777777" w:rsidR="006937AE" w:rsidRPr="00EF7426" w:rsidRDefault="006937AE" w:rsidP="006937AE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57B9AEFC" w14:textId="77777777" w:rsidR="006937AE" w:rsidRPr="00EF7426" w:rsidRDefault="006937AE" w:rsidP="006937AE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097AEEAA" w14:textId="77777777" w:rsidR="006937AE" w:rsidRPr="00EF7426" w:rsidRDefault="006937AE" w:rsidP="006937AE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C229F90" w14:textId="77777777" w:rsidR="006937AE" w:rsidRPr="00EF7426" w:rsidRDefault="006937AE" w:rsidP="006937AE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67502CCE" w14:textId="77777777" w:rsidR="006937AE" w:rsidRPr="00EF7426" w:rsidRDefault="006937AE" w:rsidP="006937AE">
      <w:pPr>
        <w:jc w:val="both"/>
        <w:rPr>
          <w:rFonts w:ascii="Arial" w:hAnsi="Arial" w:cs="Arial"/>
          <w:sz w:val="22"/>
          <w:szCs w:val="22"/>
        </w:rPr>
      </w:pPr>
    </w:p>
    <w:p w14:paraId="09D3BE58" w14:textId="77777777" w:rsidR="006937AE" w:rsidRPr="00EF7426" w:rsidRDefault="006937AE" w:rsidP="006937AE">
      <w:pPr>
        <w:jc w:val="both"/>
        <w:rPr>
          <w:rFonts w:ascii="Arial" w:hAnsi="Arial" w:cs="Arial"/>
          <w:sz w:val="22"/>
          <w:szCs w:val="22"/>
        </w:rPr>
      </w:pPr>
    </w:p>
    <w:p w14:paraId="1B39F1D7" w14:textId="77777777" w:rsidR="006937AE" w:rsidRPr="00EF7426" w:rsidRDefault="006937AE" w:rsidP="006937AE">
      <w:pPr>
        <w:jc w:val="both"/>
        <w:rPr>
          <w:rFonts w:ascii="Arial" w:hAnsi="Arial" w:cs="Arial"/>
          <w:sz w:val="22"/>
          <w:szCs w:val="22"/>
        </w:rPr>
      </w:pPr>
      <w:r w:rsidRPr="00EF7426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7FD029DD" wp14:editId="6FE30116">
            <wp:extent cx="5939790" cy="5287645"/>
            <wp:effectExtent l="0" t="0" r="3810" b="8255"/>
            <wp:docPr id="208039827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28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F7D9B" w14:textId="77777777" w:rsidR="006937AE" w:rsidRPr="00EF7426" w:rsidRDefault="006937AE" w:rsidP="006937AE">
      <w:pPr>
        <w:jc w:val="both"/>
        <w:rPr>
          <w:rFonts w:ascii="Arial" w:hAnsi="Arial" w:cs="Arial"/>
          <w:sz w:val="22"/>
          <w:szCs w:val="22"/>
        </w:rPr>
      </w:pPr>
      <w:r w:rsidRPr="00EF7426">
        <w:rPr>
          <w:rFonts w:ascii="Arial" w:hAnsi="Arial" w:cs="Arial"/>
          <w:b/>
          <w:bCs/>
          <w:sz w:val="22"/>
          <w:szCs w:val="22"/>
        </w:rPr>
        <w:t xml:space="preserve">Figure S3. Histopathological features in MDR muscle. </w:t>
      </w:r>
      <w:r w:rsidRPr="00EF7426">
        <w:rPr>
          <w:rFonts w:ascii="Arial" w:hAnsi="Arial" w:cs="Arial"/>
          <w:sz w:val="22"/>
          <w:szCs w:val="22"/>
        </w:rPr>
        <w:t xml:space="preserve">Histology was performed on </w:t>
      </w:r>
      <w:proofErr w:type="gramStart"/>
      <w:r w:rsidRPr="00EF7426">
        <w:rPr>
          <w:rFonts w:ascii="Arial" w:hAnsi="Arial" w:cs="Arial"/>
          <w:sz w:val="22"/>
          <w:szCs w:val="22"/>
        </w:rPr>
        <w:t>6 month-old</w:t>
      </w:r>
      <w:proofErr w:type="gramEnd"/>
      <w:r w:rsidRPr="00EF7426">
        <w:rPr>
          <w:rFonts w:ascii="Arial" w:hAnsi="Arial" w:cs="Arial"/>
          <w:sz w:val="22"/>
          <w:szCs w:val="22"/>
        </w:rPr>
        <w:t xml:space="preserve"> wild-type (WT) and dystrophic (MDR) gastrocnemius muscles using (</w:t>
      </w:r>
      <w:r w:rsidRPr="00EF7426">
        <w:rPr>
          <w:rFonts w:ascii="Arial" w:hAnsi="Arial" w:cs="Arial"/>
          <w:b/>
          <w:bCs/>
          <w:sz w:val="22"/>
          <w:szCs w:val="22"/>
        </w:rPr>
        <w:t>A</w:t>
      </w:r>
      <w:r w:rsidRPr="00EF7426">
        <w:rPr>
          <w:rFonts w:ascii="Arial" w:hAnsi="Arial" w:cs="Arial"/>
          <w:sz w:val="22"/>
          <w:szCs w:val="22"/>
        </w:rPr>
        <w:t>) hematoxylin &amp; eosin and (</w:t>
      </w:r>
      <w:r w:rsidRPr="00EF7426">
        <w:rPr>
          <w:rFonts w:ascii="Arial" w:hAnsi="Arial" w:cs="Arial"/>
          <w:b/>
          <w:bCs/>
          <w:sz w:val="22"/>
          <w:szCs w:val="22"/>
        </w:rPr>
        <w:t>B</w:t>
      </w:r>
      <w:r w:rsidRPr="00EF7426">
        <w:rPr>
          <w:rFonts w:ascii="Arial" w:hAnsi="Arial" w:cs="Arial"/>
          <w:sz w:val="22"/>
          <w:szCs w:val="22"/>
        </w:rPr>
        <w:t>) picrosirius red (scale bar = 1 mm). (</w:t>
      </w:r>
      <w:r w:rsidRPr="00EF7426">
        <w:rPr>
          <w:rFonts w:ascii="Arial" w:hAnsi="Arial" w:cs="Arial"/>
          <w:b/>
          <w:bCs/>
          <w:sz w:val="22"/>
          <w:szCs w:val="22"/>
        </w:rPr>
        <w:t>C</w:t>
      </w:r>
      <w:r w:rsidRPr="00EF7426">
        <w:rPr>
          <w:rFonts w:ascii="Arial" w:hAnsi="Arial" w:cs="Arial"/>
          <w:sz w:val="22"/>
          <w:szCs w:val="22"/>
        </w:rPr>
        <w:t xml:space="preserve">) Representative hematoxylin &amp; eosin and picrosirius red images from 12 </w:t>
      </w:r>
      <w:proofErr w:type="spellStart"/>
      <w:r w:rsidRPr="00EF7426">
        <w:rPr>
          <w:rFonts w:ascii="Arial" w:hAnsi="Arial" w:cs="Arial"/>
          <w:sz w:val="22"/>
          <w:szCs w:val="22"/>
        </w:rPr>
        <w:t>mo</w:t>
      </w:r>
      <w:proofErr w:type="spellEnd"/>
      <w:r w:rsidRPr="00EF7426">
        <w:rPr>
          <w:rFonts w:ascii="Arial" w:hAnsi="Arial" w:cs="Arial"/>
          <w:sz w:val="22"/>
          <w:szCs w:val="22"/>
        </w:rPr>
        <w:t xml:space="preserve"> WT and MDR soleus and diaphragm muscles (scale bar = 100 µm).</w:t>
      </w:r>
    </w:p>
    <w:p w14:paraId="1C825523" w14:textId="77777777" w:rsidR="006937AE" w:rsidRPr="00EF7426" w:rsidRDefault="006937AE" w:rsidP="006937AE">
      <w:pPr>
        <w:jc w:val="both"/>
        <w:rPr>
          <w:rFonts w:ascii="Arial" w:hAnsi="Arial" w:cs="Arial"/>
          <w:sz w:val="22"/>
          <w:szCs w:val="22"/>
        </w:rPr>
      </w:pPr>
    </w:p>
    <w:p w14:paraId="4F08F189" w14:textId="77777777" w:rsidR="006937AE" w:rsidRPr="00EF7426" w:rsidRDefault="006937AE" w:rsidP="006937AE">
      <w:pPr>
        <w:jc w:val="both"/>
        <w:rPr>
          <w:rFonts w:ascii="Arial" w:hAnsi="Arial" w:cs="Arial"/>
          <w:sz w:val="22"/>
          <w:szCs w:val="22"/>
        </w:rPr>
      </w:pPr>
    </w:p>
    <w:p w14:paraId="2526FC19" w14:textId="77777777" w:rsidR="006937AE" w:rsidRPr="00EF7426" w:rsidRDefault="006937AE" w:rsidP="006937AE">
      <w:pPr>
        <w:jc w:val="both"/>
        <w:rPr>
          <w:rFonts w:ascii="Arial" w:hAnsi="Arial" w:cs="Arial"/>
          <w:sz w:val="22"/>
          <w:szCs w:val="22"/>
        </w:rPr>
      </w:pPr>
    </w:p>
    <w:p w14:paraId="63A21110" w14:textId="77777777" w:rsidR="006937AE" w:rsidRPr="00EF7426" w:rsidRDefault="006937AE" w:rsidP="006937AE">
      <w:pPr>
        <w:jc w:val="both"/>
        <w:rPr>
          <w:rFonts w:ascii="Arial" w:hAnsi="Arial" w:cs="Arial"/>
          <w:sz w:val="22"/>
          <w:szCs w:val="22"/>
        </w:rPr>
      </w:pPr>
    </w:p>
    <w:p w14:paraId="5B7585AD" w14:textId="77777777" w:rsidR="006937AE" w:rsidRPr="00EF7426" w:rsidRDefault="006937AE" w:rsidP="006937AE">
      <w:pPr>
        <w:jc w:val="both"/>
        <w:rPr>
          <w:rFonts w:ascii="Arial" w:hAnsi="Arial" w:cs="Arial"/>
          <w:sz w:val="22"/>
          <w:szCs w:val="22"/>
        </w:rPr>
      </w:pPr>
    </w:p>
    <w:p w14:paraId="46962925" w14:textId="77777777" w:rsidR="006937AE" w:rsidRPr="00EF7426" w:rsidRDefault="006937AE" w:rsidP="006937AE">
      <w:pPr>
        <w:jc w:val="both"/>
        <w:rPr>
          <w:rFonts w:ascii="Arial" w:hAnsi="Arial" w:cs="Arial"/>
          <w:sz w:val="22"/>
          <w:szCs w:val="22"/>
        </w:rPr>
      </w:pPr>
    </w:p>
    <w:p w14:paraId="09B54E7B" w14:textId="77777777" w:rsidR="006937AE" w:rsidRPr="00EF7426" w:rsidRDefault="006937AE" w:rsidP="006937AE">
      <w:pPr>
        <w:jc w:val="both"/>
        <w:rPr>
          <w:rFonts w:ascii="Arial" w:hAnsi="Arial" w:cs="Arial"/>
          <w:sz w:val="22"/>
          <w:szCs w:val="22"/>
        </w:rPr>
      </w:pPr>
    </w:p>
    <w:p w14:paraId="0B907697" w14:textId="77777777" w:rsidR="006937AE" w:rsidRPr="00EF7426" w:rsidRDefault="006937AE" w:rsidP="006937AE">
      <w:pPr>
        <w:jc w:val="both"/>
        <w:rPr>
          <w:rFonts w:ascii="Arial" w:hAnsi="Arial" w:cs="Arial"/>
          <w:sz w:val="22"/>
          <w:szCs w:val="22"/>
        </w:rPr>
      </w:pPr>
    </w:p>
    <w:p w14:paraId="40223148" w14:textId="77777777" w:rsidR="006937AE" w:rsidRPr="00EF7426" w:rsidRDefault="006937AE" w:rsidP="006937AE">
      <w:pPr>
        <w:jc w:val="both"/>
        <w:rPr>
          <w:rFonts w:ascii="Arial" w:hAnsi="Arial" w:cs="Arial"/>
          <w:sz w:val="22"/>
          <w:szCs w:val="22"/>
        </w:rPr>
      </w:pPr>
    </w:p>
    <w:p w14:paraId="7AC97A5C" w14:textId="77777777" w:rsidR="006937AE" w:rsidRPr="00EF7426" w:rsidRDefault="006937AE" w:rsidP="006937AE">
      <w:pPr>
        <w:jc w:val="both"/>
        <w:rPr>
          <w:rFonts w:ascii="Arial" w:hAnsi="Arial" w:cs="Arial"/>
          <w:sz w:val="22"/>
          <w:szCs w:val="22"/>
        </w:rPr>
      </w:pPr>
    </w:p>
    <w:p w14:paraId="1E680825" w14:textId="77777777" w:rsidR="006937AE" w:rsidRPr="00EF7426" w:rsidRDefault="006937AE" w:rsidP="006937AE">
      <w:pPr>
        <w:jc w:val="both"/>
        <w:rPr>
          <w:rFonts w:ascii="Arial" w:hAnsi="Arial" w:cs="Arial"/>
          <w:sz w:val="22"/>
          <w:szCs w:val="22"/>
        </w:rPr>
      </w:pPr>
    </w:p>
    <w:p w14:paraId="180D3C80" w14:textId="77777777" w:rsidR="006937AE" w:rsidRPr="00EF7426" w:rsidRDefault="006937AE" w:rsidP="006937AE">
      <w:pPr>
        <w:jc w:val="both"/>
        <w:rPr>
          <w:rFonts w:ascii="Arial" w:hAnsi="Arial" w:cs="Arial"/>
          <w:sz w:val="22"/>
          <w:szCs w:val="22"/>
        </w:rPr>
      </w:pPr>
    </w:p>
    <w:p w14:paraId="4ED6B1CC" w14:textId="77777777" w:rsidR="006937AE" w:rsidRPr="00EF7426" w:rsidRDefault="006937AE" w:rsidP="006937AE">
      <w:pPr>
        <w:jc w:val="both"/>
        <w:rPr>
          <w:rFonts w:ascii="Arial" w:hAnsi="Arial" w:cs="Arial"/>
          <w:sz w:val="22"/>
          <w:szCs w:val="22"/>
        </w:rPr>
      </w:pPr>
    </w:p>
    <w:p w14:paraId="1D6FBAE6" w14:textId="77777777" w:rsidR="006937AE" w:rsidRPr="00EF7426" w:rsidRDefault="006937AE" w:rsidP="006937AE">
      <w:pPr>
        <w:jc w:val="both"/>
        <w:rPr>
          <w:rFonts w:ascii="Arial" w:hAnsi="Arial" w:cs="Arial"/>
          <w:sz w:val="22"/>
          <w:szCs w:val="22"/>
        </w:rPr>
      </w:pPr>
    </w:p>
    <w:p w14:paraId="6261D096" w14:textId="77777777" w:rsidR="006937AE" w:rsidRPr="00EF7426" w:rsidRDefault="006937AE" w:rsidP="006937AE">
      <w:pPr>
        <w:jc w:val="both"/>
        <w:rPr>
          <w:rFonts w:ascii="Arial" w:hAnsi="Arial" w:cs="Arial"/>
          <w:sz w:val="22"/>
          <w:szCs w:val="22"/>
        </w:rPr>
      </w:pPr>
      <w:r w:rsidRPr="00EF7426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72ADA84B" wp14:editId="0B1E3677">
            <wp:extent cx="5939790" cy="4007485"/>
            <wp:effectExtent l="0" t="0" r="3810" b="0"/>
            <wp:docPr id="177675570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00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BEBD3" w14:textId="77777777" w:rsidR="006937AE" w:rsidRPr="00EF7426" w:rsidRDefault="006937AE" w:rsidP="006937AE">
      <w:pPr>
        <w:jc w:val="both"/>
        <w:rPr>
          <w:rFonts w:ascii="Arial" w:hAnsi="Arial" w:cs="Arial"/>
          <w:sz w:val="22"/>
          <w:szCs w:val="22"/>
        </w:rPr>
      </w:pPr>
      <w:r w:rsidRPr="00EF7426">
        <w:rPr>
          <w:rFonts w:ascii="Arial" w:hAnsi="Arial" w:cs="Arial"/>
          <w:b/>
          <w:bCs/>
          <w:sz w:val="22"/>
          <w:szCs w:val="22"/>
        </w:rPr>
        <w:t xml:space="preserve">Figure S4. Extracellular matrix markers in MDR muscle.  </w:t>
      </w:r>
      <w:r w:rsidRPr="00EF7426">
        <w:rPr>
          <w:rFonts w:ascii="Arial" w:hAnsi="Arial" w:cs="Arial"/>
          <w:sz w:val="22"/>
          <w:szCs w:val="22"/>
        </w:rPr>
        <w:t>(</w:t>
      </w:r>
      <w:r w:rsidRPr="00EF7426">
        <w:rPr>
          <w:rFonts w:ascii="Arial" w:hAnsi="Arial" w:cs="Arial"/>
          <w:b/>
          <w:bCs/>
          <w:sz w:val="22"/>
          <w:szCs w:val="22"/>
        </w:rPr>
        <w:t>A</w:t>
      </w:r>
      <w:r w:rsidRPr="00EF7426">
        <w:rPr>
          <w:rFonts w:ascii="Arial" w:hAnsi="Arial" w:cs="Arial"/>
          <w:sz w:val="22"/>
          <w:szCs w:val="22"/>
        </w:rPr>
        <w:t xml:space="preserve">) Immunofluorescence was performed on </w:t>
      </w:r>
      <w:proofErr w:type="gramStart"/>
      <w:r w:rsidRPr="00EF7426">
        <w:rPr>
          <w:rFonts w:ascii="Arial" w:hAnsi="Arial" w:cs="Arial"/>
          <w:sz w:val="22"/>
          <w:szCs w:val="22"/>
        </w:rPr>
        <w:t>6 month-old</w:t>
      </w:r>
      <w:proofErr w:type="gramEnd"/>
      <w:r w:rsidRPr="00EF7426">
        <w:rPr>
          <w:rFonts w:ascii="Arial" w:hAnsi="Arial" w:cs="Arial"/>
          <w:sz w:val="22"/>
          <w:szCs w:val="22"/>
        </w:rPr>
        <w:t xml:space="preserve"> soleus muscles to investigate the localization of PDGFRα, </w:t>
      </w:r>
      <w:proofErr w:type="spellStart"/>
      <w:r w:rsidRPr="00EF7426">
        <w:rPr>
          <w:rFonts w:ascii="Arial" w:hAnsi="Arial" w:cs="Arial"/>
          <w:sz w:val="22"/>
          <w:szCs w:val="22"/>
        </w:rPr>
        <w:t>Postn</w:t>
      </w:r>
      <w:proofErr w:type="spellEnd"/>
      <w:r w:rsidRPr="00EF7426">
        <w:rPr>
          <w:rFonts w:ascii="Arial" w:hAnsi="Arial" w:cs="Arial"/>
          <w:sz w:val="22"/>
          <w:szCs w:val="22"/>
        </w:rPr>
        <w:t>, α-SMA, PLIN, COMP, and SMOC2 (scale bars = 1 mm). The merged images of (</w:t>
      </w:r>
      <w:r w:rsidRPr="00EF7426">
        <w:rPr>
          <w:rFonts w:ascii="Arial" w:hAnsi="Arial" w:cs="Arial"/>
          <w:b/>
          <w:bCs/>
          <w:sz w:val="22"/>
          <w:szCs w:val="22"/>
        </w:rPr>
        <w:t>B</w:t>
      </w:r>
      <w:r w:rsidRPr="00EF7426">
        <w:rPr>
          <w:rFonts w:ascii="Arial" w:hAnsi="Arial" w:cs="Arial"/>
          <w:sz w:val="22"/>
          <w:szCs w:val="22"/>
        </w:rPr>
        <w:t xml:space="preserve">) </w:t>
      </w:r>
      <w:proofErr w:type="gramStart"/>
      <w:r w:rsidRPr="00EF7426">
        <w:rPr>
          <w:rFonts w:ascii="Arial" w:hAnsi="Arial" w:cs="Arial"/>
          <w:sz w:val="22"/>
          <w:szCs w:val="22"/>
        </w:rPr>
        <w:t>are located in</w:t>
      </w:r>
      <w:proofErr w:type="gramEnd"/>
      <w:r w:rsidRPr="00EF7426">
        <w:rPr>
          <w:rFonts w:ascii="Arial" w:hAnsi="Arial" w:cs="Arial"/>
          <w:sz w:val="22"/>
          <w:szCs w:val="22"/>
        </w:rPr>
        <w:t xml:space="preserve"> </w:t>
      </w:r>
      <w:r w:rsidRPr="00EF7426">
        <w:rPr>
          <w:rFonts w:ascii="Arial" w:hAnsi="Arial" w:cs="Arial"/>
          <w:b/>
          <w:bCs/>
          <w:sz w:val="22"/>
          <w:szCs w:val="22"/>
        </w:rPr>
        <w:t>Figure 4E</w:t>
      </w:r>
      <w:r w:rsidRPr="00EF7426">
        <w:rPr>
          <w:rFonts w:ascii="Arial" w:hAnsi="Arial" w:cs="Arial"/>
          <w:sz w:val="22"/>
          <w:szCs w:val="22"/>
        </w:rPr>
        <w:t>.</w:t>
      </w:r>
    </w:p>
    <w:p w14:paraId="5BE2D59E" w14:textId="77777777" w:rsidR="006937AE" w:rsidRPr="00EF7426" w:rsidRDefault="006937AE" w:rsidP="006937AE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2829F1AE" w14:textId="77777777" w:rsidR="006937AE" w:rsidRPr="00EF7426" w:rsidRDefault="006937AE" w:rsidP="006937AE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F7426">
        <w:rPr>
          <w:rFonts w:ascii="Arial" w:hAnsi="Arial" w:cs="Arial"/>
          <w:noProof/>
          <w:sz w:val="22"/>
          <w:szCs w:val="22"/>
          <w14:ligatures w14:val="standardContextual"/>
        </w:rPr>
        <w:lastRenderedPageBreak/>
        <w:drawing>
          <wp:inline distT="0" distB="0" distL="0" distR="0" wp14:anchorId="211C3864" wp14:editId="52AC20E7">
            <wp:extent cx="5947410" cy="4563745"/>
            <wp:effectExtent l="0" t="0" r="0" b="8255"/>
            <wp:docPr id="169967170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456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96D89" w14:textId="77777777" w:rsidR="006937AE" w:rsidRDefault="006937AE" w:rsidP="006937AE">
      <w:pPr>
        <w:jc w:val="both"/>
      </w:pPr>
      <w:r w:rsidRPr="00EF7426">
        <w:rPr>
          <w:rFonts w:ascii="Arial" w:hAnsi="Arial" w:cs="Arial"/>
          <w:b/>
          <w:bCs/>
          <w:sz w:val="22"/>
          <w:szCs w:val="22"/>
        </w:rPr>
        <w:t xml:space="preserve">Figure S5.  Adipocytes in MDR skeletal muscles.  </w:t>
      </w:r>
      <w:r w:rsidRPr="00EF7426">
        <w:rPr>
          <w:rFonts w:ascii="Arial" w:hAnsi="Arial" w:cs="Arial"/>
          <w:sz w:val="22"/>
          <w:szCs w:val="22"/>
        </w:rPr>
        <w:t>(A) Transverse sections of the soleus muscle labeled for myosin heavy chain (MHC) and perilipin 1 (PLIN) reveal the presence of intramuscular fat deposition in the dystrophic animals (Scale bar = 100 µm).  (B) Western blots of gastrocnemius muscle lysates also show increased PLIN protein expression with MDR vs WT rats by Student’s T-test (n = 3).  (C) Analysis of muscle transverse sections stained for perilipin shows an increase in the PLIN-positive fraction of muscle cross sectional area in 12-month-old MDR EDL muscles, but not in diaphragm or soleus (n = 3-4), by 2-way ANOVA for age and strain following by Fisher’s LSD test. Data are displayed as mean ± SEM with individual values.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429C8766" w14:textId="77777777" w:rsidR="003C15FA" w:rsidRDefault="003C15FA"/>
    <w:sectPr w:rsidR="003C15FA" w:rsidSect="006937AE">
      <w:footerReference w:type="default" r:id="rId9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41794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77302F" w14:textId="77777777" w:rsidR="006937AE" w:rsidRDefault="006937A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8054FC" w14:textId="77777777" w:rsidR="006937AE" w:rsidRDefault="006937AE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7AE"/>
    <w:rsid w:val="00042A23"/>
    <w:rsid w:val="003C15FA"/>
    <w:rsid w:val="00415199"/>
    <w:rsid w:val="0069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2D2D3"/>
  <w15:chartTrackingRefBased/>
  <w15:docId w15:val="{1CB20FE8-4F44-4FE6-84BF-8B2CF42C3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7AE"/>
    <w:pPr>
      <w:spacing w:after="0" w:line="240" w:lineRule="auto"/>
    </w:pPr>
    <w:rPr>
      <w:rFonts w:asciiTheme="minorHAnsi" w:eastAsiaTheme="minorEastAsia" w:hAnsiTheme="minorHAnsi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37A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7A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7A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7A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7A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7AE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7AE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7AE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7AE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7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7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7A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7A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7A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7A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7A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7A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7A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7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937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7A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937A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7AE"/>
    <w:pPr>
      <w:spacing w:before="160" w:after="160" w:line="278" w:lineRule="auto"/>
      <w:jc w:val="center"/>
    </w:pPr>
    <w:rPr>
      <w:rFonts w:ascii="Arial" w:eastAsiaTheme="minorHAnsi" w:hAnsi="Arial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937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7AE"/>
    <w:pPr>
      <w:spacing w:after="160" w:line="278" w:lineRule="auto"/>
      <w:ind w:left="720"/>
      <w:contextualSpacing/>
    </w:pPr>
    <w:rPr>
      <w:rFonts w:ascii="Arial" w:eastAsiaTheme="minorHAnsi" w:hAnsi="Arial"/>
      <w:kern w:val="2"/>
      <w:sz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937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7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Arial" w:eastAsiaTheme="minorHAnsi" w:hAnsi="Arial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7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7AE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6937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37AE"/>
    <w:rPr>
      <w:rFonts w:asciiTheme="minorHAnsi" w:eastAsiaTheme="minorEastAsia" w:hAnsiTheme="minorHAnsi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6937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tif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493</Words>
  <Characters>2504</Characters>
  <Application>Microsoft Office Word</Application>
  <DocSecurity>0</DocSecurity>
  <Lines>65</Lines>
  <Paragraphs>6</Paragraphs>
  <ScaleCrop>false</ScaleCrop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Hammers,David</dc:creator>
  <cp:keywords/>
  <dc:description/>
  <cp:lastModifiedBy>Hammers,David</cp:lastModifiedBy>
  <cp:revision>1</cp:revision>
  <dcterms:created xsi:type="dcterms:W3CDTF">2026-02-20T15:09:00Z</dcterms:created>
  <dcterms:modified xsi:type="dcterms:W3CDTF">2026-02-20T15:10:00Z</dcterms:modified>
</cp:coreProperties>
</file>