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CBE" w:rsidRDefault="00310CBE" w:rsidP="00C6437A">
      <w:pPr>
        <w:spacing w:line="480" w:lineRule="auto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Additional file 1</w:t>
      </w:r>
    </w:p>
    <w:p w:rsidR="00C6437A" w:rsidRPr="002936CA" w:rsidRDefault="00C6437A" w:rsidP="00C6437A">
      <w:pPr>
        <w:spacing w:line="480" w:lineRule="auto"/>
        <w:rPr>
          <w:rFonts w:ascii="Arial" w:hAnsi="Arial"/>
          <w:b/>
          <w:sz w:val="20"/>
          <w:szCs w:val="20"/>
        </w:rPr>
      </w:pPr>
      <w:r w:rsidRPr="002936CA">
        <w:rPr>
          <w:rFonts w:ascii="Arial" w:hAnsi="Arial"/>
          <w:b/>
          <w:sz w:val="20"/>
          <w:szCs w:val="20"/>
        </w:rPr>
        <w:t>Combination of anti-L1CAM lutetium-177 radioimmunotherapy and paclitaxel improved survival of nude mice bearing human ovarian cancer</w:t>
      </w:r>
    </w:p>
    <w:p w:rsidR="00C6437A" w:rsidRPr="002936CA" w:rsidRDefault="00C6437A" w:rsidP="00C6437A">
      <w:pPr>
        <w:spacing w:line="480" w:lineRule="auto"/>
        <w:jc w:val="center"/>
        <w:rPr>
          <w:rFonts w:ascii="Arial" w:hAnsi="Arial"/>
          <w:b/>
          <w:sz w:val="20"/>
          <w:szCs w:val="20"/>
        </w:rPr>
      </w:pPr>
    </w:p>
    <w:p w:rsidR="00C6437A" w:rsidRPr="008342D1" w:rsidRDefault="00C6437A" w:rsidP="00C6437A">
      <w:pPr>
        <w:spacing w:line="480" w:lineRule="auto"/>
        <w:rPr>
          <w:rFonts w:ascii="Arial" w:hAnsi="Arial"/>
          <w:sz w:val="20"/>
          <w:szCs w:val="20"/>
          <w:vertAlign w:val="superscript"/>
          <w:lang w:val="de-CH"/>
        </w:rPr>
      </w:pPr>
      <w:r w:rsidRPr="008342D1">
        <w:rPr>
          <w:rFonts w:ascii="Arial" w:hAnsi="Arial"/>
          <w:sz w:val="20"/>
          <w:szCs w:val="20"/>
          <w:lang w:val="de-CH"/>
        </w:rPr>
        <w:t>Dennis Lindenblatt</w:t>
      </w:r>
      <w:r w:rsidRPr="008342D1">
        <w:rPr>
          <w:rFonts w:ascii="Arial" w:hAnsi="Arial"/>
          <w:sz w:val="20"/>
          <w:szCs w:val="20"/>
          <w:vertAlign w:val="superscript"/>
          <w:lang w:val="de-CH"/>
        </w:rPr>
        <w:t>1</w:t>
      </w:r>
      <w:r w:rsidRPr="008342D1">
        <w:rPr>
          <w:rFonts w:ascii="Arial" w:hAnsi="Arial"/>
          <w:sz w:val="20"/>
          <w:szCs w:val="20"/>
          <w:lang w:val="de-CH"/>
        </w:rPr>
        <w:t>, Eliane Fischer</w:t>
      </w:r>
      <w:r w:rsidRPr="008342D1">
        <w:rPr>
          <w:rFonts w:ascii="Arial" w:hAnsi="Arial"/>
          <w:sz w:val="20"/>
          <w:szCs w:val="20"/>
          <w:vertAlign w:val="superscript"/>
          <w:lang w:val="de-CH"/>
        </w:rPr>
        <w:t>1</w:t>
      </w:r>
      <w:r w:rsidRPr="008342D1">
        <w:rPr>
          <w:rFonts w:ascii="Arial" w:hAnsi="Arial"/>
          <w:sz w:val="20"/>
          <w:szCs w:val="20"/>
          <w:lang w:val="de-CH"/>
        </w:rPr>
        <w:t>, Susan Cohrs</w:t>
      </w:r>
      <w:r w:rsidRPr="008342D1">
        <w:rPr>
          <w:rFonts w:ascii="Arial" w:hAnsi="Arial"/>
          <w:sz w:val="20"/>
          <w:szCs w:val="20"/>
          <w:vertAlign w:val="superscript"/>
          <w:lang w:val="de-CH"/>
        </w:rPr>
        <w:t>1</w:t>
      </w:r>
      <w:r w:rsidRPr="008342D1">
        <w:rPr>
          <w:rFonts w:ascii="Arial" w:hAnsi="Arial"/>
          <w:sz w:val="20"/>
          <w:szCs w:val="20"/>
          <w:lang w:val="de-CH"/>
        </w:rPr>
        <w:t>, Roger Schibli</w:t>
      </w:r>
      <w:r w:rsidRPr="008342D1">
        <w:rPr>
          <w:rFonts w:ascii="Arial" w:hAnsi="Arial"/>
          <w:sz w:val="20"/>
          <w:szCs w:val="20"/>
          <w:vertAlign w:val="superscript"/>
          <w:lang w:val="de-CH"/>
        </w:rPr>
        <w:t>1,2</w:t>
      </w:r>
      <w:r w:rsidRPr="008342D1">
        <w:rPr>
          <w:rFonts w:ascii="Arial" w:hAnsi="Arial"/>
          <w:sz w:val="20"/>
          <w:szCs w:val="20"/>
          <w:lang w:val="de-CH"/>
        </w:rPr>
        <w:t xml:space="preserve"> and Jürgen Grünberg</w:t>
      </w:r>
      <w:r w:rsidRPr="008342D1">
        <w:rPr>
          <w:rFonts w:ascii="Arial" w:hAnsi="Arial"/>
          <w:sz w:val="20"/>
          <w:szCs w:val="20"/>
          <w:vertAlign w:val="superscript"/>
          <w:lang w:val="de-CH"/>
        </w:rPr>
        <w:t>1</w:t>
      </w:r>
    </w:p>
    <w:p w:rsidR="00C6437A" w:rsidRPr="008342D1" w:rsidRDefault="00C6437A" w:rsidP="00C6437A">
      <w:pPr>
        <w:spacing w:line="480" w:lineRule="auto"/>
        <w:jc w:val="center"/>
        <w:rPr>
          <w:rFonts w:ascii="Arial" w:hAnsi="Arial"/>
          <w:sz w:val="20"/>
          <w:szCs w:val="20"/>
          <w:vertAlign w:val="superscript"/>
          <w:lang w:val="de-CH"/>
        </w:rPr>
      </w:pPr>
    </w:p>
    <w:p w:rsidR="00C6437A" w:rsidRPr="008342D1" w:rsidRDefault="00C6437A" w:rsidP="00C6437A">
      <w:pPr>
        <w:pStyle w:val="DoktorandentagINSTITUTES"/>
        <w:spacing w:line="480" w:lineRule="auto"/>
        <w:jc w:val="both"/>
        <w:rPr>
          <w:i w:val="0"/>
          <w:sz w:val="20"/>
          <w:lang w:val="de-CH"/>
        </w:rPr>
      </w:pPr>
      <w:r w:rsidRPr="008342D1">
        <w:rPr>
          <w:i w:val="0"/>
          <w:sz w:val="20"/>
          <w:vertAlign w:val="superscript"/>
          <w:lang w:val="de-CH"/>
        </w:rPr>
        <w:t>1</w:t>
      </w:r>
      <w:r w:rsidRPr="008342D1">
        <w:rPr>
          <w:i w:val="0"/>
          <w:sz w:val="20"/>
          <w:lang w:val="de-CH"/>
        </w:rPr>
        <w:t xml:space="preserve">Center for Radiopharmaceutical Sciences ETH-PSI-USZ, Paul Scherrer Institut, Villigen PSI, Switzerland; </w:t>
      </w:r>
      <w:r w:rsidRPr="008342D1">
        <w:rPr>
          <w:i w:val="0"/>
          <w:sz w:val="20"/>
          <w:vertAlign w:val="superscript"/>
          <w:lang w:val="de-CH"/>
        </w:rPr>
        <w:t>2</w:t>
      </w:r>
      <w:r w:rsidRPr="008342D1">
        <w:rPr>
          <w:i w:val="0"/>
          <w:sz w:val="20"/>
          <w:lang w:val="de-CH"/>
        </w:rPr>
        <w:t>Institute of Pharmaceutical Sciences, ETH Zürich, Switzerland</w:t>
      </w:r>
      <w:r w:rsidRPr="008342D1">
        <w:rPr>
          <w:i w:val="0"/>
          <w:sz w:val="20"/>
          <w:lang w:val="de-CH"/>
        </w:rPr>
        <w:tab/>
      </w:r>
      <w:r w:rsidRPr="008342D1">
        <w:rPr>
          <w:i w:val="0"/>
          <w:sz w:val="20"/>
          <w:lang w:val="de-CH"/>
        </w:rPr>
        <w:br/>
      </w:r>
    </w:p>
    <w:p w:rsidR="00C6437A" w:rsidRPr="002936CA" w:rsidRDefault="00C6437A" w:rsidP="00C6437A">
      <w:pPr>
        <w:pStyle w:val="DoktorandentagINSTITUTES"/>
        <w:spacing w:line="480" w:lineRule="auto"/>
        <w:jc w:val="both"/>
        <w:rPr>
          <w:i w:val="0"/>
          <w:sz w:val="20"/>
        </w:rPr>
      </w:pPr>
      <w:r w:rsidRPr="008342D1">
        <w:rPr>
          <w:i w:val="0"/>
          <w:sz w:val="20"/>
          <w:lang w:val="de-CH"/>
        </w:rPr>
        <w:t xml:space="preserve">For correspondence or reprints contact: Jürgen Grünberg, Center for Radiopharmaceutical Sciences ETH-PSI-USZ, Paul Scherrer Institut, 5232 Villigen PSI, Switzerland; </w:t>
      </w:r>
      <w:r w:rsidRPr="008342D1">
        <w:rPr>
          <w:i w:val="0"/>
          <w:sz w:val="20"/>
          <w:lang w:val="de-CH"/>
        </w:rPr>
        <w:tab/>
      </w:r>
      <w:r w:rsidRPr="008342D1">
        <w:rPr>
          <w:i w:val="0"/>
          <w:sz w:val="20"/>
          <w:lang w:val="de-CH"/>
        </w:rPr>
        <w:br/>
        <w:t xml:space="preserve">Phone +41-(0)56-3102848. </w:t>
      </w:r>
      <w:r w:rsidRPr="008342D1">
        <w:rPr>
          <w:i w:val="0"/>
          <w:sz w:val="20"/>
          <w:lang w:val="de-CH"/>
        </w:rPr>
        <w:tab/>
      </w:r>
      <w:r w:rsidRPr="008342D1">
        <w:rPr>
          <w:i w:val="0"/>
          <w:sz w:val="20"/>
          <w:lang w:val="de-CH"/>
        </w:rPr>
        <w:br/>
      </w:r>
      <w:r w:rsidRPr="002936CA">
        <w:rPr>
          <w:i w:val="0"/>
          <w:sz w:val="20"/>
        </w:rPr>
        <w:t>Email: juergen.gruenberg@psi.ch</w:t>
      </w:r>
    </w:p>
    <w:p w:rsidR="00E00784" w:rsidRDefault="00E00784">
      <w:pPr>
        <w:rPr>
          <w:rFonts w:ascii="Times New Roman" w:eastAsia="Times New Roman" w:hAnsi="Times New Roman"/>
          <w:sz w:val="22"/>
          <w:szCs w:val="22"/>
          <w:lang w:eastAsia="en-GB"/>
        </w:rPr>
      </w:pPr>
      <w:r>
        <w:rPr>
          <w:rFonts w:ascii="Times New Roman" w:hAnsi="Times New Roman"/>
          <w:i/>
          <w:sz w:val="22"/>
          <w:szCs w:val="22"/>
        </w:rPr>
        <w:br w:type="page"/>
      </w:r>
    </w:p>
    <w:p w:rsidR="00014864" w:rsidRPr="002936CA" w:rsidRDefault="00E00784" w:rsidP="00E00784">
      <w:pPr>
        <w:rPr>
          <w:rFonts w:ascii="Arial" w:hAnsi="Arial"/>
          <w:b/>
          <w:sz w:val="20"/>
          <w:szCs w:val="20"/>
          <w:lang w:eastAsia="en-GB"/>
        </w:rPr>
      </w:pPr>
      <w:r w:rsidRPr="002936CA">
        <w:rPr>
          <w:rFonts w:ascii="Arial" w:hAnsi="Arial"/>
          <w:b/>
          <w:sz w:val="20"/>
          <w:szCs w:val="20"/>
          <w:lang w:eastAsia="en-GB"/>
        </w:rPr>
        <w:lastRenderedPageBreak/>
        <w:t>Plasma s</w:t>
      </w:r>
      <w:r w:rsidR="00231F02" w:rsidRPr="002936CA">
        <w:rPr>
          <w:rFonts w:ascii="Arial" w:hAnsi="Arial"/>
          <w:b/>
          <w:sz w:val="20"/>
          <w:szCs w:val="20"/>
          <w:lang w:eastAsia="en-GB"/>
        </w:rPr>
        <w:t>tability Test</w:t>
      </w:r>
    </w:p>
    <w:p w:rsidR="00E00784" w:rsidRPr="002936CA" w:rsidRDefault="00E00784" w:rsidP="00E00784">
      <w:pPr>
        <w:rPr>
          <w:rFonts w:ascii="Arial" w:hAnsi="Arial"/>
          <w:b/>
          <w:sz w:val="20"/>
          <w:szCs w:val="20"/>
        </w:rPr>
      </w:pPr>
    </w:p>
    <w:p w:rsidR="00014864" w:rsidRPr="002936CA" w:rsidRDefault="009C6974" w:rsidP="009C6974">
      <w:pPr>
        <w:spacing w:line="480" w:lineRule="auto"/>
        <w:rPr>
          <w:rFonts w:ascii="Arial" w:hAnsi="Arial"/>
          <w:sz w:val="20"/>
          <w:szCs w:val="20"/>
        </w:rPr>
      </w:pPr>
      <w:r w:rsidRPr="002936CA">
        <w:rPr>
          <w:rFonts w:ascii="Arial" w:hAnsi="Arial"/>
          <w:sz w:val="20"/>
          <w:szCs w:val="20"/>
        </w:rPr>
        <w:t xml:space="preserve">In order to test the stability of </w:t>
      </w:r>
      <w:r w:rsidRPr="002936CA">
        <w:rPr>
          <w:rFonts w:ascii="Arial" w:hAnsi="Arial"/>
          <w:sz w:val="20"/>
          <w:szCs w:val="20"/>
          <w:vertAlign w:val="superscript"/>
        </w:rPr>
        <w:t>177</w:t>
      </w:r>
      <w:r w:rsidR="00E00784" w:rsidRPr="002936CA">
        <w:rPr>
          <w:rFonts w:ascii="Arial" w:hAnsi="Arial"/>
          <w:sz w:val="20"/>
          <w:szCs w:val="20"/>
        </w:rPr>
        <w:t>Lu-</w:t>
      </w:r>
      <w:r w:rsidRPr="002936CA">
        <w:rPr>
          <w:rFonts w:ascii="Arial" w:hAnsi="Arial"/>
          <w:sz w:val="20"/>
          <w:szCs w:val="20"/>
        </w:rPr>
        <w:t>label</w:t>
      </w:r>
      <w:r w:rsidR="0049628F" w:rsidRPr="002936CA">
        <w:rPr>
          <w:rFonts w:ascii="Arial" w:hAnsi="Arial"/>
          <w:sz w:val="20"/>
          <w:szCs w:val="20"/>
        </w:rPr>
        <w:t>l</w:t>
      </w:r>
      <w:r w:rsidRPr="002936CA">
        <w:rPr>
          <w:rFonts w:ascii="Arial" w:hAnsi="Arial"/>
          <w:sz w:val="20"/>
          <w:szCs w:val="20"/>
        </w:rPr>
        <w:t xml:space="preserve">ed antibodies, RICs were incubated in human plasma at 37 </w:t>
      </w:r>
      <w:r w:rsidRPr="002936CA">
        <w:rPr>
          <w:rFonts w:ascii="Arial" w:hAnsi="Arial"/>
          <w:sz w:val="20"/>
          <w:szCs w:val="20"/>
          <w:vertAlign w:val="superscript"/>
        </w:rPr>
        <w:t>0</w:t>
      </w:r>
      <w:r w:rsidRPr="002936CA">
        <w:rPr>
          <w:rFonts w:ascii="Arial" w:hAnsi="Arial"/>
          <w:sz w:val="20"/>
          <w:szCs w:val="20"/>
        </w:rPr>
        <w:t>C and analysed by FPLC size exclusion chromatography on a TSKgel G3000Wxl column (Tosoh Bioscience, Stuttgart, Germany). Flow rate of mobile phase (0.3 M NaCl, 0.05 M Na2HPO4, pH 6.2) was set to 1ml/ min.</w:t>
      </w:r>
    </w:p>
    <w:p w:rsidR="00E00784" w:rsidRPr="002936CA" w:rsidRDefault="00E00784" w:rsidP="009C6974">
      <w:pPr>
        <w:spacing w:line="480" w:lineRule="auto"/>
        <w:rPr>
          <w:rFonts w:ascii="Arial" w:hAnsi="Arial"/>
          <w:sz w:val="20"/>
          <w:szCs w:val="20"/>
        </w:rPr>
      </w:pPr>
    </w:p>
    <w:p w:rsidR="00E00784" w:rsidRPr="002936CA" w:rsidRDefault="00E00784" w:rsidP="00E00784">
      <w:pPr>
        <w:jc w:val="both"/>
        <w:rPr>
          <w:rFonts w:ascii="Arial" w:hAnsi="Arial"/>
          <w:b/>
          <w:sz w:val="20"/>
          <w:szCs w:val="20"/>
        </w:rPr>
      </w:pPr>
      <w:r w:rsidRPr="002936CA">
        <w:rPr>
          <w:rFonts w:ascii="Arial" w:hAnsi="Arial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086100" cy="4137660"/>
            <wp:effectExtent l="0" t="0" r="12700" b="254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 PS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4137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00784" w:rsidRPr="002936CA" w:rsidRDefault="004E1846" w:rsidP="00E00784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Additional file 1: </w:t>
      </w:r>
      <w:r w:rsidR="00E00784" w:rsidRPr="002936CA">
        <w:rPr>
          <w:rFonts w:ascii="Arial" w:hAnsi="Arial"/>
          <w:b/>
          <w:sz w:val="20"/>
          <w:szCs w:val="20"/>
        </w:rPr>
        <w:t xml:space="preserve">Figure </w:t>
      </w:r>
      <w:r w:rsidR="00DA3135">
        <w:rPr>
          <w:rFonts w:ascii="Arial" w:hAnsi="Arial"/>
          <w:b/>
          <w:sz w:val="20"/>
          <w:szCs w:val="20"/>
        </w:rPr>
        <w:t>S</w:t>
      </w:r>
      <w:r w:rsidR="00E00784" w:rsidRPr="002936CA">
        <w:rPr>
          <w:rFonts w:ascii="Arial" w:hAnsi="Arial"/>
          <w:b/>
          <w:sz w:val="20"/>
          <w:szCs w:val="20"/>
        </w:rPr>
        <w:t>1:</w:t>
      </w:r>
      <w:r w:rsidR="00E00784" w:rsidRPr="002936CA">
        <w:rPr>
          <w:rFonts w:ascii="Arial" w:hAnsi="Arial"/>
          <w:sz w:val="20"/>
          <w:szCs w:val="20"/>
        </w:rPr>
        <w:t xml:space="preserve"> Plasma stability after 0 h, 24 h, 48 h, 70 h and 120 h for a) </w:t>
      </w:r>
      <w:r w:rsidR="00E00784" w:rsidRPr="002936CA">
        <w:rPr>
          <w:rFonts w:ascii="Arial" w:hAnsi="Arial"/>
          <w:sz w:val="20"/>
          <w:szCs w:val="20"/>
          <w:vertAlign w:val="superscript"/>
        </w:rPr>
        <w:t>177</w:t>
      </w:r>
      <w:r w:rsidR="00E00784" w:rsidRPr="002936CA">
        <w:rPr>
          <w:rFonts w:ascii="Arial" w:hAnsi="Arial"/>
          <w:sz w:val="20"/>
          <w:szCs w:val="20"/>
        </w:rPr>
        <w:t xml:space="preserve">Lu-DOTA-chCE7 and b) </w:t>
      </w:r>
      <w:r w:rsidR="00E00784" w:rsidRPr="002936CA">
        <w:rPr>
          <w:rFonts w:ascii="Arial" w:hAnsi="Arial"/>
          <w:sz w:val="20"/>
          <w:szCs w:val="20"/>
          <w:vertAlign w:val="superscript"/>
        </w:rPr>
        <w:t>177</w:t>
      </w:r>
      <w:r w:rsidR="00E00784" w:rsidRPr="002936CA">
        <w:rPr>
          <w:rFonts w:ascii="Arial" w:hAnsi="Arial"/>
          <w:sz w:val="20"/>
          <w:szCs w:val="20"/>
        </w:rPr>
        <w:t xml:space="preserve">Lu-labelled control IgG. </w:t>
      </w:r>
    </w:p>
    <w:p w:rsidR="00656B4C" w:rsidRPr="008C3E87" w:rsidRDefault="00E00784" w:rsidP="008C3E87">
      <w:pPr>
        <w:rPr>
          <w:rFonts w:ascii="Arial" w:hAnsi="Arial"/>
          <w:b/>
          <w:sz w:val="20"/>
          <w:szCs w:val="20"/>
        </w:rPr>
      </w:pPr>
      <w:r w:rsidRPr="002936CA">
        <w:rPr>
          <w:rFonts w:ascii="Arial" w:hAnsi="Arial"/>
          <w:sz w:val="20"/>
          <w:szCs w:val="20"/>
        </w:rPr>
        <w:br w:type="page"/>
      </w:r>
      <w:r w:rsidR="00656B4C" w:rsidRPr="008C3E87">
        <w:rPr>
          <w:rFonts w:ascii="Arial" w:hAnsi="Arial"/>
          <w:b/>
          <w:sz w:val="20"/>
          <w:szCs w:val="20"/>
        </w:rPr>
        <w:lastRenderedPageBreak/>
        <w:t>Determination of half-maximal in</w:t>
      </w:r>
      <w:r w:rsidR="0049628F" w:rsidRPr="008C3E87">
        <w:rPr>
          <w:rFonts w:ascii="Arial" w:hAnsi="Arial"/>
          <w:b/>
          <w:sz w:val="20"/>
          <w:szCs w:val="20"/>
        </w:rPr>
        <w:t>hibitory concentration</w:t>
      </w:r>
      <w:r w:rsidR="00656B4C" w:rsidRPr="008C3E87">
        <w:rPr>
          <w:rFonts w:ascii="Arial" w:hAnsi="Arial"/>
          <w:b/>
          <w:sz w:val="20"/>
          <w:szCs w:val="20"/>
        </w:rPr>
        <w:t xml:space="preserve"> (IC</w:t>
      </w:r>
      <w:r w:rsidR="00656B4C" w:rsidRPr="008C3E87">
        <w:rPr>
          <w:rFonts w:ascii="Arial" w:hAnsi="Arial"/>
          <w:b/>
          <w:sz w:val="20"/>
          <w:szCs w:val="20"/>
          <w:vertAlign w:val="subscript"/>
        </w:rPr>
        <w:t>50</w:t>
      </w:r>
      <w:r w:rsidR="00656B4C" w:rsidRPr="008C3E87">
        <w:rPr>
          <w:rFonts w:ascii="Arial" w:hAnsi="Arial"/>
          <w:b/>
          <w:sz w:val="20"/>
          <w:szCs w:val="20"/>
        </w:rPr>
        <w:t>) of paclitaxel</w:t>
      </w:r>
    </w:p>
    <w:p w:rsidR="00656B4C" w:rsidRPr="002936CA" w:rsidRDefault="00656B4C" w:rsidP="00656B4C">
      <w:pPr>
        <w:jc w:val="both"/>
        <w:rPr>
          <w:rFonts w:ascii="Arial" w:hAnsi="Arial"/>
          <w:sz w:val="20"/>
          <w:szCs w:val="20"/>
        </w:rPr>
      </w:pPr>
    </w:p>
    <w:p w:rsidR="00656B4C" w:rsidRPr="002936CA" w:rsidRDefault="00656B4C" w:rsidP="00656B4C">
      <w:pPr>
        <w:spacing w:line="480" w:lineRule="auto"/>
        <w:jc w:val="both"/>
        <w:rPr>
          <w:rFonts w:ascii="Arial" w:hAnsi="Arial"/>
          <w:sz w:val="20"/>
          <w:szCs w:val="20"/>
        </w:rPr>
      </w:pPr>
      <w:r w:rsidRPr="002936CA">
        <w:rPr>
          <w:rFonts w:ascii="Arial" w:hAnsi="Arial"/>
          <w:sz w:val="20"/>
          <w:szCs w:val="20"/>
        </w:rPr>
        <w:t>In order to determine the PTX concentration nesseccary to reduce cell viability to 50% (IC</w:t>
      </w:r>
      <w:r w:rsidRPr="002936CA">
        <w:rPr>
          <w:rFonts w:ascii="Arial" w:hAnsi="Arial"/>
          <w:sz w:val="20"/>
          <w:szCs w:val="20"/>
          <w:vertAlign w:val="subscript"/>
        </w:rPr>
        <w:t>50</w:t>
      </w:r>
      <w:r w:rsidRPr="002936CA">
        <w:rPr>
          <w:rFonts w:ascii="Arial" w:hAnsi="Arial"/>
          <w:sz w:val="20"/>
          <w:szCs w:val="20"/>
        </w:rPr>
        <w:t xml:space="preserve">), IGROV1 cells were seeded in a 96 well plate and incubated for 24 h. </w:t>
      </w:r>
    </w:p>
    <w:p w:rsidR="00656B4C" w:rsidRPr="002936CA" w:rsidRDefault="00656B4C" w:rsidP="00656B4C">
      <w:pPr>
        <w:spacing w:line="480" w:lineRule="auto"/>
        <w:jc w:val="both"/>
        <w:rPr>
          <w:rFonts w:ascii="Arial" w:hAnsi="Arial"/>
          <w:sz w:val="20"/>
          <w:szCs w:val="20"/>
        </w:rPr>
      </w:pPr>
      <w:r w:rsidRPr="002936CA">
        <w:rPr>
          <w:rFonts w:ascii="Arial" w:hAnsi="Arial"/>
          <w:sz w:val="20"/>
          <w:szCs w:val="20"/>
        </w:rPr>
        <w:t xml:space="preserve">After adhesion cells were treated with PTX concentrations ranging from 0.5-500 nM for 24 h at 37°C. After washing with PBS cells were incubated 120 h at 37°C. Cell viability was determined when 20 μl of filtered 3-(4,5-dimethylthiazol-2-yl)-2,5-diphenyltetrazolium bromide (MTT) solution (5 mg/mL, Sigma-Aldrich) was added to each well followed by incubation for 2 h protected from light. Media was removed and the formed formazan crystals were dissolved in 200 μl dimethyl sulfoxide (DMSO). The absorbance (OD) was determined at a wavelength of 560 nm in a microplate reader (Victor X3, Perkin-Elmer). Results are expressed as percentage of viable cells compared to control. </w:t>
      </w:r>
      <w:r w:rsidR="00E65C8C" w:rsidRPr="002936CA">
        <w:rPr>
          <w:rFonts w:ascii="Arial" w:hAnsi="Arial"/>
          <w:sz w:val="20"/>
          <w:szCs w:val="20"/>
        </w:rPr>
        <w:t>IC</w:t>
      </w:r>
      <w:r w:rsidR="00E65C8C" w:rsidRPr="002936CA">
        <w:rPr>
          <w:rFonts w:ascii="Arial" w:hAnsi="Arial"/>
          <w:sz w:val="20"/>
          <w:szCs w:val="20"/>
          <w:vertAlign w:val="subscript"/>
        </w:rPr>
        <w:t>50</w:t>
      </w:r>
      <w:r w:rsidR="00E65C8C" w:rsidRPr="002936CA">
        <w:rPr>
          <w:rFonts w:ascii="Arial" w:hAnsi="Arial"/>
          <w:sz w:val="20"/>
          <w:szCs w:val="20"/>
        </w:rPr>
        <w:t xml:space="preserve"> concentration was determined with 10 ± 0.95 nM. </w:t>
      </w:r>
    </w:p>
    <w:p w:rsidR="00075694" w:rsidRPr="002936CA" w:rsidRDefault="00075694" w:rsidP="00075694">
      <w:pPr>
        <w:jc w:val="both"/>
        <w:rPr>
          <w:rFonts w:ascii="Arial" w:hAnsi="Arial"/>
          <w:sz w:val="20"/>
          <w:szCs w:val="20"/>
        </w:rPr>
      </w:pPr>
    </w:p>
    <w:p w:rsidR="00075694" w:rsidRPr="002936CA" w:rsidRDefault="00075694" w:rsidP="00075694">
      <w:pPr>
        <w:pStyle w:val="Heading3"/>
        <w:rPr>
          <w:rFonts w:ascii="Arial" w:hAnsi="Arial"/>
          <w:b w:val="0"/>
          <w:sz w:val="20"/>
          <w:szCs w:val="20"/>
        </w:rPr>
      </w:pPr>
      <w:r w:rsidRPr="002936CA">
        <w:rPr>
          <w:rFonts w:ascii="Arial" w:hAnsi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16510</wp:posOffset>
            </wp:positionV>
            <wp:extent cx="3200400" cy="2199005"/>
            <wp:effectExtent l="0" t="0" r="0" b="1079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GROV1_IC50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199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308D">
        <w:rPr>
          <w:rFonts w:ascii="Arial" w:hAnsi="Arial"/>
          <w:sz w:val="20"/>
          <w:szCs w:val="20"/>
        </w:rPr>
        <w:t xml:space="preserve">Additional file 2: </w:t>
      </w:r>
      <w:r w:rsidRPr="002936CA">
        <w:rPr>
          <w:rFonts w:ascii="Arial" w:hAnsi="Arial"/>
          <w:sz w:val="20"/>
          <w:szCs w:val="20"/>
        </w:rPr>
        <w:t xml:space="preserve">Figure </w:t>
      </w:r>
      <w:r w:rsidR="00E816E3">
        <w:rPr>
          <w:rFonts w:ascii="Arial" w:hAnsi="Arial"/>
          <w:sz w:val="20"/>
          <w:szCs w:val="20"/>
        </w:rPr>
        <w:t>S</w:t>
      </w:r>
      <w:r w:rsidRPr="002936CA">
        <w:rPr>
          <w:rFonts w:ascii="Arial" w:hAnsi="Arial"/>
          <w:sz w:val="20"/>
          <w:szCs w:val="20"/>
        </w:rPr>
        <w:t xml:space="preserve">2: </w:t>
      </w:r>
      <w:r w:rsidRPr="002936CA">
        <w:rPr>
          <w:rFonts w:ascii="Arial" w:hAnsi="Arial"/>
          <w:b w:val="0"/>
          <w:sz w:val="20"/>
          <w:szCs w:val="20"/>
        </w:rPr>
        <w:t>Half-maximal inhibitory concentration (IC</w:t>
      </w:r>
      <w:r w:rsidRPr="002936CA">
        <w:rPr>
          <w:rFonts w:ascii="Arial" w:hAnsi="Arial"/>
          <w:b w:val="0"/>
          <w:sz w:val="20"/>
          <w:szCs w:val="20"/>
          <w:vertAlign w:val="subscript"/>
        </w:rPr>
        <w:t>50</w:t>
      </w:r>
      <w:r w:rsidRPr="002936CA">
        <w:rPr>
          <w:rFonts w:ascii="Arial" w:hAnsi="Arial"/>
          <w:b w:val="0"/>
          <w:sz w:val="20"/>
          <w:szCs w:val="20"/>
        </w:rPr>
        <w:t>) of paclitaxel</w:t>
      </w:r>
      <w:r w:rsidR="00DE0D74" w:rsidRPr="002936CA">
        <w:rPr>
          <w:rFonts w:ascii="Arial" w:hAnsi="Arial"/>
          <w:b w:val="0"/>
          <w:sz w:val="20"/>
          <w:szCs w:val="20"/>
        </w:rPr>
        <w:t xml:space="preserve"> against IGROV1 cells (10 ± 0.95 nM). </w:t>
      </w:r>
    </w:p>
    <w:p w:rsidR="00E00784" w:rsidRDefault="00E00784" w:rsidP="002C2A9D"/>
    <w:p w:rsidR="008342D1" w:rsidRDefault="008342D1" w:rsidP="002C2A9D"/>
    <w:p w:rsidR="008342D1" w:rsidRDefault="008342D1" w:rsidP="002C2A9D"/>
    <w:p w:rsidR="008342D1" w:rsidRDefault="008342D1" w:rsidP="002C2A9D"/>
    <w:p w:rsidR="008342D1" w:rsidRDefault="008342D1" w:rsidP="002C2A9D"/>
    <w:p w:rsidR="008342D1" w:rsidRDefault="008342D1" w:rsidP="002C2A9D"/>
    <w:p w:rsidR="008342D1" w:rsidRDefault="008342D1" w:rsidP="002C2A9D"/>
    <w:p w:rsidR="008342D1" w:rsidRDefault="008342D1" w:rsidP="002C2A9D"/>
    <w:p w:rsidR="008342D1" w:rsidRDefault="008342D1" w:rsidP="002C2A9D"/>
    <w:p w:rsidR="008342D1" w:rsidRDefault="008342D1" w:rsidP="002C2A9D"/>
    <w:p w:rsidR="008342D1" w:rsidRDefault="008342D1" w:rsidP="002C2A9D">
      <w:pPr>
        <w:rPr>
          <w:rFonts w:ascii="Arial" w:hAnsi="Arial" w:cs="Arial"/>
          <w:b/>
          <w:sz w:val="20"/>
          <w:szCs w:val="20"/>
          <w:lang w:val="en-GB"/>
        </w:rPr>
      </w:pPr>
      <w:r w:rsidRPr="008342D1">
        <w:rPr>
          <w:rFonts w:ascii="Arial" w:hAnsi="Arial" w:cs="Arial"/>
          <w:b/>
          <w:i/>
          <w:sz w:val="20"/>
          <w:szCs w:val="20"/>
          <w:lang w:val="en-GB"/>
        </w:rPr>
        <w:t>In vitro</w:t>
      </w:r>
      <w:r w:rsidRPr="008342D1">
        <w:rPr>
          <w:rFonts w:ascii="Arial" w:hAnsi="Arial" w:cs="Arial"/>
          <w:b/>
          <w:sz w:val="20"/>
          <w:szCs w:val="20"/>
          <w:lang w:val="en-GB"/>
        </w:rPr>
        <w:t xml:space="preserve"> cell growth inhibition upon </w:t>
      </w:r>
      <w:r w:rsidRPr="008342D1">
        <w:rPr>
          <w:rFonts w:ascii="Arial" w:hAnsi="Arial" w:cs="Arial"/>
          <w:b/>
          <w:sz w:val="20"/>
          <w:szCs w:val="20"/>
          <w:vertAlign w:val="superscript"/>
          <w:lang w:val="en-GB"/>
        </w:rPr>
        <w:t>177</w:t>
      </w:r>
      <w:r w:rsidRPr="008342D1">
        <w:rPr>
          <w:rFonts w:ascii="Arial" w:hAnsi="Arial" w:cs="Arial"/>
          <w:b/>
          <w:sz w:val="20"/>
          <w:szCs w:val="20"/>
          <w:lang w:val="en-GB"/>
        </w:rPr>
        <w:t>Lu-DOTA-chCE7 and paclitaxel treatments via colony-assay</w:t>
      </w:r>
    </w:p>
    <w:p w:rsidR="00F47C61" w:rsidRDefault="00F47C61" w:rsidP="002C2A9D">
      <w:pPr>
        <w:rPr>
          <w:rFonts w:ascii="Arial" w:hAnsi="Arial" w:cs="Arial"/>
          <w:b/>
          <w:sz w:val="20"/>
          <w:szCs w:val="20"/>
          <w:lang w:val="en-GB"/>
        </w:rPr>
      </w:pPr>
    </w:p>
    <w:p w:rsidR="00516805" w:rsidRDefault="00516805" w:rsidP="00516805">
      <w:pPr>
        <w:spacing w:line="48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516805">
        <w:rPr>
          <w:rFonts w:ascii="Arial" w:hAnsi="Arial" w:cs="Arial"/>
          <w:sz w:val="20"/>
          <w:szCs w:val="20"/>
          <w:lang w:val="en-GB"/>
        </w:rPr>
        <w:t xml:space="preserve">In order to determine the </w:t>
      </w:r>
      <w:r w:rsidRPr="00516805">
        <w:rPr>
          <w:rFonts w:ascii="Arial" w:hAnsi="Arial" w:cs="Arial"/>
          <w:sz w:val="20"/>
          <w:szCs w:val="20"/>
          <w:vertAlign w:val="superscript"/>
          <w:lang w:val="en-GB"/>
        </w:rPr>
        <w:t>177</w:t>
      </w:r>
      <w:r w:rsidRPr="00516805">
        <w:rPr>
          <w:rFonts w:ascii="Arial" w:hAnsi="Arial" w:cs="Arial"/>
          <w:sz w:val="20"/>
          <w:szCs w:val="20"/>
          <w:lang w:val="en-GB"/>
        </w:rPr>
        <w:t>Lu-DOTA-chCE7 concentrations necessary to reduce cell viability to 50% (IC</w:t>
      </w:r>
      <w:r w:rsidRPr="00516805">
        <w:rPr>
          <w:rFonts w:ascii="Arial" w:hAnsi="Arial" w:cs="Arial"/>
          <w:sz w:val="20"/>
          <w:szCs w:val="20"/>
          <w:vertAlign w:val="subscript"/>
          <w:lang w:val="en-GB"/>
        </w:rPr>
        <w:t>50</w:t>
      </w:r>
      <w:r w:rsidRPr="00516805">
        <w:rPr>
          <w:rFonts w:ascii="Arial" w:hAnsi="Arial" w:cs="Arial"/>
          <w:sz w:val="20"/>
          <w:szCs w:val="20"/>
          <w:lang w:val="en-GB"/>
        </w:rPr>
        <w:t xml:space="preserve">) </w:t>
      </w:r>
      <w:r w:rsidR="008C3E87">
        <w:rPr>
          <w:rFonts w:ascii="Arial" w:hAnsi="Arial" w:cs="Arial"/>
          <w:sz w:val="20"/>
          <w:szCs w:val="20"/>
          <w:lang w:val="en-GB"/>
        </w:rPr>
        <w:t>250 IGROV1 cells were seeded in a 6</w:t>
      </w:r>
      <w:r w:rsidRPr="00516805">
        <w:rPr>
          <w:rFonts w:ascii="Arial" w:hAnsi="Arial" w:cs="Arial"/>
          <w:sz w:val="20"/>
          <w:szCs w:val="20"/>
          <w:lang w:val="en-GB"/>
        </w:rPr>
        <w:t xml:space="preserve"> well plate and incubated for 24 h at 37 </w:t>
      </w:r>
      <w:r w:rsidRPr="00516805">
        <w:rPr>
          <w:rFonts w:ascii="Arial" w:hAnsi="Arial" w:cs="Arial"/>
          <w:sz w:val="20"/>
          <w:szCs w:val="20"/>
          <w:vertAlign w:val="superscript"/>
          <w:lang w:val="en-GB"/>
        </w:rPr>
        <w:t>0</w:t>
      </w:r>
      <w:r w:rsidRPr="00516805">
        <w:rPr>
          <w:rFonts w:ascii="Arial" w:hAnsi="Arial" w:cs="Arial"/>
          <w:sz w:val="20"/>
          <w:szCs w:val="20"/>
          <w:lang w:val="en-GB"/>
        </w:rPr>
        <w:t>C. After adhesion, cells receiving combination treatment were incubated with the accordant ½ IC</w:t>
      </w:r>
      <w:r w:rsidRPr="00516805">
        <w:rPr>
          <w:rFonts w:ascii="Arial" w:hAnsi="Arial" w:cs="Arial"/>
          <w:sz w:val="20"/>
          <w:szCs w:val="20"/>
          <w:vertAlign w:val="subscript"/>
          <w:lang w:val="en-GB"/>
        </w:rPr>
        <w:t xml:space="preserve">50 </w:t>
      </w:r>
      <w:r w:rsidR="008C3E87">
        <w:rPr>
          <w:rFonts w:ascii="Arial" w:hAnsi="Arial" w:cs="Arial"/>
          <w:sz w:val="20"/>
          <w:szCs w:val="20"/>
          <w:lang w:val="en-GB"/>
        </w:rPr>
        <w:t>(0.1</w:t>
      </w:r>
      <w:r w:rsidRPr="00516805">
        <w:rPr>
          <w:rFonts w:ascii="Arial" w:hAnsi="Arial" w:cs="Arial"/>
          <w:sz w:val="20"/>
          <w:szCs w:val="20"/>
          <w:lang w:val="en-GB"/>
        </w:rPr>
        <w:t xml:space="preserve"> nM) PTX concentrations for 24 h at 37 </w:t>
      </w:r>
      <w:r w:rsidRPr="00516805">
        <w:rPr>
          <w:rFonts w:ascii="Arial" w:hAnsi="Arial" w:cs="Arial"/>
          <w:sz w:val="20"/>
          <w:szCs w:val="20"/>
          <w:vertAlign w:val="superscript"/>
          <w:lang w:val="en-GB"/>
        </w:rPr>
        <w:t>0</w:t>
      </w:r>
      <w:r w:rsidRPr="00516805">
        <w:rPr>
          <w:rFonts w:ascii="Arial" w:hAnsi="Arial" w:cs="Arial"/>
          <w:sz w:val="20"/>
          <w:szCs w:val="20"/>
          <w:lang w:val="en-GB"/>
        </w:rPr>
        <w:t xml:space="preserve">C </w:t>
      </w:r>
      <w:r w:rsidR="00621E6E">
        <w:rPr>
          <w:rFonts w:ascii="Arial" w:hAnsi="Arial" w:cs="Arial"/>
          <w:sz w:val="20"/>
          <w:szCs w:val="20"/>
          <w:lang w:val="en-GB"/>
        </w:rPr>
        <w:t>whether 24 h before, simultaneously or 16 h post treatment with 1 ml</w:t>
      </w:r>
      <w:r w:rsidRPr="00516805">
        <w:rPr>
          <w:rFonts w:ascii="Arial" w:hAnsi="Arial" w:cs="Arial"/>
          <w:sz w:val="20"/>
          <w:szCs w:val="20"/>
          <w:lang w:val="en-GB"/>
        </w:rPr>
        <w:t xml:space="preserve"> (</w:t>
      </w:r>
      <w:r w:rsidR="00621E6E">
        <w:rPr>
          <w:rFonts w:ascii="Arial" w:hAnsi="Arial" w:cs="Arial"/>
          <w:sz w:val="20"/>
          <w:szCs w:val="20"/>
          <w:lang w:val="en-GB"/>
        </w:rPr>
        <w:t>0.001</w:t>
      </w:r>
      <w:r w:rsidRPr="00516805">
        <w:rPr>
          <w:rFonts w:ascii="Arial" w:hAnsi="Arial" w:cs="Arial"/>
          <w:sz w:val="20"/>
          <w:szCs w:val="20"/>
          <w:lang w:val="en-GB"/>
        </w:rPr>
        <w:t>-4</w:t>
      </w:r>
      <w:r w:rsidR="00621E6E">
        <w:rPr>
          <w:rFonts w:ascii="Arial" w:hAnsi="Arial" w:cs="Arial"/>
          <w:sz w:val="20"/>
          <w:szCs w:val="20"/>
          <w:lang w:val="en-GB"/>
        </w:rPr>
        <w:t>.5</w:t>
      </w:r>
      <w:r w:rsidRPr="00516805">
        <w:rPr>
          <w:rFonts w:ascii="Arial" w:hAnsi="Arial" w:cs="Arial"/>
          <w:sz w:val="20"/>
          <w:szCs w:val="20"/>
          <w:lang w:val="en-GB"/>
        </w:rPr>
        <w:t xml:space="preserve"> MBq/mL) </w:t>
      </w:r>
      <w:r w:rsidRPr="00516805">
        <w:rPr>
          <w:rFonts w:ascii="Arial" w:hAnsi="Arial" w:cs="Arial"/>
          <w:sz w:val="20"/>
          <w:szCs w:val="20"/>
          <w:vertAlign w:val="superscript"/>
          <w:lang w:val="en-GB"/>
        </w:rPr>
        <w:t>177</w:t>
      </w:r>
      <w:r w:rsidRPr="00516805">
        <w:rPr>
          <w:rFonts w:ascii="Arial" w:hAnsi="Arial" w:cs="Arial"/>
          <w:sz w:val="20"/>
          <w:szCs w:val="20"/>
          <w:lang w:val="en-GB"/>
        </w:rPr>
        <w:t xml:space="preserve">Lu-DOTA-chCE7 </w:t>
      </w:r>
      <w:r w:rsidR="00621E6E">
        <w:rPr>
          <w:rFonts w:ascii="Arial" w:hAnsi="Arial" w:cs="Arial"/>
          <w:sz w:val="20"/>
          <w:szCs w:val="20"/>
          <w:lang w:val="en-GB"/>
        </w:rPr>
        <w:t>(24</w:t>
      </w:r>
      <w:r w:rsidRPr="00516805">
        <w:rPr>
          <w:rFonts w:ascii="Arial" w:hAnsi="Arial" w:cs="Arial"/>
          <w:sz w:val="20"/>
          <w:szCs w:val="20"/>
          <w:lang w:val="en-GB"/>
        </w:rPr>
        <w:t xml:space="preserve"> h</w:t>
      </w:r>
      <w:r w:rsidR="00621E6E">
        <w:rPr>
          <w:rFonts w:ascii="Arial" w:hAnsi="Arial" w:cs="Arial"/>
          <w:sz w:val="20"/>
          <w:szCs w:val="20"/>
          <w:lang w:val="en-GB"/>
        </w:rPr>
        <w:t xml:space="preserve"> </w:t>
      </w:r>
      <w:r w:rsidR="00621E6E" w:rsidRPr="00516805">
        <w:rPr>
          <w:rFonts w:ascii="Arial" w:hAnsi="Arial" w:cs="Arial"/>
          <w:sz w:val="20"/>
          <w:szCs w:val="20"/>
          <w:lang w:val="en-GB"/>
        </w:rPr>
        <w:t xml:space="preserve">at 37 </w:t>
      </w:r>
      <w:r w:rsidR="00621E6E" w:rsidRPr="00516805">
        <w:rPr>
          <w:rFonts w:ascii="Arial" w:hAnsi="Arial" w:cs="Arial"/>
          <w:sz w:val="20"/>
          <w:szCs w:val="20"/>
          <w:vertAlign w:val="superscript"/>
          <w:lang w:val="en-GB"/>
        </w:rPr>
        <w:t>0</w:t>
      </w:r>
      <w:r w:rsidR="00621E6E" w:rsidRPr="00516805">
        <w:rPr>
          <w:rFonts w:ascii="Arial" w:hAnsi="Arial" w:cs="Arial"/>
          <w:sz w:val="20"/>
          <w:szCs w:val="20"/>
          <w:lang w:val="en-GB"/>
        </w:rPr>
        <w:t>C</w:t>
      </w:r>
      <w:r w:rsidR="00621E6E">
        <w:rPr>
          <w:rFonts w:ascii="Arial" w:hAnsi="Arial" w:cs="Arial"/>
          <w:sz w:val="20"/>
          <w:szCs w:val="20"/>
          <w:lang w:val="en-GB"/>
        </w:rPr>
        <w:t xml:space="preserve">). </w:t>
      </w:r>
      <w:r w:rsidRPr="00516805">
        <w:rPr>
          <w:rFonts w:ascii="Arial" w:hAnsi="Arial" w:cs="Arial"/>
          <w:sz w:val="20"/>
          <w:szCs w:val="20"/>
          <w:lang w:val="en-GB"/>
        </w:rPr>
        <w:t xml:space="preserve">Subsequently cells were washed and incubated in culture media at 37 </w:t>
      </w:r>
      <w:r w:rsidRPr="00516805">
        <w:rPr>
          <w:rFonts w:ascii="Arial" w:hAnsi="Arial" w:cs="Arial"/>
          <w:sz w:val="20"/>
          <w:szCs w:val="20"/>
          <w:vertAlign w:val="superscript"/>
          <w:lang w:val="en-GB"/>
        </w:rPr>
        <w:t>0</w:t>
      </w:r>
      <w:r w:rsidR="00621E6E">
        <w:rPr>
          <w:rFonts w:ascii="Arial" w:hAnsi="Arial" w:cs="Arial"/>
          <w:sz w:val="20"/>
          <w:szCs w:val="20"/>
          <w:lang w:val="en-GB"/>
        </w:rPr>
        <w:t>C for 9 days.</w:t>
      </w:r>
      <w:r w:rsidR="000B1EBF">
        <w:rPr>
          <w:rFonts w:ascii="Arial" w:hAnsi="Arial" w:cs="Arial"/>
          <w:sz w:val="20"/>
          <w:szCs w:val="20"/>
          <w:lang w:val="en-GB"/>
        </w:rPr>
        <w:t xml:space="preserve"> Colonies were stained with crystal violet </w:t>
      </w:r>
      <w:r w:rsidR="00E8077A">
        <w:rPr>
          <w:rFonts w:ascii="Arial" w:hAnsi="Arial" w:cs="Arial"/>
          <w:sz w:val="20"/>
          <w:szCs w:val="20"/>
          <w:lang w:val="en-GB"/>
        </w:rPr>
        <w:t>(</w:t>
      </w:r>
      <w:r w:rsidR="00E8077A" w:rsidRPr="002936CA">
        <w:rPr>
          <w:rFonts w:ascii="Arial" w:hAnsi="Arial"/>
          <w:sz w:val="20"/>
          <w:szCs w:val="20"/>
        </w:rPr>
        <w:t>Sigma-Aldrich</w:t>
      </w:r>
      <w:r w:rsidR="00E8077A">
        <w:rPr>
          <w:rFonts w:ascii="Arial" w:hAnsi="Arial" w:cs="Arial"/>
          <w:sz w:val="20"/>
          <w:szCs w:val="20"/>
          <w:lang w:val="en-GB"/>
        </w:rPr>
        <w:t xml:space="preserve">) </w:t>
      </w:r>
      <w:r w:rsidR="000B1EBF">
        <w:rPr>
          <w:rFonts w:ascii="Arial" w:hAnsi="Arial" w:cs="Arial"/>
          <w:sz w:val="20"/>
          <w:szCs w:val="20"/>
          <w:lang w:val="en-GB"/>
        </w:rPr>
        <w:t xml:space="preserve">and counted manually.  </w:t>
      </w:r>
    </w:p>
    <w:p w:rsidR="0020156A" w:rsidRDefault="0020156A" w:rsidP="00516805">
      <w:pPr>
        <w:spacing w:line="48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:rsidR="0020156A" w:rsidRPr="00516805" w:rsidRDefault="008B4735" w:rsidP="00516805">
      <w:pPr>
        <w:spacing w:line="480" w:lineRule="auto"/>
        <w:jc w:val="both"/>
        <w:rPr>
          <w:rFonts w:ascii="Arial" w:hAnsi="Arial" w:cs="Arial"/>
          <w:b/>
          <w:sz w:val="20"/>
          <w:szCs w:val="20"/>
          <w:lang w:val="en-GB"/>
        </w:rPr>
      </w:pPr>
      <w:r>
        <w:rPr>
          <w:rFonts w:ascii="Arial" w:hAnsi="Arial" w:cs="Arial"/>
          <w:b/>
          <w:noProof/>
          <w:sz w:val="20"/>
          <w:szCs w:val="20"/>
        </w:rPr>
        <w:lastRenderedPageBreak/>
        <w:drawing>
          <wp:inline distT="0" distB="0" distL="0" distR="0">
            <wp:extent cx="5270500" cy="2132330"/>
            <wp:effectExtent l="0" t="0" r="635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lony Combi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3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735" w:rsidRDefault="002C5085" w:rsidP="008B4735">
      <w:p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/>
          <w:b/>
          <w:sz w:val="20"/>
          <w:szCs w:val="20"/>
        </w:rPr>
        <w:t xml:space="preserve">Additional file 1: </w:t>
      </w:r>
      <w:r w:rsidR="00116188">
        <w:rPr>
          <w:rFonts w:ascii="Arial" w:hAnsi="Arial"/>
          <w:b/>
          <w:sz w:val="20"/>
          <w:szCs w:val="20"/>
        </w:rPr>
        <w:t xml:space="preserve">Figure </w:t>
      </w:r>
      <w:r w:rsidR="00C47B2D">
        <w:rPr>
          <w:rFonts w:ascii="Arial" w:hAnsi="Arial"/>
          <w:b/>
          <w:sz w:val="20"/>
          <w:szCs w:val="20"/>
        </w:rPr>
        <w:t>S</w:t>
      </w:r>
      <w:r w:rsidR="00116188">
        <w:rPr>
          <w:rFonts w:ascii="Arial" w:hAnsi="Arial"/>
          <w:b/>
          <w:sz w:val="20"/>
          <w:szCs w:val="20"/>
        </w:rPr>
        <w:t>3</w:t>
      </w:r>
      <w:bookmarkStart w:id="0" w:name="_GoBack"/>
      <w:bookmarkEnd w:id="0"/>
      <w:r w:rsidR="008B4735" w:rsidRPr="008B4735">
        <w:rPr>
          <w:rFonts w:ascii="Arial" w:hAnsi="Arial"/>
          <w:b/>
          <w:sz w:val="20"/>
          <w:szCs w:val="20"/>
        </w:rPr>
        <w:t xml:space="preserve">: </w:t>
      </w:r>
      <w:r w:rsidR="008B4735" w:rsidRPr="00D83699">
        <w:rPr>
          <w:rFonts w:ascii="Arial" w:hAnsi="Arial" w:cs="Arial"/>
          <w:i/>
          <w:sz w:val="20"/>
          <w:szCs w:val="20"/>
          <w:lang w:val="en-GB"/>
        </w:rPr>
        <w:t>In vitro</w:t>
      </w:r>
      <w:r w:rsidR="008B4735" w:rsidRPr="00D83699">
        <w:rPr>
          <w:rFonts w:ascii="Arial" w:hAnsi="Arial" w:cs="Arial"/>
          <w:sz w:val="20"/>
          <w:szCs w:val="20"/>
          <w:lang w:val="en-GB"/>
        </w:rPr>
        <w:t xml:space="preserve"> effects of single or combination treatments containing </w:t>
      </w:r>
      <w:r w:rsidR="008B4735" w:rsidRPr="00D83699">
        <w:rPr>
          <w:rFonts w:ascii="Arial" w:hAnsi="Arial" w:cs="Arial"/>
          <w:sz w:val="20"/>
          <w:szCs w:val="20"/>
          <w:vertAlign w:val="superscript"/>
          <w:lang w:val="en-GB"/>
        </w:rPr>
        <w:t>177</w:t>
      </w:r>
      <w:r w:rsidR="008B4735" w:rsidRPr="00D83699">
        <w:rPr>
          <w:rFonts w:ascii="Arial" w:hAnsi="Arial" w:cs="Arial"/>
          <w:sz w:val="20"/>
          <w:szCs w:val="20"/>
          <w:lang w:val="en-GB"/>
        </w:rPr>
        <w:t>Lu-D</w:t>
      </w:r>
      <w:r w:rsidR="00FA50C7">
        <w:rPr>
          <w:rFonts w:ascii="Arial" w:hAnsi="Arial" w:cs="Arial"/>
          <w:sz w:val="20"/>
          <w:szCs w:val="20"/>
          <w:lang w:val="en-GB"/>
        </w:rPr>
        <w:t>OTA-chCE7 and PTX on IGROV1 colony-forming ability</w:t>
      </w:r>
      <w:r w:rsidR="008B4735" w:rsidRPr="00D83699">
        <w:rPr>
          <w:rFonts w:ascii="Arial" w:hAnsi="Arial" w:cs="Arial"/>
          <w:sz w:val="20"/>
          <w:szCs w:val="20"/>
          <w:lang w:val="en-GB"/>
        </w:rPr>
        <w:t xml:space="preserve">. </w:t>
      </w:r>
      <w:r w:rsidR="00116188">
        <w:rPr>
          <w:rFonts w:ascii="Arial" w:hAnsi="Arial" w:cs="Arial"/>
          <w:sz w:val="20"/>
          <w:szCs w:val="20"/>
          <w:lang w:val="en-GB"/>
        </w:rPr>
        <w:t>PTX was added 24 h prior, simultaneously or 16 h post RIT.</w:t>
      </w:r>
      <w:r w:rsidR="008B4735" w:rsidRPr="00D83699">
        <w:rPr>
          <w:rFonts w:ascii="Arial" w:hAnsi="Arial" w:cs="Arial"/>
          <w:sz w:val="20"/>
          <w:szCs w:val="20"/>
          <w:lang w:val="en-GB"/>
        </w:rPr>
        <w:t xml:space="preserve"> Results are expressed </w:t>
      </w:r>
      <w:r w:rsidR="008B4735">
        <w:rPr>
          <w:rFonts w:ascii="Arial" w:hAnsi="Arial" w:cs="Arial"/>
          <w:sz w:val="20"/>
          <w:szCs w:val="20"/>
          <w:lang w:val="en-GB"/>
        </w:rPr>
        <w:t>as</w:t>
      </w:r>
      <w:r w:rsidR="008B4735" w:rsidRPr="00D83699">
        <w:rPr>
          <w:rFonts w:ascii="Arial" w:hAnsi="Arial" w:cs="Arial"/>
          <w:sz w:val="20"/>
          <w:szCs w:val="20"/>
          <w:lang w:val="en-GB"/>
        </w:rPr>
        <w:t xml:space="preserve"> percent</w:t>
      </w:r>
      <w:r w:rsidR="008B4735">
        <w:rPr>
          <w:rFonts w:ascii="Arial" w:hAnsi="Arial" w:cs="Arial"/>
          <w:sz w:val="20"/>
          <w:szCs w:val="20"/>
          <w:lang w:val="en-GB"/>
        </w:rPr>
        <w:t>age</w:t>
      </w:r>
      <w:r w:rsidR="008B4735" w:rsidRPr="00D83699">
        <w:rPr>
          <w:rFonts w:ascii="Arial" w:hAnsi="Arial" w:cs="Arial"/>
          <w:sz w:val="20"/>
          <w:szCs w:val="20"/>
          <w:lang w:val="en-GB"/>
        </w:rPr>
        <w:t xml:space="preserve"> of an untreated control. </w:t>
      </w:r>
    </w:p>
    <w:p w:rsidR="00516805" w:rsidRPr="008342D1" w:rsidRDefault="00516805" w:rsidP="002C2A9D">
      <w:pPr>
        <w:rPr>
          <w:b/>
        </w:rPr>
      </w:pPr>
    </w:p>
    <w:sectPr w:rsidR="00516805" w:rsidRPr="008342D1" w:rsidSect="00D52E1C">
      <w:footerReference w:type="even" r:id="rId9"/>
      <w:footerReference w:type="default" r:id="rId10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7DD1" w:rsidRDefault="00057DD1" w:rsidP="00E13CF1">
      <w:r>
        <w:separator/>
      </w:r>
    </w:p>
  </w:endnote>
  <w:endnote w:type="continuationSeparator" w:id="0">
    <w:p w:rsidR="00057DD1" w:rsidRDefault="00057DD1" w:rsidP="00E13C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F1" w:rsidRDefault="003F1486" w:rsidP="00D85FE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13CF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3CF1" w:rsidRDefault="00E13CF1" w:rsidP="00E13CF1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F1" w:rsidRDefault="003F1486" w:rsidP="00D85FE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13CF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10CBE">
      <w:rPr>
        <w:rStyle w:val="PageNumber"/>
        <w:noProof/>
      </w:rPr>
      <w:t>1</w:t>
    </w:r>
    <w:r>
      <w:rPr>
        <w:rStyle w:val="PageNumber"/>
      </w:rPr>
      <w:fldChar w:fldCharType="end"/>
    </w:r>
  </w:p>
  <w:p w:rsidR="00E13CF1" w:rsidRDefault="00E13CF1" w:rsidP="00E13CF1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7DD1" w:rsidRDefault="00057DD1" w:rsidP="00E13CF1">
      <w:r>
        <w:separator/>
      </w:r>
    </w:p>
  </w:footnote>
  <w:footnote w:type="continuationSeparator" w:id="0">
    <w:p w:rsidR="00057DD1" w:rsidRDefault="00057DD1" w:rsidP="00E13C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14864"/>
    <w:rsid w:val="00014864"/>
    <w:rsid w:val="00057DD1"/>
    <w:rsid w:val="00075694"/>
    <w:rsid w:val="000B1EBF"/>
    <w:rsid w:val="00116188"/>
    <w:rsid w:val="001B76FB"/>
    <w:rsid w:val="0020156A"/>
    <w:rsid w:val="00231F02"/>
    <w:rsid w:val="002936CA"/>
    <w:rsid w:val="002C2A9D"/>
    <w:rsid w:val="002C5085"/>
    <w:rsid w:val="00310CBE"/>
    <w:rsid w:val="003C4A1C"/>
    <w:rsid w:val="003F1486"/>
    <w:rsid w:val="00453176"/>
    <w:rsid w:val="0049628F"/>
    <w:rsid w:val="004E1846"/>
    <w:rsid w:val="00516805"/>
    <w:rsid w:val="00621E6E"/>
    <w:rsid w:val="00656B4C"/>
    <w:rsid w:val="006C308D"/>
    <w:rsid w:val="00761AB5"/>
    <w:rsid w:val="007E3435"/>
    <w:rsid w:val="008342D1"/>
    <w:rsid w:val="008B4735"/>
    <w:rsid w:val="008C3E87"/>
    <w:rsid w:val="008F70EC"/>
    <w:rsid w:val="00970C1E"/>
    <w:rsid w:val="009B42D8"/>
    <w:rsid w:val="009C6974"/>
    <w:rsid w:val="00C47B2D"/>
    <w:rsid w:val="00C6437A"/>
    <w:rsid w:val="00C7513D"/>
    <w:rsid w:val="00C7733B"/>
    <w:rsid w:val="00D52E1C"/>
    <w:rsid w:val="00DA069D"/>
    <w:rsid w:val="00DA3135"/>
    <w:rsid w:val="00DE0D74"/>
    <w:rsid w:val="00E00784"/>
    <w:rsid w:val="00E13CF1"/>
    <w:rsid w:val="00E65C8C"/>
    <w:rsid w:val="00E8077A"/>
    <w:rsid w:val="00E816E3"/>
    <w:rsid w:val="00F47C61"/>
    <w:rsid w:val="00FA5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864"/>
    <w:rPr>
      <w:rFonts w:ascii="Cambria" w:eastAsia="MS ??" w:hAnsi="Cambria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07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56B4C"/>
    <w:pPr>
      <w:keepNext/>
      <w:keepLines/>
      <w:spacing w:before="200"/>
      <w:outlineLvl w:val="2"/>
    </w:pPr>
    <w:rPr>
      <w:rFonts w:ascii="Times New Roman" w:eastAsiaTheme="majorEastAsia" w:hAnsi="Times New Roman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ktorandentagINSTITUTES">
    <w:name w:val="Doktorandentag_INSTITUTES"/>
    <w:basedOn w:val="Normal"/>
    <w:link w:val="DoktorandentagINSTITUTESChar"/>
    <w:uiPriority w:val="99"/>
    <w:rsid w:val="00014864"/>
    <w:pPr>
      <w:spacing w:after="840"/>
      <w:jc w:val="center"/>
    </w:pPr>
    <w:rPr>
      <w:rFonts w:ascii="Arial" w:eastAsia="Times New Roman" w:hAnsi="Arial"/>
      <w:i/>
      <w:sz w:val="18"/>
      <w:szCs w:val="20"/>
      <w:lang w:eastAsia="en-GB"/>
    </w:rPr>
  </w:style>
  <w:style w:type="character" w:customStyle="1" w:styleId="DoktorandentagINSTITUTESChar">
    <w:name w:val="Doktorandentag_INSTITUTES Char"/>
    <w:basedOn w:val="DefaultParagraphFont"/>
    <w:link w:val="DoktorandentagINSTITUTES"/>
    <w:uiPriority w:val="99"/>
    <w:locked/>
    <w:rsid w:val="00014864"/>
    <w:rPr>
      <w:rFonts w:ascii="Arial" w:eastAsia="Times New Roman" w:hAnsi="Arial" w:cs="Times New Roman"/>
      <w:i/>
      <w:sz w:val="18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E007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078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0784"/>
    <w:rPr>
      <w:rFonts w:ascii="Lucida Grande" w:eastAsia="MS ??" w:hAnsi="Lucida Grande" w:cs="Lucida Grande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656B4C"/>
    <w:rPr>
      <w:rFonts w:ascii="Times New Roman" w:eastAsiaTheme="majorEastAsia" w:hAnsi="Times New Roman" w:cstheme="majorBidi"/>
      <w:b/>
      <w:bCs/>
    </w:rPr>
  </w:style>
  <w:style w:type="paragraph" w:styleId="Footer">
    <w:name w:val="footer"/>
    <w:basedOn w:val="Normal"/>
    <w:link w:val="FooterChar"/>
    <w:uiPriority w:val="99"/>
    <w:unhideWhenUsed/>
    <w:rsid w:val="00E13C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CF1"/>
    <w:rPr>
      <w:rFonts w:ascii="Cambria" w:eastAsia="MS ??" w:hAnsi="Cambria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E13C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864"/>
    <w:rPr>
      <w:rFonts w:ascii="Cambria" w:eastAsia="MS ??" w:hAnsi="Cambria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07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56B4C"/>
    <w:pPr>
      <w:keepNext/>
      <w:keepLines/>
      <w:spacing w:before="200"/>
      <w:outlineLvl w:val="2"/>
    </w:pPr>
    <w:rPr>
      <w:rFonts w:ascii="Times New Roman" w:eastAsiaTheme="majorEastAsia" w:hAnsi="Times New Roman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ktorandentagINSTITUTES">
    <w:name w:val="Doktorandentag_INSTITUTES"/>
    <w:basedOn w:val="Normal"/>
    <w:link w:val="DoktorandentagINSTITUTESChar"/>
    <w:uiPriority w:val="99"/>
    <w:rsid w:val="00014864"/>
    <w:pPr>
      <w:spacing w:after="840"/>
      <w:jc w:val="center"/>
    </w:pPr>
    <w:rPr>
      <w:rFonts w:ascii="Arial" w:eastAsia="Times New Roman" w:hAnsi="Arial"/>
      <w:i/>
      <w:sz w:val="18"/>
      <w:szCs w:val="20"/>
      <w:lang w:eastAsia="en-GB"/>
    </w:rPr>
  </w:style>
  <w:style w:type="character" w:customStyle="1" w:styleId="DoktorandentagINSTITUTESChar">
    <w:name w:val="Doktorandentag_INSTITUTES Char"/>
    <w:basedOn w:val="DefaultParagraphFont"/>
    <w:link w:val="DoktorandentagINSTITUTES"/>
    <w:uiPriority w:val="99"/>
    <w:locked/>
    <w:rsid w:val="00014864"/>
    <w:rPr>
      <w:rFonts w:ascii="Arial" w:eastAsia="Times New Roman" w:hAnsi="Arial" w:cs="Times New Roman"/>
      <w:i/>
      <w:sz w:val="18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E007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078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0784"/>
    <w:rPr>
      <w:rFonts w:ascii="Lucida Grande" w:eastAsia="MS ??" w:hAnsi="Lucida Grande" w:cs="Lucida Grande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656B4C"/>
    <w:rPr>
      <w:rFonts w:ascii="Times New Roman" w:eastAsiaTheme="majorEastAsia" w:hAnsi="Times New Roman" w:cstheme="majorBidi"/>
      <w:b/>
      <w:bCs/>
    </w:rPr>
  </w:style>
  <w:style w:type="paragraph" w:styleId="Footer">
    <w:name w:val="footer"/>
    <w:basedOn w:val="Normal"/>
    <w:link w:val="FooterChar"/>
    <w:uiPriority w:val="99"/>
    <w:unhideWhenUsed/>
    <w:rsid w:val="00E13C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CF1"/>
    <w:rPr>
      <w:rFonts w:ascii="Cambria" w:eastAsia="MS ??" w:hAnsi="Cambria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E13C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Dennis Lindenblatt</dc:creator>
  <cp:lastModifiedBy>aragay</cp:lastModifiedBy>
  <cp:revision>36</cp:revision>
  <dcterms:created xsi:type="dcterms:W3CDTF">2014-09-11T12:50:00Z</dcterms:created>
  <dcterms:modified xsi:type="dcterms:W3CDTF">2014-10-02T05:25:00Z</dcterms:modified>
</cp:coreProperties>
</file>