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EB9F7" w14:textId="72DBB26C" w:rsidR="007D4F07" w:rsidRDefault="007D4F07" w:rsidP="00E54CC4">
      <w:pPr>
        <w:rPr>
          <w:rFonts w:eastAsia="黑体"/>
          <w:b/>
          <w:bCs/>
        </w:rPr>
      </w:pPr>
      <w:r w:rsidRPr="0099632A">
        <w:rPr>
          <w:rFonts w:eastAsia="黑体"/>
          <w:b/>
          <w:bCs/>
        </w:rPr>
        <w:t>Supplementary Material</w:t>
      </w:r>
    </w:p>
    <w:p w14:paraId="7158C91A" w14:textId="7627CBA0" w:rsidR="001D3F20" w:rsidRDefault="001D3F20" w:rsidP="00E54CC4">
      <w:pPr>
        <w:rPr>
          <w:rFonts w:eastAsia="黑体"/>
          <w:b/>
          <w:bCs/>
        </w:rPr>
      </w:pPr>
    </w:p>
    <w:p w14:paraId="6FBBA997" w14:textId="0DEA7078" w:rsidR="001D3F20" w:rsidRPr="001D3F20" w:rsidRDefault="001D3F20" w:rsidP="00E54CC4">
      <w:pPr>
        <w:rPr>
          <w:rFonts w:eastAsia="黑体" w:hint="eastAsia"/>
        </w:rPr>
      </w:pPr>
      <w:r>
        <w:rPr>
          <w:rFonts w:eastAsia="黑体" w:hint="eastAsia"/>
        </w:rPr>
        <w:t>W</w:t>
      </w:r>
      <w:r w:rsidRPr="001D3F20">
        <w:rPr>
          <w:rFonts w:eastAsia="黑体"/>
        </w:rPr>
        <w:t>e attempted to divide patients into training and validation set in another chronological order in the ratio of 2 to 1</w:t>
      </w:r>
      <w:r w:rsidR="00194C41">
        <w:rPr>
          <w:rFonts w:eastAsia="黑体"/>
        </w:rPr>
        <w:t xml:space="preserve">. </w:t>
      </w:r>
      <w:r w:rsidR="00194C41" w:rsidRPr="009F7E95">
        <w:rPr>
          <w:rFonts w:eastAsia="黑体"/>
        </w:rPr>
        <w:t xml:space="preserve">99 patients performed PET/CT scan between </w:t>
      </w:r>
      <w:r w:rsidR="00194C41">
        <w:rPr>
          <w:rFonts w:eastAsia="黑体"/>
        </w:rPr>
        <w:t>May</w:t>
      </w:r>
      <w:r w:rsidR="00194C41" w:rsidRPr="009F7E95">
        <w:rPr>
          <w:rFonts w:eastAsia="黑体"/>
        </w:rPr>
        <w:t xml:space="preserve"> </w:t>
      </w:r>
      <w:r w:rsidR="00194C41">
        <w:rPr>
          <w:rFonts w:eastAsia="黑体"/>
        </w:rPr>
        <w:t>2009</w:t>
      </w:r>
      <w:r w:rsidR="00194C41" w:rsidRPr="009F7E95">
        <w:rPr>
          <w:rFonts w:eastAsia="黑体"/>
        </w:rPr>
        <w:t xml:space="preserve"> and </w:t>
      </w:r>
      <w:r w:rsidR="00194C41">
        <w:rPr>
          <w:rFonts w:eastAsia="黑体"/>
        </w:rPr>
        <w:t>August</w:t>
      </w:r>
      <w:r w:rsidR="00194C41" w:rsidRPr="009F7E95">
        <w:rPr>
          <w:rFonts w:eastAsia="黑体"/>
        </w:rPr>
        <w:t xml:space="preserve"> 20</w:t>
      </w:r>
      <w:r w:rsidR="00194C41">
        <w:rPr>
          <w:rFonts w:eastAsia="黑体"/>
        </w:rPr>
        <w:t>14</w:t>
      </w:r>
      <w:r w:rsidR="00194C41" w:rsidRPr="009F7E95">
        <w:rPr>
          <w:rFonts w:eastAsia="黑体"/>
        </w:rPr>
        <w:t xml:space="preserve"> were taken as the training set, whereas the other 50 patients treated between </w:t>
      </w:r>
      <w:r w:rsidR="00194C41">
        <w:rPr>
          <w:rFonts w:eastAsia="黑体"/>
        </w:rPr>
        <w:t>September</w:t>
      </w:r>
      <w:r w:rsidR="00194C41" w:rsidRPr="009F7E95">
        <w:rPr>
          <w:rFonts w:eastAsia="黑体"/>
        </w:rPr>
        <w:t xml:space="preserve"> 20</w:t>
      </w:r>
      <w:r w:rsidR="00194C41">
        <w:rPr>
          <w:rFonts w:eastAsia="黑体"/>
        </w:rPr>
        <w:t>14</w:t>
      </w:r>
      <w:r w:rsidR="00194C41" w:rsidRPr="009F7E95">
        <w:rPr>
          <w:rFonts w:eastAsia="黑体"/>
        </w:rPr>
        <w:t xml:space="preserve"> and </w:t>
      </w:r>
      <w:r w:rsidR="00194C41">
        <w:rPr>
          <w:rFonts w:eastAsia="黑体"/>
        </w:rPr>
        <w:t xml:space="preserve">January </w:t>
      </w:r>
      <w:r w:rsidR="00194C41" w:rsidRPr="009F7E95">
        <w:rPr>
          <w:rFonts w:eastAsia="黑体"/>
        </w:rPr>
        <w:t>20</w:t>
      </w:r>
      <w:r w:rsidR="00194C41">
        <w:rPr>
          <w:rFonts w:eastAsia="黑体"/>
        </w:rPr>
        <w:t>16</w:t>
      </w:r>
      <w:r w:rsidR="00194C41" w:rsidRPr="009F7E95">
        <w:rPr>
          <w:rFonts w:eastAsia="黑体"/>
        </w:rPr>
        <w:t xml:space="preserve"> constituted the validation set</w:t>
      </w:r>
      <w:r w:rsidR="00194C41">
        <w:rPr>
          <w:rFonts w:eastAsia="黑体"/>
        </w:rPr>
        <w:t xml:space="preserve"> </w:t>
      </w:r>
      <w:r w:rsidR="00194C41" w:rsidRPr="001D3F20">
        <w:rPr>
          <w:rFonts w:eastAsia="黑体"/>
        </w:rPr>
        <w:t xml:space="preserve">(Supplement Fig. </w:t>
      </w:r>
      <w:r w:rsidR="00194C41">
        <w:rPr>
          <w:rFonts w:eastAsia="黑体"/>
        </w:rPr>
        <w:t>1</w:t>
      </w:r>
      <w:r w:rsidR="00194C41" w:rsidRPr="001D3F20">
        <w:rPr>
          <w:rFonts w:eastAsia="黑体"/>
        </w:rPr>
        <w:t>)</w:t>
      </w:r>
      <w:r w:rsidR="00194C41" w:rsidRPr="009F7E95">
        <w:rPr>
          <w:rFonts w:eastAsia="黑体"/>
        </w:rPr>
        <w:t>.</w:t>
      </w:r>
      <w:r w:rsidR="00194C41">
        <w:rPr>
          <w:rFonts w:eastAsia="黑体"/>
        </w:rPr>
        <w:t xml:space="preserve"> B</w:t>
      </w:r>
      <w:r w:rsidRPr="001D3F20">
        <w:rPr>
          <w:rFonts w:eastAsia="黑体"/>
        </w:rPr>
        <w:t>ut the distribution between two sets was not even (Supplement Table 1), with the lymphatic metastasis demonstrated significant difference between the training and validation set (</w:t>
      </w:r>
      <w:r w:rsidRPr="00A73F10">
        <w:rPr>
          <w:rFonts w:eastAsia="黑体"/>
          <w:i/>
          <w:iCs/>
        </w:rPr>
        <w:t>p</w:t>
      </w:r>
      <w:r w:rsidRPr="001D3F20">
        <w:rPr>
          <w:rFonts w:eastAsia="黑体"/>
        </w:rPr>
        <w:t xml:space="preserve">&lt;0.001). </w:t>
      </w:r>
      <w:r>
        <w:rPr>
          <w:rFonts w:eastAsia="黑体" w:hint="eastAsia"/>
        </w:rPr>
        <w:t>W</w:t>
      </w:r>
      <w:r w:rsidRPr="001D3F20">
        <w:rPr>
          <w:rFonts w:eastAsia="黑体"/>
        </w:rPr>
        <w:t>e did not adopt this grouping method</w:t>
      </w:r>
      <w:r>
        <w:rPr>
          <w:rFonts w:eastAsia="黑体"/>
        </w:rPr>
        <w:t xml:space="preserve"> </w:t>
      </w:r>
      <w:r>
        <w:rPr>
          <w:rFonts w:eastAsia="黑体" w:hint="eastAsia"/>
        </w:rPr>
        <w:t>at</w:t>
      </w:r>
      <w:r>
        <w:rPr>
          <w:rFonts w:eastAsia="黑体"/>
        </w:rPr>
        <w:t xml:space="preserve"> </w:t>
      </w:r>
      <w:r>
        <w:rPr>
          <w:rFonts w:eastAsia="黑体" w:hint="eastAsia"/>
        </w:rPr>
        <w:t>last</w:t>
      </w:r>
      <w:r w:rsidRPr="001D3F20">
        <w:rPr>
          <w:rFonts w:eastAsia="黑体"/>
        </w:rPr>
        <w:t>.</w:t>
      </w:r>
    </w:p>
    <w:p w14:paraId="6A012C1E" w14:textId="77777777" w:rsidR="007D4F07" w:rsidRDefault="007D4F07" w:rsidP="00E54CC4">
      <w:pPr>
        <w:rPr>
          <w:rFonts w:eastAsia="黑体"/>
        </w:rPr>
      </w:pPr>
      <w:r>
        <w:rPr>
          <w:rFonts w:eastAsia="黑体" w:hint="eastAsia"/>
          <w:noProof/>
          <w:lang w:val="en-IN" w:eastAsia="en-IN"/>
        </w:rPr>
        <w:drawing>
          <wp:inline distT="0" distB="0" distL="0" distR="0" wp14:anchorId="04830E25" wp14:editId="32C25E22">
            <wp:extent cx="3590915" cy="3600000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 Fig.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1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6709C" w14:textId="77777777" w:rsidR="007D4F07" w:rsidRDefault="007D4F07" w:rsidP="00E54CC4">
      <w:pPr>
        <w:rPr>
          <w:rFonts w:eastAsia="黑体"/>
        </w:rPr>
      </w:pPr>
      <w:r>
        <w:rPr>
          <w:rFonts w:eastAsia="黑体" w:hint="eastAsia"/>
          <w:b/>
          <w:bCs/>
        </w:rPr>
        <w:t>Supplement</w:t>
      </w:r>
      <w:r>
        <w:rPr>
          <w:rFonts w:eastAsia="黑体"/>
          <w:b/>
          <w:bCs/>
        </w:rPr>
        <w:t xml:space="preserve"> </w:t>
      </w:r>
      <w:r w:rsidRPr="000459B0">
        <w:rPr>
          <w:rFonts w:eastAsia="黑体"/>
          <w:b/>
          <w:bCs/>
        </w:rPr>
        <w:t>Fig. 1</w:t>
      </w:r>
      <w:r>
        <w:rPr>
          <w:rFonts w:eastAsia="黑体"/>
        </w:rPr>
        <w:t xml:space="preserve"> </w:t>
      </w:r>
      <w:r w:rsidRPr="000459B0">
        <w:rPr>
          <w:rFonts w:eastAsia="黑体"/>
        </w:rPr>
        <w:t>Analysis flowchart.</w:t>
      </w:r>
    </w:p>
    <w:p w14:paraId="741AF838" w14:textId="77777777" w:rsidR="007D4F07" w:rsidRDefault="007D4F07" w:rsidP="00E54CC4">
      <w:pPr>
        <w:widowControl/>
        <w:jc w:val="left"/>
        <w:rPr>
          <w:rFonts w:eastAsia="黑体"/>
        </w:rPr>
      </w:pPr>
      <w:r>
        <w:rPr>
          <w:rFonts w:eastAsia="黑体"/>
        </w:rPr>
        <w:br w:type="page"/>
      </w:r>
    </w:p>
    <w:p w14:paraId="49B17D98" w14:textId="77777777" w:rsidR="007D4F07" w:rsidRDefault="007D4F07" w:rsidP="00E54CC4">
      <w:pPr>
        <w:rPr>
          <w:rFonts w:eastAsia="黑体"/>
        </w:rPr>
      </w:pPr>
      <w:r>
        <w:rPr>
          <w:rFonts w:eastAsia="黑体" w:hint="eastAsia"/>
          <w:b/>
          <w:bCs/>
        </w:rPr>
        <w:lastRenderedPageBreak/>
        <w:t>Supplement</w:t>
      </w:r>
      <w:r>
        <w:rPr>
          <w:rFonts w:eastAsia="黑体"/>
          <w:b/>
          <w:bCs/>
        </w:rPr>
        <w:t xml:space="preserve"> </w:t>
      </w:r>
      <w:r w:rsidRPr="00E839E2">
        <w:rPr>
          <w:rFonts w:eastAsia="黑体"/>
          <w:b/>
          <w:bCs/>
        </w:rPr>
        <w:t>Table 1</w:t>
      </w:r>
      <w:r w:rsidRPr="00E839E2">
        <w:rPr>
          <w:rFonts w:eastAsia="黑体"/>
        </w:rPr>
        <w:t xml:space="preserve"> Characteristics of patients with PDAC in the training set and validation set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105"/>
        <w:gridCol w:w="2105"/>
        <w:gridCol w:w="2105"/>
      </w:tblGrid>
      <w:tr w:rsidR="007D4F07" w:rsidRPr="000C5A5C" w14:paraId="1D86728C" w14:textId="77777777" w:rsidTr="00E54CC4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392C16CC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Characteristics</w:t>
            </w:r>
          </w:p>
        </w:tc>
        <w:tc>
          <w:tcPr>
            <w:tcW w:w="2105" w:type="dxa"/>
            <w:tcBorders>
              <w:top w:val="single" w:sz="12" w:space="0" w:color="auto"/>
              <w:bottom w:val="single" w:sz="12" w:space="0" w:color="auto"/>
            </w:tcBorders>
          </w:tcPr>
          <w:p w14:paraId="6B735D22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Training set (n=99)</w:t>
            </w:r>
          </w:p>
        </w:tc>
        <w:tc>
          <w:tcPr>
            <w:tcW w:w="2105" w:type="dxa"/>
            <w:tcBorders>
              <w:top w:val="single" w:sz="12" w:space="0" w:color="auto"/>
              <w:bottom w:val="single" w:sz="12" w:space="0" w:color="auto"/>
            </w:tcBorders>
          </w:tcPr>
          <w:p w14:paraId="43C8D710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Validation set (n=50)</w:t>
            </w:r>
          </w:p>
        </w:tc>
        <w:tc>
          <w:tcPr>
            <w:tcW w:w="2105" w:type="dxa"/>
            <w:tcBorders>
              <w:top w:val="single" w:sz="12" w:space="0" w:color="auto"/>
              <w:bottom w:val="single" w:sz="12" w:space="0" w:color="auto"/>
            </w:tcBorders>
          </w:tcPr>
          <w:p w14:paraId="0AEF6871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CC1B42">
              <w:rPr>
                <w:i/>
                <w:iCs/>
                <w:color w:val="000000" w:themeColor="text1"/>
              </w:rPr>
              <w:t>p</w:t>
            </w:r>
            <w:r>
              <w:rPr>
                <w:color w:val="000000" w:themeColor="text1"/>
              </w:rPr>
              <w:t xml:space="preserve"> </w:t>
            </w:r>
            <w:r w:rsidRPr="000C5A5C">
              <w:rPr>
                <w:color w:val="000000" w:themeColor="text1"/>
              </w:rPr>
              <w:t>value</w:t>
            </w:r>
          </w:p>
        </w:tc>
      </w:tr>
      <w:tr w:rsidR="007D4F07" w:rsidRPr="000C5A5C" w14:paraId="49C5F7E3" w14:textId="77777777" w:rsidTr="00E54CC4">
        <w:tc>
          <w:tcPr>
            <w:tcW w:w="1985" w:type="dxa"/>
            <w:tcBorders>
              <w:top w:val="single" w:sz="12" w:space="0" w:color="auto"/>
            </w:tcBorders>
          </w:tcPr>
          <w:p w14:paraId="49E520E0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Gender</w:t>
            </w:r>
          </w:p>
          <w:p w14:paraId="762B1E2B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 xml:space="preserve">  Male</w:t>
            </w:r>
          </w:p>
          <w:p w14:paraId="6F314DEE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 xml:space="preserve">  Female</w:t>
            </w:r>
          </w:p>
        </w:tc>
        <w:tc>
          <w:tcPr>
            <w:tcW w:w="2105" w:type="dxa"/>
            <w:tcBorders>
              <w:top w:val="single" w:sz="12" w:space="0" w:color="auto"/>
            </w:tcBorders>
          </w:tcPr>
          <w:p w14:paraId="51879C78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5A8A8EEB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60 (60.6)</w:t>
            </w:r>
          </w:p>
          <w:p w14:paraId="1099B9B8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39 (39.4)</w:t>
            </w:r>
          </w:p>
        </w:tc>
        <w:tc>
          <w:tcPr>
            <w:tcW w:w="2105" w:type="dxa"/>
            <w:tcBorders>
              <w:top w:val="single" w:sz="12" w:space="0" w:color="auto"/>
            </w:tcBorders>
          </w:tcPr>
          <w:p w14:paraId="74769458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0425DF45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23 (46.0)</w:t>
            </w:r>
          </w:p>
          <w:p w14:paraId="3BF311BD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27 (54.0)</w:t>
            </w:r>
          </w:p>
        </w:tc>
        <w:tc>
          <w:tcPr>
            <w:tcW w:w="2105" w:type="dxa"/>
            <w:tcBorders>
              <w:top w:val="single" w:sz="12" w:space="0" w:color="auto"/>
            </w:tcBorders>
          </w:tcPr>
          <w:p w14:paraId="76FC57EC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0.090</w:t>
            </w:r>
          </w:p>
        </w:tc>
      </w:tr>
      <w:tr w:rsidR="007D4F07" w:rsidRPr="000C5A5C" w14:paraId="409CD9DF" w14:textId="77777777" w:rsidTr="00E54CC4">
        <w:tc>
          <w:tcPr>
            <w:tcW w:w="1985" w:type="dxa"/>
          </w:tcPr>
          <w:p w14:paraId="4AC3A2BF" w14:textId="77777777" w:rsidR="007D4F07" w:rsidRPr="000C5A5C" w:rsidRDefault="007D4F07" w:rsidP="00E54CC4">
            <w:pPr>
              <w:rPr>
                <w:color w:val="FF0000"/>
              </w:rPr>
            </w:pPr>
            <w:r w:rsidRPr="000C5A5C">
              <w:rPr>
                <w:color w:val="000000" w:themeColor="text1"/>
              </w:rPr>
              <w:t>Age (years)</w:t>
            </w:r>
          </w:p>
        </w:tc>
        <w:tc>
          <w:tcPr>
            <w:tcW w:w="2105" w:type="dxa"/>
          </w:tcPr>
          <w:p w14:paraId="4E4746B6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61.03±9.06</w:t>
            </w:r>
          </w:p>
        </w:tc>
        <w:tc>
          <w:tcPr>
            <w:tcW w:w="2105" w:type="dxa"/>
          </w:tcPr>
          <w:p w14:paraId="1F709F58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60.92±11.97</w:t>
            </w:r>
          </w:p>
        </w:tc>
        <w:tc>
          <w:tcPr>
            <w:tcW w:w="2105" w:type="dxa"/>
          </w:tcPr>
          <w:p w14:paraId="3E9DA3AC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0.950</w:t>
            </w:r>
          </w:p>
        </w:tc>
      </w:tr>
      <w:tr w:rsidR="007D4F07" w:rsidRPr="000C5A5C" w14:paraId="46E3F84A" w14:textId="77777777" w:rsidTr="00E54CC4">
        <w:tc>
          <w:tcPr>
            <w:tcW w:w="1985" w:type="dxa"/>
          </w:tcPr>
          <w:p w14:paraId="5C5F186D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Localization of tumor</w:t>
            </w:r>
          </w:p>
          <w:p w14:paraId="4738F453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 xml:space="preserve">  Head-neck</w:t>
            </w:r>
          </w:p>
          <w:p w14:paraId="6F01EF1D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 xml:space="preserve">  Body-tail</w:t>
            </w:r>
          </w:p>
        </w:tc>
        <w:tc>
          <w:tcPr>
            <w:tcW w:w="2105" w:type="dxa"/>
          </w:tcPr>
          <w:p w14:paraId="383F1902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67AF23BC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57 (57.6)</w:t>
            </w:r>
          </w:p>
          <w:p w14:paraId="44FAE479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42 (42.4)</w:t>
            </w:r>
          </w:p>
        </w:tc>
        <w:tc>
          <w:tcPr>
            <w:tcW w:w="2105" w:type="dxa"/>
          </w:tcPr>
          <w:p w14:paraId="681BD57D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0EDA0CF5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38 (76.0)</w:t>
            </w:r>
          </w:p>
          <w:p w14:paraId="5E2FBFBC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12 (24.0)</w:t>
            </w:r>
          </w:p>
        </w:tc>
        <w:tc>
          <w:tcPr>
            <w:tcW w:w="2105" w:type="dxa"/>
          </w:tcPr>
          <w:p w14:paraId="68DB79FE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0.027</w:t>
            </w:r>
          </w:p>
        </w:tc>
      </w:tr>
      <w:tr w:rsidR="007D4F07" w:rsidRPr="000C5A5C" w14:paraId="13289169" w14:textId="77777777" w:rsidTr="00E54CC4">
        <w:tc>
          <w:tcPr>
            <w:tcW w:w="1985" w:type="dxa"/>
          </w:tcPr>
          <w:p w14:paraId="32B901C1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Pathological grade</w:t>
            </w:r>
          </w:p>
          <w:p w14:paraId="7E851EE7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 xml:space="preserve">  Grade 1</w:t>
            </w:r>
          </w:p>
          <w:p w14:paraId="53FF834C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 xml:space="preserve">  Grade 2/3</w:t>
            </w:r>
          </w:p>
          <w:p w14:paraId="0C5CCC5C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PET/CT findings</w:t>
            </w:r>
          </w:p>
          <w:p w14:paraId="5F189F6A" w14:textId="77777777" w:rsidR="007D4F07" w:rsidRPr="000C5A5C" w:rsidRDefault="007D4F07" w:rsidP="00E54CC4">
            <w:pPr>
              <w:rPr>
                <w:color w:val="000000" w:themeColor="text1"/>
              </w:rPr>
            </w:pPr>
            <w:proofErr w:type="spellStart"/>
            <w:r w:rsidRPr="000C5A5C">
              <w:rPr>
                <w:color w:val="000000" w:themeColor="text1"/>
              </w:rPr>
              <w:t>SUV</w:t>
            </w:r>
            <w:r w:rsidRPr="000C5A5C">
              <w:rPr>
                <w:color w:val="000000" w:themeColor="text1"/>
                <w:vertAlign w:val="subscript"/>
              </w:rPr>
              <w:t>max</w:t>
            </w:r>
            <w:proofErr w:type="spellEnd"/>
          </w:p>
          <w:p w14:paraId="4EA895F9" w14:textId="77777777" w:rsidR="007D4F07" w:rsidRPr="000C5A5C" w:rsidRDefault="007D4F07" w:rsidP="00E54CC4">
            <w:pPr>
              <w:rPr>
                <w:color w:val="000000" w:themeColor="text1"/>
              </w:rPr>
            </w:pPr>
            <w:proofErr w:type="spellStart"/>
            <w:r w:rsidRPr="000C5A5C">
              <w:rPr>
                <w:color w:val="000000" w:themeColor="text1"/>
              </w:rPr>
              <w:t>SUV</w:t>
            </w:r>
            <w:r w:rsidRPr="000C5A5C">
              <w:rPr>
                <w:color w:val="000000" w:themeColor="text1"/>
                <w:vertAlign w:val="subscript"/>
              </w:rPr>
              <w:t>mean</w:t>
            </w:r>
            <w:proofErr w:type="spellEnd"/>
          </w:p>
          <w:p w14:paraId="348E63F3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MTV (ml)</w:t>
            </w:r>
          </w:p>
          <w:p w14:paraId="559D29BB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TLG</w:t>
            </w:r>
          </w:p>
          <w:p w14:paraId="0956DD94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Lymphatic metastasis</w:t>
            </w:r>
          </w:p>
        </w:tc>
        <w:tc>
          <w:tcPr>
            <w:tcW w:w="2105" w:type="dxa"/>
            <w:vAlign w:val="center"/>
          </w:tcPr>
          <w:p w14:paraId="647F26CB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7D002424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33 (33.3)</w:t>
            </w:r>
          </w:p>
          <w:p w14:paraId="09777696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66 (66.7)</w:t>
            </w:r>
          </w:p>
          <w:p w14:paraId="470D158F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5C00EA36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5.09 (3.62, 7.17)</w:t>
            </w:r>
          </w:p>
          <w:p w14:paraId="2A25FC99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3.35 (2.48, 4.29)</w:t>
            </w:r>
          </w:p>
          <w:p w14:paraId="0E585167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8.54 (3.23, 18.08)</w:t>
            </w:r>
          </w:p>
          <w:p w14:paraId="6D378B65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29.19 (9.74, 63.84)</w:t>
            </w:r>
          </w:p>
          <w:p w14:paraId="06EB9DA0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05" w:type="dxa"/>
            <w:vAlign w:val="center"/>
          </w:tcPr>
          <w:p w14:paraId="180AC763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708FE6A5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9 (18.0)</w:t>
            </w:r>
          </w:p>
          <w:p w14:paraId="5B90454C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41 (82.0)</w:t>
            </w:r>
          </w:p>
          <w:p w14:paraId="48BF4A1A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6D8AAAF3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4.32 (3.18, 6.85)</w:t>
            </w:r>
          </w:p>
          <w:p w14:paraId="7BCD0E81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2.92 (2.11, 4.09)</w:t>
            </w:r>
          </w:p>
          <w:p w14:paraId="04B2702A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12.96 (5.14, 20.59)</w:t>
            </w:r>
          </w:p>
          <w:p w14:paraId="4C85B421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37.61 (13.64, 67.59)</w:t>
            </w:r>
          </w:p>
          <w:p w14:paraId="405C2AA8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05" w:type="dxa"/>
            <w:vAlign w:val="center"/>
          </w:tcPr>
          <w:p w14:paraId="2ADD529D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0.049</w:t>
            </w:r>
          </w:p>
          <w:p w14:paraId="07B713E0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15822CC1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3DFB9A51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785BE3B9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0.376</w:t>
            </w:r>
          </w:p>
          <w:p w14:paraId="783C294A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0.137</w:t>
            </w:r>
          </w:p>
          <w:p w14:paraId="3708EA1A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0.118</w:t>
            </w:r>
          </w:p>
          <w:p w14:paraId="6C09C8C6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0.469</w:t>
            </w:r>
          </w:p>
          <w:p w14:paraId="4E685242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&lt;0.001*</w:t>
            </w:r>
          </w:p>
        </w:tc>
      </w:tr>
      <w:tr w:rsidR="007D4F07" w:rsidRPr="000C5A5C" w14:paraId="31746479" w14:textId="77777777" w:rsidTr="00E54CC4">
        <w:tc>
          <w:tcPr>
            <w:tcW w:w="1985" w:type="dxa"/>
            <w:tcBorders>
              <w:bottom w:val="single" w:sz="12" w:space="0" w:color="auto"/>
            </w:tcBorders>
          </w:tcPr>
          <w:p w14:paraId="165F1E0C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 xml:space="preserve">  Present</w:t>
            </w:r>
          </w:p>
          <w:p w14:paraId="5A106EFA" w14:textId="77777777" w:rsidR="007D4F07" w:rsidRPr="000C5A5C" w:rsidRDefault="007D4F07" w:rsidP="00E54CC4">
            <w:pPr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 xml:space="preserve">  Absent</w:t>
            </w:r>
          </w:p>
        </w:tc>
        <w:tc>
          <w:tcPr>
            <w:tcW w:w="2105" w:type="dxa"/>
            <w:tcBorders>
              <w:bottom w:val="single" w:sz="12" w:space="0" w:color="auto"/>
            </w:tcBorders>
          </w:tcPr>
          <w:p w14:paraId="437E44A3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21 (21.2)</w:t>
            </w:r>
          </w:p>
          <w:p w14:paraId="5E1BF68F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78 (78.8)</w:t>
            </w:r>
          </w:p>
        </w:tc>
        <w:tc>
          <w:tcPr>
            <w:tcW w:w="2105" w:type="dxa"/>
            <w:tcBorders>
              <w:bottom w:val="single" w:sz="12" w:space="0" w:color="auto"/>
            </w:tcBorders>
          </w:tcPr>
          <w:p w14:paraId="71CEA184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25 (50.0)</w:t>
            </w:r>
          </w:p>
          <w:p w14:paraId="1F172F6E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  <w:r w:rsidRPr="000C5A5C">
              <w:rPr>
                <w:color w:val="000000" w:themeColor="text1"/>
              </w:rPr>
              <w:t>25 (50.0)</w:t>
            </w:r>
          </w:p>
        </w:tc>
        <w:tc>
          <w:tcPr>
            <w:tcW w:w="2105" w:type="dxa"/>
            <w:tcBorders>
              <w:bottom w:val="single" w:sz="12" w:space="0" w:color="auto"/>
            </w:tcBorders>
          </w:tcPr>
          <w:p w14:paraId="578346C8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  <w:p w14:paraId="623F4CDB" w14:textId="77777777" w:rsidR="007D4F07" w:rsidRPr="000C5A5C" w:rsidRDefault="007D4F07" w:rsidP="00E54CC4">
            <w:pPr>
              <w:jc w:val="center"/>
              <w:rPr>
                <w:color w:val="000000" w:themeColor="text1"/>
              </w:rPr>
            </w:pPr>
          </w:p>
        </w:tc>
      </w:tr>
    </w:tbl>
    <w:p w14:paraId="593F338C" w14:textId="77777777" w:rsidR="007D4F07" w:rsidRDefault="007D4F07" w:rsidP="00E54CC4">
      <w:pPr>
        <w:rPr>
          <w:rFonts w:eastAsia="黑体"/>
        </w:rPr>
      </w:pPr>
      <w:r>
        <w:rPr>
          <w:rFonts w:eastAsia="黑体" w:hint="eastAsia"/>
        </w:rPr>
        <w:t>*</w:t>
      </w:r>
      <w:r>
        <w:t>S</w:t>
      </w:r>
      <w:r w:rsidRPr="000C5A5C">
        <w:rPr>
          <w:rFonts w:eastAsia="黑体"/>
        </w:rPr>
        <w:t>tatistical significance of</w:t>
      </w:r>
      <w:r>
        <w:rPr>
          <w:rFonts w:eastAsia="黑体"/>
        </w:rPr>
        <w:t xml:space="preserve"> lymphatic metastasis on PET/CT images between training and validation set.</w:t>
      </w:r>
    </w:p>
    <w:p w14:paraId="68A96789" w14:textId="77777777" w:rsidR="007D4F07" w:rsidRPr="00D3387F" w:rsidRDefault="007D4F07" w:rsidP="00E54CC4">
      <w:pPr>
        <w:rPr>
          <w:rFonts w:eastAsia="黑体"/>
        </w:rPr>
      </w:pPr>
      <w:r w:rsidRPr="00E839E2">
        <w:rPr>
          <w:rFonts w:eastAsia="黑体"/>
        </w:rPr>
        <w:t>Continuous data were expressed as mean ± standard deviation or median, with first and third quartile in parentheses. Categorical variables were expressed as numbers, with percentages in parentheses</w:t>
      </w:r>
      <w:r>
        <w:rPr>
          <w:rFonts w:eastAsia="黑体"/>
        </w:rPr>
        <w:t>.</w:t>
      </w:r>
    </w:p>
    <w:p w14:paraId="45F5DF44" w14:textId="77777777" w:rsidR="00C11070" w:rsidRDefault="00C11070"/>
    <w:sectPr w:rsidR="00C11070" w:rsidSect="00FE737D">
      <w:footerReference w:type="even" r:id="rId9"/>
      <w:footerReference w:type="default" r:id="rId10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4716C" w14:textId="77777777" w:rsidR="004B59FF" w:rsidRDefault="004B59FF">
      <w:r>
        <w:separator/>
      </w:r>
    </w:p>
  </w:endnote>
  <w:endnote w:type="continuationSeparator" w:id="0">
    <w:p w14:paraId="0B01AEC9" w14:textId="77777777" w:rsidR="004B59FF" w:rsidRDefault="004B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640621907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D6191E6" w14:textId="77777777" w:rsidR="009C5871" w:rsidRDefault="009C5871" w:rsidP="00E54CC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326F3FA" w14:textId="77777777" w:rsidR="009C5871" w:rsidRDefault="009C587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1270345868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11A2895" w14:textId="77777777" w:rsidR="009C5871" w:rsidRDefault="009C5871" w:rsidP="00E54CC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FE737D">
          <w:rPr>
            <w:rStyle w:val="a8"/>
            <w:noProof/>
          </w:rPr>
          <w:t>2</w:t>
        </w:r>
        <w:r>
          <w:rPr>
            <w:rStyle w:val="a8"/>
          </w:rPr>
          <w:fldChar w:fldCharType="end"/>
        </w:r>
      </w:p>
    </w:sdtContent>
  </w:sdt>
  <w:p w14:paraId="4393D8A9" w14:textId="77777777" w:rsidR="009C5871" w:rsidRDefault="009C58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30FF9" w14:textId="77777777" w:rsidR="004B59FF" w:rsidRDefault="004B59FF">
      <w:r>
        <w:separator/>
      </w:r>
    </w:p>
  </w:footnote>
  <w:footnote w:type="continuationSeparator" w:id="0">
    <w:p w14:paraId="2974A921" w14:textId="77777777" w:rsidR="004B59FF" w:rsidRDefault="004B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B7258B"/>
    <w:multiLevelType w:val="hybridMultilevel"/>
    <w:tmpl w:val="0E74E768"/>
    <w:lvl w:ilvl="0" w:tplc="C61CA1AC">
      <w:start w:val="1"/>
      <w:numFmt w:val="decimal"/>
      <w:lvlText w:val="%1."/>
      <w:lvlJc w:val="right"/>
      <w:pPr>
        <w:ind w:left="340" w:hanging="170"/>
      </w:pPr>
      <w:rPr>
        <w:rFonts w:ascii="Times New Roman" w:hAnsi="Times New Roman" w:hint="default"/>
        <w:b w:val="0"/>
        <w:i w:val="0"/>
        <w:color w:val="000000" w:themeColor="text1"/>
        <w:sz w:val="20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9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D4F07"/>
    <w:rsid w:val="0007124B"/>
    <w:rsid w:val="000E6776"/>
    <w:rsid w:val="000F70F7"/>
    <w:rsid w:val="00194C41"/>
    <w:rsid w:val="001C5CEE"/>
    <w:rsid w:val="001D3F20"/>
    <w:rsid w:val="00227FD8"/>
    <w:rsid w:val="002D5104"/>
    <w:rsid w:val="00340F44"/>
    <w:rsid w:val="003950F9"/>
    <w:rsid w:val="003A4E1E"/>
    <w:rsid w:val="00403F7E"/>
    <w:rsid w:val="004207D3"/>
    <w:rsid w:val="00447F09"/>
    <w:rsid w:val="004509C8"/>
    <w:rsid w:val="004A6F06"/>
    <w:rsid w:val="004B59FF"/>
    <w:rsid w:val="004C2D38"/>
    <w:rsid w:val="004F66BB"/>
    <w:rsid w:val="00502C05"/>
    <w:rsid w:val="005364B9"/>
    <w:rsid w:val="00543923"/>
    <w:rsid w:val="0057614D"/>
    <w:rsid w:val="005B6BA1"/>
    <w:rsid w:val="005C6B6A"/>
    <w:rsid w:val="00661220"/>
    <w:rsid w:val="0066175B"/>
    <w:rsid w:val="00665C54"/>
    <w:rsid w:val="00673EC1"/>
    <w:rsid w:val="006E68C8"/>
    <w:rsid w:val="00777379"/>
    <w:rsid w:val="00784980"/>
    <w:rsid w:val="007B5B7F"/>
    <w:rsid w:val="007D4F07"/>
    <w:rsid w:val="00827C7C"/>
    <w:rsid w:val="008614BC"/>
    <w:rsid w:val="00885A8B"/>
    <w:rsid w:val="00897F17"/>
    <w:rsid w:val="008B22AD"/>
    <w:rsid w:val="0099707E"/>
    <w:rsid w:val="009C5871"/>
    <w:rsid w:val="00A16433"/>
    <w:rsid w:val="00A73F10"/>
    <w:rsid w:val="00AE39CE"/>
    <w:rsid w:val="00B37E87"/>
    <w:rsid w:val="00B624BA"/>
    <w:rsid w:val="00B91685"/>
    <w:rsid w:val="00BF51FD"/>
    <w:rsid w:val="00C11070"/>
    <w:rsid w:val="00C1287B"/>
    <w:rsid w:val="00CE45DB"/>
    <w:rsid w:val="00D1063F"/>
    <w:rsid w:val="00D36BD4"/>
    <w:rsid w:val="00DD3C45"/>
    <w:rsid w:val="00E46092"/>
    <w:rsid w:val="00E54CC4"/>
    <w:rsid w:val="00E73C4A"/>
    <w:rsid w:val="00E8116E"/>
    <w:rsid w:val="00E971C0"/>
    <w:rsid w:val="00EF497E"/>
    <w:rsid w:val="00F5536B"/>
    <w:rsid w:val="00FA0B53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82A16"/>
  <w15:chartTrackingRefBased/>
  <w15:docId w15:val="{656C314B-2C61-D74A-81A6-E1D6D6A3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F07"/>
    <w:pPr>
      <w:widowControl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7D4F0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F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F0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4F0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D4F07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D4F07"/>
    <w:rPr>
      <w:rFonts w:ascii="宋体" w:eastAsia="宋体" w:hAnsi="Times New Roman" w:cs="Times New Roman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7D4F07"/>
  </w:style>
  <w:style w:type="paragraph" w:styleId="a6">
    <w:name w:val="footer"/>
    <w:basedOn w:val="a"/>
    <w:link w:val="a7"/>
    <w:uiPriority w:val="99"/>
    <w:unhideWhenUsed/>
    <w:rsid w:val="007D4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4F07"/>
    <w:rPr>
      <w:rFonts w:ascii="Times New Roman" w:eastAsia="Times New Roman" w:hAnsi="Times New Roman" w:cs="Times New Roman"/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7D4F07"/>
  </w:style>
  <w:style w:type="paragraph" w:styleId="a9">
    <w:name w:val="List Paragraph"/>
    <w:basedOn w:val="a"/>
    <w:uiPriority w:val="34"/>
    <w:qFormat/>
    <w:rsid w:val="007D4F07"/>
    <w:pPr>
      <w:ind w:firstLineChars="200" w:firstLine="420"/>
    </w:pPr>
  </w:style>
  <w:style w:type="paragraph" w:styleId="aa">
    <w:name w:val="header"/>
    <w:basedOn w:val="a"/>
    <w:link w:val="ab"/>
    <w:uiPriority w:val="99"/>
    <w:unhideWhenUsed/>
    <w:rsid w:val="007D4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4F07"/>
    <w:rPr>
      <w:rFonts w:ascii="Times New Roman" w:eastAsia="Times New Roman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7D4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D4F07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7D4F0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7D4F07"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rsid w:val="007D4F07"/>
    <w:rPr>
      <w:rFonts w:ascii="Times New Roman" w:eastAsia="Times New Roman" w:hAnsi="Times New Roman" w:cs="Times New Roman"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7D4F07"/>
  </w:style>
  <w:style w:type="character" w:customStyle="1" w:styleId="EndNoteBibliography0">
    <w:name w:val="EndNote Bibliography 字符"/>
    <w:basedOn w:val="a0"/>
    <w:link w:val="EndNoteBibliography"/>
    <w:rsid w:val="007D4F07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7D4F0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7D4F07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7D4F07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D4F0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7D4F0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7D4F07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E54C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830D8C-2CC1-4C31-BF0D-0750F24C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Zhi-Xin Hao</dc:creator>
  <cp:keywords/>
  <dc:description/>
  <cp:lastModifiedBy>Zhi-Xin Hao</cp:lastModifiedBy>
  <cp:revision>27</cp:revision>
  <dcterms:created xsi:type="dcterms:W3CDTF">2020-10-25T10:49:00Z</dcterms:created>
  <dcterms:modified xsi:type="dcterms:W3CDTF">2021-02-18T12:31:00Z</dcterms:modified>
</cp:coreProperties>
</file>