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DE34F" w14:textId="71A64AB5" w:rsidR="00C80858" w:rsidRDefault="00392F56">
      <w:bookmarkStart w:id="0" w:name="_GoBack"/>
      <w:bookmarkEnd w:id="0"/>
      <w:r w:rsidRPr="00392F56">
        <w:rPr>
          <w:noProof/>
          <w:lang w:eastAsia="de-DE"/>
        </w:rPr>
        <w:drawing>
          <wp:inline distT="0" distB="0" distL="0" distR="0" wp14:anchorId="138CFEBD" wp14:editId="66584DDA">
            <wp:extent cx="5756910" cy="5042535"/>
            <wp:effectExtent l="0" t="0" r="8890" b="1206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60EF7" w14:textId="77777777" w:rsidR="00B3350F" w:rsidRPr="00B3350F" w:rsidRDefault="00B3350F" w:rsidP="00B3350F">
      <w:pPr>
        <w:spacing w:line="360" w:lineRule="auto"/>
        <w:rPr>
          <w:rFonts w:ascii="Arial" w:hAnsi="Arial" w:cs="Arial"/>
          <w:lang w:val="en-US"/>
        </w:rPr>
      </w:pPr>
      <w:r w:rsidRPr="00D9295E">
        <w:rPr>
          <w:rFonts w:ascii="Arial" w:hAnsi="Arial" w:cs="Arial"/>
          <w:b/>
          <w:lang w:val="en-US"/>
        </w:rPr>
        <w:t>A. 1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-US"/>
        </w:rPr>
        <w:t>Patient inclusion flowchart.</w:t>
      </w:r>
    </w:p>
    <w:p w14:paraId="4BE8D539" w14:textId="77777777" w:rsidR="00B3350F" w:rsidRDefault="00B3350F"/>
    <w:p w14:paraId="38FAAD96" w14:textId="77777777" w:rsidR="00CA2914" w:rsidRDefault="00CA2914">
      <w:pPr>
        <w:sectPr w:rsidR="00CA2914" w:rsidSect="002A72BD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EinfacheTabelle5"/>
        <w:tblW w:w="14392" w:type="dxa"/>
        <w:jc w:val="center"/>
        <w:tblLayout w:type="fixed"/>
        <w:tblLook w:val="04A0" w:firstRow="1" w:lastRow="0" w:firstColumn="1" w:lastColumn="0" w:noHBand="0" w:noVBand="1"/>
      </w:tblPr>
      <w:tblGrid>
        <w:gridCol w:w="1546"/>
        <w:gridCol w:w="1446"/>
        <w:gridCol w:w="1265"/>
        <w:gridCol w:w="1267"/>
        <w:gridCol w:w="1426"/>
        <w:gridCol w:w="1392"/>
        <w:gridCol w:w="1509"/>
        <w:gridCol w:w="1400"/>
        <w:gridCol w:w="1653"/>
        <w:gridCol w:w="1488"/>
      </w:tblGrid>
      <w:tr w:rsidR="00CA2914" w:rsidRPr="00D148C1" w14:paraId="37A7E6D0" w14:textId="77777777" w:rsidTr="00075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6" w:type="dxa"/>
            <w:vAlign w:val="center"/>
          </w:tcPr>
          <w:p w14:paraId="03E22BE9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lastRenderedPageBreak/>
              <w:t>Parameter</w:t>
            </w:r>
          </w:p>
        </w:tc>
        <w:tc>
          <w:tcPr>
            <w:tcW w:w="1446" w:type="dxa"/>
            <w:vAlign w:val="center"/>
          </w:tcPr>
          <w:p w14:paraId="16BB4A03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T2w HASTE</w:t>
            </w:r>
          </w:p>
        </w:tc>
        <w:tc>
          <w:tcPr>
            <w:tcW w:w="1265" w:type="dxa"/>
            <w:vAlign w:val="center"/>
          </w:tcPr>
          <w:p w14:paraId="2A1309B1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c</w:t>
            </w: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or</w:t>
            </w:r>
            <w:proofErr w:type="spellEnd"/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 T2w HASTE</w:t>
            </w:r>
          </w:p>
        </w:tc>
        <w:tc>
          <w:tcPr>
            <w:tcW w:w="1267" w:type="dxa"/>
            <w:vAlign w:val="center"/>
          </w:tcPr>
          <w:p w14:paraId="37679269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T2w HASTE FS</w:t>
            </w:r>
          </w:p>
        </w:tc>
        <w:tc>
          <w:tcPr>
            <w:tcW w:w="1426" w:type="dxa"/>
            <w:vAlign w:val="center"/>
          </w:tcPr>
          <w:p w14:paraId="1B688816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ax EPI DWI </w:t>
            </w:r>
          </w:p>
        </w:tc>
        <w:tc>
          <w:tcPr>
            <w:tcW w:w="1392" w:type="dxa"/>
            <w:vAlign w:val="center"/>
          </w:tcPr>
          <w:p w14:paraId="1439617A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T1w Vibe</w:t>
            </w:r>
          </w:p>
          <w:p w14:paraId="785D429C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pre CA</w:t>
            </w:r>
            <w:proofErr w:type="gramEnd"/>
          </w:p>
        </w:tc>
        <w:tc>
          <w:tcPr>
            <w:tcW w:w="1509" w:type="dxa"/>
            <w:vAlign w:val="center"/>
          </w:tcPr>
          <w:p w14:paraId="2CD14AD7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T1w Vibe Dynamic</w:t>
            </w:r>
          </w:p>
        </w:tc>
        <w:tc>
          <w:tcPr>
            <w:tcW w:w="1400" w:type="dxa"/>
            <w:vAlign w:val="center"/>
          </w:tcPr>
          <w:p w14:paraId="7430F0CB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T1w Vibe Venous</w:t>
            </w:r>
          </w:p>
        </w:tc>
        <w:tc>
          <w:tcPr>
            <w:tcW w:w="1653" w:type="dxa"/>
            <w:vAlign w:val="center"/>
          </w:tcPr>
          <w:p w14:paraId="1492A205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T1w Vibe Late Venous</w:t>
            </w:r>
          </w:p>
        </w:tc>
        <w:tc>
          <w:tcPr>
            <w:tcW w:w="1488" w:type="dxa"/>
            <w:vAlign w:val="center"/>
          </w:tcPr>
          <w:p w14:paraId="585E6079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ax T1w Vibe after CA</w:t>
            </w:r>
          </w:p>
        </w:tc>
      </w:tr>
      <w:tr w:rsidR="00CA2914" w:rsidRPr="00D9295E" w14:paraId="74AFBDAC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3F4E7FC5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TR/TE (</w:t>
            </w:r>
            <w:proofErr w:type="spellStart"/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ms</w:t>
            </w:r>
            <w:proofErr w:type="spellEnd"/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446" w:type="dxa"/>
            <w:vAlign w:val="center"/>
          </w:tcPr>
          <w:p w14:paraId="418889F9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1600/95</w:t>
            </w:r>
          </w:p>
        </w:tc>
        <w:tc>
          <w:tcPr>
            <w:tcW w:w="1265" w:type="dxa"/>
            <w:vAlign w:val="center"/>
          </w:tcPr>
          <w:p w14:paraId="2E21F46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1400/87</w:t>
            </w:r>
          </w:p>
        </w:tc>
        <w:tc>
          <w:tcPr>
            <w:tcW w:w="1267" w:type="dxa"/>
            <w:vAlign w:val="center"/>
          </w:tcPr>
          <w:p w14:paraId="67A97F7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1600/95</w:t>
            </w:r>
          </w:p>
        </w:tc>
        <w:tc>
          <w:tcPr>
            <w:tcW w:w="1426" w:type="dxa"/>
            <w:vAlign w:val="center"/>
          </w:tcPr>
          <w:p w14:paraId="6C8CAC1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5600/52</w:t>
            </w:r>
          </w:p>
        </w:tc>
        <w:tc>
          <w:tcPr>
            <w:tcW w:w="1392" w:type="dxa"/>
            <w:vAlign w:val="center"/>
          </w:tcPr>
          <w:p w14:paraId="6BB395DF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4.5/1.29/2.52</w:t>
            </w:r>
          </w:p>
        </w:tc>
        <w:tc>
          <w:tcPr>
            <w:tcW w:w="1509" w:type="dxa"/>
            <w:vAlign w:val="center"/>
          </w:tcPr>
          <w:p w14:paraId="638974D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3.89/1.23/2.46</w:t>
            </w:r>
          </w:p>
        </w:tc>
        <w:tc>
          <w:tcPr>
            <w:tcW w:w="1400" w:type="dxa"/>
            <w:vAlign w:val="center"/>
          </w:tcPr>
          <w:p w14:paraId="2B541414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4.5/1.29/2.52</w:t>
            </w:r>
          </w:p>
        </w:tc>
        <w:tc>
          <w:tcPr>
            <w:tcW w:w="1653" w:type="dxa"/>
            <w:vAlign w:val="center"/>
          </w:tcPr>
          <w:p w14:paraId="5393110A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4.5/1.29/2.52</w:t>
            </w:r>
          </w:p>
        </w:tc>
        <w:tc>
          <w:tcPr>
            <w:tcW w:w="1488" w:type="dxa"/>
            <w:vAlign w:val="center"/>
          </w:tcPr>
          <w:p w14:paraId="4C019B4D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3.29/1.14</w:t>
            </w:r>
          </w:p>
        </w:tc>
      </w:tr>
      <w:tr w:rsidR="00CA2914" w:rsidRPr="00D9295E" w14:paraId="5DF336E4" w14:textId="77777777" w:rsidTr="006849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150C747C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Flip angle (°)</w:t>
            </w:r>
          </w:p>
        </w:tc>
        <w:tc>
          <w:tcPr>
            <w:tcW w:w="1446" w:type="dxa"/>
            <w:vAlign w:val="center"/>
          </w:tcPr>
          <w:p w14:paraId="19DD7C6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65" w:type="dxa"/>
            <w:vAlign w:val="center"/>
          </w:tcPr>
          <w:p w14:paraId="60FA86E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67" w:type="dxa"/>
            <w:vAlign w:val="center"/>
          </w:tcPr>
          <w:p w14:paraId="061760E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160</w:t>
            </w:r>
          </w:p>
        </w:tc>
        <w:tc>
          <w:tcPr>
            <w:tcW w:w="1426" w:type="dxa"/>
            <w:vAlign w:val="center"/>
          </w:tcPr>
          <w:p w14:paraId="49ED7534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92" w:type="dxa"/>
            <w:vAlign w:val="center"/>
          </w:tcPr>
          <w:p w14:paraId="35B62C53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509" w:type="dxa"/>
            <w:vAlign w:val="center"/>
          </w:tcPr>
          <w:p w14:paraId="28CF3D3A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0" w:type="dxa"/>
            <w:vAlign w:val="center"/>
          </w:tcPr>
          <w:p w14:paraId="316CA214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653" w:type="dxa"/>
            <w:vAlign w:val="center"/>
          </w:tcPr>
          <w:p w14:paraId="2F92A21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488" w:type="dxa"/>
            <w:vAlign w:val="center"/>
          </w:tcPr>
          <w:p w14:paraId="276161D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</w:tr>
      <w:tr w:rsidR="00CA2914" w:rsidRPr="00D9295E" w14:paraId="146EDE23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568DB519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FOV (mm)</w:t>
            </w:r>
          </w:p>
        </w:tc>
        <w:tc>
          <w:tcPr>
            <w:tcW w:w="1446" w:type="dxa"/>
            <w:vAlign w:val="center"/>
          </w:tcPr>
          <w:p w14:paraId="15696BFB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380</w:t>
            </w:r>
          </w:p>
        </w:tc>
        <w:tc>
          <w:tcPr>
            <w:tcW w:w="1265" w:type="dxa"/>
            <w:vAlign w:val="center"/>
          </w:tcPr>
          <w:p w14:paraId="0860453E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400</w:t>
            </w:r>
          </w:p>
        </w:tc>
        <w:tc>
          <w:tcPr>
            <w:tcW w:w="1267" w:type="dxa"/>
            <w:vAlign w:val="center"/>
          </w:tcPr>
          <w:p w14:paraId="704D12D1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300</w:t>
            </w:r>
          </w:p>
        </w:tc>
        <w:tc>
          <w:tcPr>
            <w:tcW w:w="1426" w:type="dxa"/>
            <w:vAlign w:val="center"/>
          </w:tcPr>
          <w:p w14:paraId="57D7DE13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380</w:t>
            </w:r>
          </w:p>
        </w:tc>
        <w:tc>
          <w:tcPr>
            <w:tcW w:w="1392" w:type="dxa"/>
            <w:vAlign w:val="center"/>
          </w:tcPr>
          <w:p w14:paraId="0F6F6C60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380</w:t>
            </w:r>
          </w:p>
        </w:tc>
        <w:tc>
          <w:tcPr>
            <w:tcW w:w="1509" w:type="dxa"/>
            <w:vAlign w:val="center"/>
          </w:tcPr>
          <w:p w14:paraId="409D60D0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400</w:t>
            </w:r>
          </w:p>
        </w:tc>
        <w:tc>
          <w:tcPr>
            <w:tcW w:w="1400" w:type="dxa"/>
            <w:vAlign w:val="center"/>
          </w:tcPr>
          <w:p w14:paraId="7097DF68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380</w:t>
            </w:r>
          </w:p>
        </w:tc>
        <w:tc>
          <w:tcPr>
            <w:tcW w:w="1653" w:type="dxa"/>
            <w:vAlign w:val="center"/>
          </w:tcPr>
          <w:p w14:paraId="0D627C70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380</w:t>
            </w:r>
          </w:p>
        </w:tc>
        <w:tc>
          <w:tcPr>
            <w:tcW w:w="1488" w:type="dxa"/>
            <w:vAlign w:val="center"/>
          </w:tcPr>
          <w:p w14:paraId="164C9EA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460</w:t>
            </w:r>
          </w:p>
        </w:tc>
      </w:tr>
      <w:tr w:rsidR="00CA2914" w:rsidRPr="00D9295E" w14:paraId="458EFE3B" w14:textId="77777777" w:rsidTr="006849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7C4C8F0C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Phase FOV (%)</w:t>
            </w:r>
          </w:p>
        </w:tc>
        <w:tc>
          <w:tcPr>
            <w:tcW w:w="1446" w:type="dxa"/>
            <w:vAlign w:val="center"/>
          </w:tcPr>
          <w:p w14:paraId="2018B141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1265" w:type="dxa"/>
            <w:vAlign w:val="center"/>
          </w:tcPr>
          <w:p w14:paraId="6E54C1A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67" w:type="dxa"/>
            <w:vAlign w:val="center"/>
          </w:tcPr>
          <w:p w14:paraId="449743D2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78.1</w:t>
            </w:r>
          </w:p>
        </w:tc>
        <w:tc>
          <w:tcPr>
            <w:tcW w:w="1426" w:type="dxa"/>
            <w:vAlign w:val="center"/>
          </w:tcPr>
          <w:p w14:paraId="7A11A2D5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80.6</w:t>
            </w:r>
          </w:p>
        </w:tc>
        <w:tc>
          <w:tcPr>
            <w:tcW w:w="1392" w:type="dxa"/>
            <w:vAlign w:val="center"/>
          </w:tcPr>
          <w:p w14:paraId="11A0B38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81.3</w:t>
            </w:r>
          </w:p>
        </w:tc>
        <w:tc>
          <w:tcPr>
            <w:tcW w:w="1509" w:type="dxa"/>
            <w:vAlign w:val="center"/>
          </w:tcPr>
          <w:p w14:paraId="5D13F61E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00" w:type="dxa"/>
            <w:vAlign w:val="center"/>
          </w:tcPr>
          <w:p w14:paraId="61D5BFF4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81.3</w:t>
            </w:r>
          </w:p>
        </w:tc>
        <w:tc>
          <w:tcPr>
            <w:tcW w:w="1653" w:type="dxa"/>
            <w:vAlign w:val="center"/>
          </w:tcPr>
          <w:p w14:paraId="6031D26C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81.3</w:t>
            </w:r>
          </w:p>
        </w:tc>
        <w:tc>
          <w:tcPr>
            <w:tcW w:w="1488" w:type="dxa"/>
            <w:vAlign w:val="center"/>
          </w:tcPr>
          <w:p w14:paraId="726270D1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</w:tr>
      <w:tr w:rsidR="00CA2914" w:rsidRPr="00D9295E" w14:paraId="3294E83D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19BC0476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Acceleration factor</w:t>
            </w:r>
          </w:p>
        </w:tc>
        <w:tc>
          <w:tcPr>
            <w:tcW w:w="1446" w:type="dxa"/>
            <w:vAlign w:val="center"/>
          </w:tcPr>
          <w:p w14:paraId="5D03F357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65" w:type="dxa"/>
            <w:vAlign w:val="center"/>
          </w:tcPr>
          <w:p w14:paraId="7B9B2D97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67" w:type="dxa"/>
            <w:vAlign w:val="center"/>
          </w:tcPr>
          <w:p w14:paraId="0B30E3A8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426" w:type="dxa"/>
            <w:vAlign w:val="center"/>
          </w:tcPr>
          <w:p w14:paraId="6D9A69C9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92" w:type="dxa"/>
            <w:vAlign w:val="center"/>
          </w:tcPr>
          <w:p w14:paraId="57D94857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509" w:type="dxa"/>
            <w:vAlign w:val="center"/>
          </w:tcPr>
          <w:p w14:paraId="45B9296A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00" w:type="dxa"/>
            <w:vAlign w:val="center"/>
          </w:tcPr>
          <w:p w14:paraId="6B76B25A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653" w:type="dxa"/>
            <w:vAlign w:val="center"/>
          </w:tcPr>
          <w:p w14:paraId="43A527A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88" w:type="dxa"/>
            <w:vAlign w:val="center"/>
          </w:tcPr>
          <w:p w14:paraId="31EED602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CA2914" w:rsidRPr="00D9295E" w14:paraId="4D0CCCEE" w14:textId="77777777" w:rsidTr="006849BA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159E3A03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Acquisition time (min)</w:t>
            </w:r>
          </w:p>
        </w:tc>
        <w:tc>
          <w:tcPr>
            <w:tcW w:w="1446" w:type="dxa"/>
            <w:vAlign w:val="center"/>
          </w:tcPr>
          <w:p w14:paraId="7224545C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1:08</w:t>
            </w:r>
          </w:p>
        </w:tc>
        <w:tc>
          <w:tcPr>
            <w:tcW w:w="1265" w:type="dxa"/>
            <w:vAlign w:val="center"/>
          </w:tcPr>
          <w:p w14:paraId="76C5545D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0:54</w:t>
            </w:r>
          </w:p>
        </w:tc>
        <w:tc>
          <w:tcPr>
            <w:tcW w:w="1267" w:type="dxa"/>
            <w:vAlign w:val="center"/>
          </w:tcPr>
          <w:p w14:paraId="0B42793C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1:14</w:t>
            </w:r>
          </w:p>
        </w:tc>
        <w:tc>
          <w:tcPr>
            <w:tcW w:w="1426" w:type="dxa"/>
            <w:vAlign w:val="center"/>
          </w:tcPr>
          <w:p w14:paraId="1031B99B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3:52</w:t>
            </w:r>
          </w:p>
        </w:tc>
        <w:tc>
          <w:tcPr>
            <w:tcW w:w="1392" w:type="dxa"/>
            <w:vAlign w:val="center"/>
          </w:tcPr>
          <w:p w14:paraId="5EAA3BBC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0:17</w:t>
            </w:r>
          </w:p>
        </w:tc>
        <w:tc>
          <w:tcPr>
            <w:tcW w:w="1509" w:type="dxa"/>
            <w:vAlign w:val="center"/>
          </w:tcPr>
          <w:p w14:paraId="43C27FA0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0:17</w:t>
            </w:r>
          </w:p>
        </w:tc>
        <w:tc>
          <w:tcPr>
            <w:tcW w:w="1400" w:type="dxa"/>
            <w:vAlign w:val="center"/>
          </w:tcPr>
          <w:p w14:paraId="17A6FF4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0:17</w:t>
            </w:r>
          </w:p>
        </w:tc>
        <w:tc>
          <w:tcPr>
            <w:tcW w:w="1653" w:type="dxa"/>
            <w:vAlign w:val="center"/>
          </w:tcPr>
          <w:p w14:paraId="7C9C450B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0:17</w:t>
            </w:r>
          </w:p>
        </w:tc>
        <w:tc>
          <w:tcPr>
            <w:tcW w:w="1488" w:type="dxa"/>
            <w:vAlign w:val="center"/>
          </w:tcPr>
          <w:p w14:paraId="1211B9AD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0:13</w:t>
            </w:r>
          </w:p>
        </w:tc>
      </w:tr>
      <w:tr w:rsidR="00CA2914" w:rsidRPr="00D9295E" w14:paraId="333AA25A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7F1EB14E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Slice thickness (mm)</w:t>
            </w:r>
          </w:p>
        </w:tc>
        <w:tc>
          <w:tcPr>
            <w:tcW w:w="1446" w:type="dxa"/>
            <w:vAlign w:val="center"/>
          </w:tcPr>
          <w:p w14:paraId="5784FE49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65" w:type="dxa"/>
            <w:vAlign w:val="center"/>
          </w:tcPr>
          <w:p w14:paraId="241C2797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67" w:type="dxa"/>
            <w:vAlign w:val="center"/>
          </w:tcPr>
          <w:p w14:paraId="67278300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26" w:type="dxa"/>
            <w:vAlign w:val="center"/>
          </w:tcPr>
          <w:p w14:paraId="71D98B3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392" w:type="dxa"/>
            <w:vAlign w:val="center"/>
          </w:tcPr>
          <w:p w14:paraId="41BE8C41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509" w:type="dxa"/>
            <w:vAlign w:val="center"/>
          </w:tcPr>
          <w:p w14:paraId="46177A58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00" w:type="dxa"/>
            <w:vAlign w:val="center"/>
          </w:tcPr>
          <w:p w14:paraId="0DBD6EEB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653" w:type="dxa"/>
            <w:vAlign w:val="center"/>
          </w:tcPr>
          <w:p w14:paraId="3754E4E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88" w:type="dxa"/>
            <w:vAlign w:val="center"/>
          </w:tcPr>
          <w:p w14:paraId="4EDDEF8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CA2914" w:rsidRPr="00D9295E" w14:paraId="57546C97" w14:textId="77777777" w:rsidTr="006849BA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6B7312C9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Fat saturation</w:t>
            </w:r>
          </w:p>
        </w:tc>
        <w:tc>
          <w:tcPr>
            <w:tcW w:w="1446" w:type="dxa"/>
            <w:vAlign w:val="center"/>
          </w:tcPr>
          <w:p w14:paraId="38A49CC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265" w:type="dxa"/>
            <w:vAlign w:val="center"/>
          </w:tcPr>
          <w:p w14:paraId="1E1F96ED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267" w:type="dxa"/>
            <w:vAlign w:val="center"/>
          </w:tcPr>
          <w:p w14:paraId="3CEDB5A6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26" w:type="dxa"/>
            <w:vAlign w:val="center"/>
          </w:tcPr>
          <w:p w14:paraId="065E79F3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92" w:type="dxa"/>
            <w:vAlign w:val="center"/>
          </w:tcPr>
          <w:p w14:paraId="71790E2E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09" w:type="dxa"/>
            <w:vAlign w:val="center"/>
          </w:tcPr>
          <w:p w14:paraId="4C21EFAC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400" w:type="dxa"/>
            <w:vAlign w:val="center"/>
          </w:tcPr>
          <w:p w14:paraId="4CF4882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653" w:type="dxa"/>
            <w:vAlign w:val="center"/>
          </w:tcPr>
          <w:p w14:paraId="5C1824D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488" w:type="dxa"/>
            <w:vAlign w:val="center"/>
          </w:tcPr>
          <w:p w14:paraId="254B5DA6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</w:tr>
      <w:tr w:rsidR="00CA2914" w:rsidRPr="00D9295E" w14:paraId="59715A33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5CD6BB0A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Intravenous contrast</w:t>
            </w:r>
          </w:p>
        </w:tc>
        <w:tc>
          <w:tcPr>
            <w:tcW w:w="1446" w:type="dxa"/>
            <w:vAlign w:val="center"/>
          </w:tcPr>
          <w:p w14:paraId="34D254D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265" w:type="dxa"/>
            <w:vAlign w:val="center"/>
          </w:tcPr>
          <w:p w14:paraId="040D664B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267" w:type="dxa"/>
            <w:vAlign w:val="center"/>
          </w:tcPr>
          <w:p w14:paraId="111A08D7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426" w:type="dxa"/>
            <w:vAlign w:val="center"/>
          </w:tcPr>
          <w:p w14:paraId="2ED1DF6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392" w:type="dxa"/>
            <w:vAlign w:val="center"/>
          </w:tcPr>
          <w:p w14:paraId="4474F85E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09" w:type="dxa"/>
            <w:vAlign w:val="center"/>
          </w:tcPr>
          <w:p w14:paraId="5669089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00" w:type="dxa"/>
            <w:vAlign w:val="center"/>
          </w:tcPr>
          <w:p w14:paraId="167B458D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53" w:type="dxa"/>
            <w:vAlign w:val="center"/>
          </w:tcPr>
          <w:p w14:paraId="1227EAA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88" w:type="dxa"/>
            <w:vAlign w:val="center"/>
          </w:tcPr>
          <w:p w14:paraId="20618D2A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</w:tr>
      <w:tr w:rsidR="00CA2914" w:rsidRPr="00D9295E" w14:paraId="6EAE9436" w14:textId="77777777" w:rsidTr="006849BA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Align w:val="center"/>
          </w:tcPr>
          <w:p w14:paraId="6C9E3D7A" w14:textId="77777777" w:rsidR="00CA2914" w:rsidRPr="00D9295E" w:rsidRDefault="00CA2914" w:rsidP="006849BA">
            <w:pPr>
              <w:spacing w:line="360" w:lineRule="auto"/>
              <w:jc w:val="left"/>
              <w:outlineLvl w:val="0"/>
              <w:rPr>
                <w:rFonts w:ascii="Arial" w:hAnsi="Arial" w:cs="Arial"/>
                <w:b/>
                <w:i w:val="0"/>
                <w:iCs w:val="0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i w:val="0"/>
                <w:iCs w:val="0"/>
                <w:sz w:val="20"/>
                <w:szCs w:val="20"/>
                <w:lang w:val="en-US"/>
              </w:rPr>
              <w:t>B-values (s/mm</w:t>
            </w:r>
            <w:r w:rsidRPr="00D9295E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9295E">
              <w:rPr>
                <w:rFonts w:ascii="Arial" w:hAnsi="Arial" w:cs="Arial"/>
                <w:b/>
                <w:i w:val="0"/>
                <w:i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446" w:type="dxa"/>
            <w:vAlign w:val="center"/>
          </w:tcPr>
          <w:p w14:paraId="0DA96131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65" w:type="dxa"/>
            <w:vAlign w:val="center"/>
          </w:tcPr>
          <w:p w14:paraId="36024F9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67" w:type="dxa"/>
            <w:vAlign w:val="center"/>
          </w:tcPr>
          <w:p w14:paraId="11B550CB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426" w:type="dxa"/>
            <w:vAlign w:val="center"/>
          </w:tcPr>
          <w:p w14:paraId="73E940E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0/50/300/600</w:t>
            </w:r>
          </w:p>
        </w:tc>
        <w:tc>
          <w:tcPr>
            <w:tcW w:w="1392" w:type="dxa"/>
            <w:vAlign w:val="center"/>
          </w:tcPr>
          <w:p w14:paraId="566BD0DB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09" w:type="dxa"/>
            <w:vAlign w:val="center"/>
          </w:tcPr>
          <w:p w14:paraId="013853FA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400" w:type="dxa"/>
            <w:vAlign w:val="center"/>
          </w:tcPr>
          <w:p w14:paraId="68FA5F4E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653" w:type="dxa"/>
            <w:vAlign w:val="center"/>
          </w:tcPr>
          <w:p w14:paraId="68272A1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488" w:type="dxa"/>
            <w:vAlign w:val="center"/>
          </w:tcPr>
          <w:p w14:paraId="4186E290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</w:tbl>
    <w:p w14:paraId="3A78DD05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b/>
          <w:lang w:val="en-US"/>
        </w:rPr>
      </w:pPr>
      <w:r w:rsidRPr="00D9295E">
        <w:rPr>
          <w:rFonts w:ascii="Arial" w:hAnsi="Arial" w:cs="Arial"/>
          <w:b/>
          <w:lang w:val="en-US"/>
        </w:rPr>
        <w:t>A. 2 MRI sequence parameters</w:t>
      </w:r>
    </w:p>
    <w:p w14:paraId="49C3D6F7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lang w:val="en-US"/>
        </w:rPr>
        <w:sectPr w:rsidR="00CA2914" w:rsidRPr="00D9295E" w:rsidSect="00371947"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D9295E">
        <w:rPr>
          <w:rFonts w:ascii="Arial" w:hAnsi="Arial" w:cs="Arial"/>
          <w:lang w:val="en-US"/>
        </w:rPr>
        <w:t xml:space="preserve">ax: axial; HASTE: </w:t>
      </w:r>
      <w:r w:rsidRPr="00D9295E">
        <w:rPr>
          <w:rFonts w:ascii="Arial" w:hAnsi="Arial" w:cs="Arial"/>
          <w:bCs/>
          <w:i/>
          <w:iCs/>
          <w:lang w:val="en-US"/>
        </w:rPr>
        <w:t>H</w:t>
      </w:r>
      <w:r w:rsidRPr="00D9295E">
        <w:rPr>
          <w:rFonts w:ascii="Arial" w:hAnsi="Arial" w:cs="Arial"/>
          <w:lang w:val="en-US"/>
        </w:rPr>
        <w:t>alf-Fourier </w:t>
      </w:r>
      <w:r w:rsidRPr="00D9295E">
        <w:rPr>
          <w:rFonts w:ascii="Arial" w:hAnsi="Arial" w:cs="Arial"/>
          <w:bCs/>
          <w:i/>
          <w:iCs/>
          <w:lang w:val="en-US"/>
        </w:rPr>
        <w:t>A</w:t>
      </w:r>
      <w:r w:rsidRPr="00D9295E">
        <w:rPr>
          <w:rFonts w:ascii="Arial" w:hAnsi="Arial" w:cs="Arial"/>
          <w:lang w:val="en-US"/>
        </w:rPr>
        <w:t>cquisition </w:t>
      </w:r>
      <w:r w:rsidRPr="00D9295E">
        <w:rPr>
          <w:rFonts w:ascii="Arial" w:hAnsi="Arial" w:cs="Arial"/>
          <w:bCs/>
          <w:i/>
          <w:iCs/>
          <w:lang w:val="en-US"/>
        </w:rPr>
        <w:t>S</w:t>
      </w:r>
      <w:r w:rsidRPr="00D9295E">
        <w:rPr>
          <w:rFonts w:ascii="Arial" w:hAnsi="Arial" w:cs="Arial"/>
          <w:lang w:val="en-US"/>
        </w:rPr>
        <w:t>ingle-shot </w:t>
      </w:r>
      <w:r w:rsidRPr="00D9295E">
        <w:rPr>
          <w:rFonts w:ascii="Arial" w:hAnsi="Arial" w:cs="Arial"/>
          <w:bCs/>
          <w:i/>
          <w:iCs/>
          <w:lang w:val="en-US"/>
        </w:rPr>
        <w:t>T</w:t>
      </w:r>
      <w:r w:rsidRPr="00D9295E">
        <w:rPr>
          <w:rFonts w:ascii="Arial" w:hAnsi="Arial" w:cs="Arial"/>
          <w:lang w:val="en-US"/>
        </w:rPr>
        <w:t xml:space="preserve">urbo </w:t>
      </w:r>
      <w:proofErr w:type="gramStart"/>
      <w:r w:rsidRPr="00D9295E">
        <w:rPr>
          <w:rFonts w:ascii="Arial" w:hAnsi="Arial" w:cs="Arial"/>
          <w:lang w:val="en-US"/>
        </w:rPr>
        <w:t>spin</w:t>
      </w:r>
      <w:proofErr w:type="gramEnd"/>
      <w:r w:rsidRPr="00D9295E">
        <w:rPr>
          <w:rFonts w:ascii="Arial" w:hAnsi="Arial" w:cs="Arial"/>
          <w:lang w:val="en-US"/>
        </w:rPr>
        <w:t> </w:t>
      </w:r>
      <w:r w:rsidRPr="00D9295E">
        <w:rPr>
          <w:rFonts w:ascii="Arial" w:hAnsi="Arial" w:cs="Arial"/>
          <w:bCs/>
          <w:i/>
          <w:iCs/>
          <w:lang w:val="en-US"/>
        </w:rPr>
        <w:t>E</w:t>
      </w:r>
      <w:r w:rsidRPr="00D9295E">
        <w:rPr>
          <w:rFonts w:ascii="Arial" w:hAnsi="Arial" w:cs="Arial"/>
          <w:lang w:val="en-US"/>
        </w:rPr>
        <w:t xml:space="preserve">cho imaging; </w:t>
      </w:r>
      <w:proofErr w:type="spellStart"/>
      <w:r w:rsidRPr="00D9295E">
        <w:rPr>
          <w:rFonts w:ascii="Arial" w:hAnsi="Arial" w:cs="Arial"/>
          <w:lang w:val="en-US"/>
        </w:rPr>
        <w:t>cor</w:t>
      </w:r>
      <w:proofErr w:type="spellEnd"/>
      <w:r w:rsidRPr="00D9295E">
        <w:rPr>
          <w:rFonts w:ascii="Arial" w:hAnsi="Arial" w:cs="Arial"/>
          <w:lang w:val="en-US"/>
        </w:rPr>
        <w:t xml:space="preserve">: coronal; FS: fat saturated; EPI: echo-planar imaging; DWI: diffusion-weighted imaging; VIBE: Volumetric interpolated breath-hold examination; CA: contrast agent; TR: repetition time; TE: echo time; </w:t>
      </w:r>
      <w:proofErr w:type="spellStart"/>
      <w:r w:rsidRPr="00D9295E">
        <w:rPr>
          <w:rFonts w:ascii="Arial" w:hAnsi="Arial" w:cs="Arial"/>
          <w:lang w:val="en-US"/>
        </w:rPr>
        <w:t>ms</w:t>
      </w:r>
      <w:proofErr w:type="spellEnd"/>
      <w:r w:rsidRPr="00D9295E">
        <w:rPr>
          <w:rFonts w:ascii="Arial" w:hAnsi="Arial" w:cs="Arial"/>
          <w:lang w:val="en-US"/>
        </w:rPr>
        <w:t>: milliseconds; FOV: field-of-view</w:t>
      </w:r>
    </w:p>
    <w:p w14:paraId="791AACE0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lang w:val="en-US"/>
        </w:rPr>
      </w:pPr>
    </w:p>
    <w:tbl>
      <w:tblPr>
        <w:tblStyle w:val="EinfacheTabelle5"/>
        <w:tblW w:w="9056" w:type="dxa"/>
        <w:jc w:val="center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CA2914" w:rsidRPr="00D9295E" w14:paraId="2DAC4A87" w14:textId="77777777" w:rsidTr="0068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4" w:type="dxa"/>
            <w:vAlign w:val="center"/>
          </w:tcPr>
          <w:p w14:paraId="0F6703D7" w14:textId="77777777" w:rsidR="00CA2914" w:rsidRPr="00D9295E" w:rsidRDefault="00CA2914" w:rsidP="006849B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4" w:type="dxa"/>
            <w:vAlign w:val="center"/>
          </w:tcPr>
          <w:p w14:paraId="7E0B0952" w14:textId="77777777" w:rsidR="00CA2914" w:rsidRPr="00D9295E" w:rsidRDefault="00CA2914" w:rsidP="00684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Responder</w:t>
            </w:r>
          </w:p>
          <w:p w14:paraId="0871942A" w14:textId="77777777" w:rsidR="00CA2914" w:rsidRPr="00D9295E" w:rsidRDefault="00CA2914" w:rsidP="00684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(mean ± SD)</w:t>
            </w:r>
          </w:p>
        </w:tc>
        <w:tc>
          <w:tcPr>
            <w:tcW w:w="2264" w:type="dxa"/>
            <w:vAlign w:val="center"/>
          </w:tcPr>
          <w:p w14:paraId="084DCF07" w14:textId="77777777" w:rsidR="00CA2914" w:rsidRPr="00D9295E" w:rsidRDefault="00CA2914" w:rsidP="00684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Non-responder</w:t>
            </w:r>
          </w:p>
          <w:p w14:paraId="2C0BE2C3" w14:textId="77777777" w:rsidR="00CA2914" w:rsidRPr="00D9295E" w:rsidRDefault="00CA2914" w:rsidP="00684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(mean ± SD)</w:t>
            </w:r>
          </w:p>
        </w:tc>
        <w:tc>
          <w:tcPr>
            <w:tcW w:w="2264" w:type="dxa"/>
            <w:vAlign w:val="center"/>
          </w:tcPr>
          <w:p w14:paraId="5F07148D" w14:textId="77777777" w:rsidR="00CA2914" w:rsidRPr="00D9295E" w:rsidRDefault="00CA2914" w:rsidP="00684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CA2914" w:rsidRPr="00D9295E" w14:paraId="56201380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45B3E6B3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SUVmax</w:t>
            </w:r>
            <w:proofErr w:type="spellEnd"/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264" w:type="dxa"/>
            <w:vAlign w:val="center"/>
          </w:tcPr>
          <w:p w14:paraId="21A629B6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0.24 ± 0.27</w:t>
            </w:r>
          </w:p>
        </w:tc>
        <w:tc>
          <w:tcPr>
            <w:tcW w:w="2264" w:type="dxa"/>
            <w:vAlign w:val="center"/>
          </w:tcPr>
          <w:p w14:paraId="7E9AE5EF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0.29 ± 0.22</w:t>
            </w:r>
          </w:p>
        </w:tc>
        <w:tc>
          <w:tcPr>
            <w:tcW w:w="2264" w:type="dxa"/>
            <w:vAlign w:val="center"/>
          </w:tcPr>
          <w:p w14:paraId="1773F238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0.5621</w:t>
            </w:r>
          </w:p>
        </w:tc>
      </w:tr>
      <w:tr w:rsidR="00CA2914" w:rsidRPr="00D9295E" w14:paraId="67558A56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27990871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SUV peak (1)</w:t>
            </w:r>
          </w:p>
        </w:tc>
        <w:tc>
          <w:tcPr>
            <w:tcW w:w="2264" w:type="dxa"/>
            <w:vAlign w:val="center"/>
          </w:tcPr>
          <w:p w14:paraId="34E5A2F4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0.28 ± 0.27</w:t>
            </w:r>
          </w:p>
        </w:tc>
        <w:tc>
          <w:tcPr>
            <w:tcW w:w="2264" w:type="dxa"/>
            <w:vAlign w:val="center"/>
          </w:tcPr>
          <w:p w14:paraId="68A9448D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0.26 ± 0.19</w:t>
            </w:r>
          </w:p>
        </w:tc>
        <w:tc>
          <w:tcPr>
            <w:tcW w:w="2264" w:type="dxa"/>
            <w:vAlign w:val="center"/>
          </w:tcPr>
          <w:p w14:paraId="40B7D43A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0.8744</w:t>
            </w:r>
          </w:p>
        </w:tc>
      </w:tr>
      <w:tr w:rsidR="00CA2914" w:rsidRPr="00D9295E" w14:paraId="67846D6B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57A8FA34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MTV50% (1)</w:t>
            </w:r>
          </w:p>
        </w:tc>
        <w:tc>
          <w:tcPr>
            <w:tcW w:w="2264" w:type="dxa"/>
            <w:vAlign w:val="center"/>
          </w:tcPr>
          <w:p w14:paraId="08938B7D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0.29 ± 0.31</w:t>
            </w:r>
          </w:p>
        </w:tc>
        <w:tc>
          <w:tcPr>
            <w:tcW w:w="2264" w:type="dxa"/>
            <w:vAlign w:val="center"/>
          </w:tcPr>
          <w:p w14:paraId="1F5AF1C9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0.47 ± 0.36</w:t>
            </w:r>
          </w:p>
        </w:tc>
        <w:tc>
          <w:tcPr>
            <w:tcW w:w="2264" w:type="dxa"/>
            <w:vAlign w:val="center"/>
          </w:tcPr>
          <w:p w14:paraId="7EFA6869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0.9580</w:t>
            </w:r>
          </w:p>
        </w:tc>
      </w:tr>
      <w:tr w:rsidR="00CA2914" w:rsidRPr="00D9295E" w14:paraId="0E1EB567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5E6683A7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TGL 50% (1)</w:t>
            </w:r>
          </w:p>
        </w:tc>
        <w:tc>
          <w:tcPr>
            <w:tcW w:w="2264" w:type="dxa"/>
            <w:vAlign w:val="center"/>
          </w:tcPr>
          <w:p w14:paraId="1DD57915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0.25 ± 0.21</w:t>
            </w:r>
          </w:p>
        </w:tc>
        <w:tc>
          <w:tcPr>
            <w:tcW w:w="2264" w:type="dxa"/>
            <w:vAlign w:val="center"/>
          </w:tcPr>
          <w:p w14:paraId="2192E52F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0.34 ± 0.40</w:t>
            </w:r>
          </w:p>
        </w:tc>
        <w:tc>
          <w:tcPr>
            <w:tcW w:w="2264" w:type="dxa"/>
            <w:vAlign w:val="center"/>
          </w:tcPr>
          <w:p w14:paraId="1B6F0BA7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0.9580</w:t>
            </w:r>
          </w:p>
        </w:tc>
      </w:tr>
      <w:tr w:rsidR="00CA2914" w:rsidRPr="00D9295E" w14:paraId="17F736AE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4B21D894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MTV 2,5 (1)</w:t>
            </w:r>
          </w:p>
        </w:tc>
        <w:tc>
          <w:tcPr>
            <w:tcW w:w="2264" w:type="dxa"/>
            <w:vAlign w:val="center"/>
          </w:tcPr>
          <w:p w14:paraId="6C7E8D64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0.40 ± 0.27</w:t>
            </w:r>
          </w:p>
        </w:tc>
        <w:tc>
          <w:tcPr>
            <w:tcW w:w="2264" w:type="dxa"/>
            <w:vAlign w:val="center"/>
          </w:tcPr>
          <w:p w14:paraId="4E03172F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0.44 ± 0.37</w:t>
            </w:r>
          </w:p>
        </w:tc>
        <w:tc>
          <w:tcPr>
            <w:tcW w:w="2264" w:type="dxa"/>
            <w:vAlign w:val="center"/>
          </w:tcPr>
          <w:p w14:paraId="679D489A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0.9580</w:t>
            </w:r>
          </w:p>
        </w:tc>
      </w:tr>
      <w:tr w:rsidR="00CA2914" w:rsidRPr="00D9295E" w14:paraId="0387F051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01F978EC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TLG 2,5 (1)</w:t>
            </w:r>
          </w:p>
        </w:tc>
        <w:tc>
          <w:tcPr>
            <w:tcW w:w="2264" w:type="dxa"/>
            <w:vAlign w:val="center"/>
          </w:tcPr>
          <w:p w14:paraId="5AA0A2B1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0.26 ± 0.2</w:t>
            </w:r>
          </w:p>
        </w:tc>
        <w:tc>
          <w:tcPr>
            <w:tcW w:w="2264" w:type="dxa"/>
            <w:vAlign w:val="center"/>
          </w:tcPr>
          <w:p w14:paraId="5F8E398B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0.36 ± 0.38</w:t>
            </w:r>
          </w:p>
        </w:tc>
        <w:tc>
          <w:tcPr>
            <w:tcW w:w="2264" w:type="dxa"/>
            <w:vAlign w:val="center"/>
          </w:tcPr>
          <w:p w14:paraId="6E4260C9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0.7921</w:t>
            </w:r>
          </w:p>
        </w:tc>
      </w:tr>
      <w:tr w:rsidR="00CA2914" w:rsidRPr="00D9295E" w14:paraId="2BF11665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111AF91E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SUVmax</w:t>
            </w:r>
            <w:proofErr w:type="spellEnd"/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2264" w:type="dxa"/>
            <w:vAlign w:val="center"/>
          </w:tcPr>
          <w:p w14:paraId="52D3B563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0.31 ± 0.28</w:t>
            </w:r>
          </w:p>
        </w:tc>
        <w:tc>
          <w:tcPr>
            <w:tcW w:w="2264" w:type="dxa"/>
            <w:vAlign w:val="center"/>
          </w:tcPr>
          <w:p w14:paraId="1EE2675E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0.30 ± 0.28</w:t>
            </w:r>
          </w:p>
        </w:tc>
        <w:tc>
          <w:tcPr>
            <w:tcW w:w="2264" w:type="dxa"/>
            <w:vAlign w:val="center"/>
          </w:tcPr>
          <w:p w14:paraId="6EA430CD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0.7921</w:t>
            </w:r>
          </w:p>
        </w:tc>
      </w:tr>
      <w:tr w:rsidR="00CA2914" w:rsidRPr="00D9295E" w14:paraId="3D3CC9BC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5AF4E626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SUV peak (2)</w:t>
            </w:r>
          </w:p>
        </w:tc>
        <w:tc>
          <w:tcPr>
            <w:tcW w:w="2264" w:type="dxa"/>
            <w:vAlign w:val="center"/>
          </w:tcPr>
          <w:p w14:paraId="002E2842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0.30 ± 0.26</w:t>
            </w:r>
          </w:p>
        </w:tc>
        <w:tc>
          <w:tcPr>
            <w:tcW w:w="2264" w:type="dxa"/>
            <w:vAlign w:val="center"/>
          </w:tcPr>
          <w:p w14:paraId="05CB2766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0.31 ± 0.32</w:t>
            </w:r>
          </w:p>
        </w:tc>
        <w:tc>
          <w:tcPr>
            <w:tcW w:w="2264" w:type="dxa"/>
            <w:vAlign w:val="center"/>
          </w:tcPr>
          <w:p w14:paraId="5DB3291B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0.7921</w:t>
            </w:r>
          </w:p>
        </w:tc>
      </w:tr>
      <w:tr w:rsidR="00CA2914" w:rsidRPr="00D9295E" w14:paraId="06D4675C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60140B95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MTV50% (2)</w:t>
            </w:r>
          </w:p>
        </w:tc>
        <w:tc>
          <w:tcPr>
            <w:tcW w:w="2264" w:type="dxa"/>
            <w:vAlign w:val="center"/>
          </w:tcPr>
          <w:p w14:paraId="7C0D4E9B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0.20 ± 0.17</w:t>
            </w:r>
          </w:p>
        </w:tc>
        <w:tc>
          <w:tcPr>
            <w:tcW w:w="2264" w:type="dxa"/>
            <w:vAlign w:val="center"/>
          </w:tcPr>
          <w:p w14:paraId="258D9DB3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0.65 ± 0.34</w:t>
            </w:r>
          </w:p>
        </w:tc>
        <w:tc>
          <w:tcPr>
            <w:tcW w:w="2264" w:type="dxa"/>
            <w:vAlign w:val="center"/>
          </w:tcPr>
          <w:p w14:paraId="44E7AC93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0.0177</w:t>
            </w:r>
          </w:p>
        </w:tc>
      </w:tr>
      <w:tr w:rsidR="00CA2914" w:rsidRPr="00D9295E" w14:paraId="708117C5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1D8DF3BD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TLG 50% (2)</w:t>
            </w:r>
          </w:p>
        </w:tc>
        <w:tc>
          <w:tcPr>
            <w:tcW w:w="2264" w:type="dxa"/>
            <w:vAlign w:val="center"/>
          </w:tcPr>
          <w:p w14:paraId="69CC5FCA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0.13 ± 0.12</w:t>
            </w:r>
          </w:p>
        </w:tc>
        <w:tc>
          <w:tcPr>
            <w:tcW w:w="2264" w:type="dxa"/>
            <w:vAlign w:val="center"/>
          </w:tcPr>
          <w:p w14:paraId="6083C92F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0.40 ± 0.36</w:t>
            </w:r>
          </w:p>
        </w:tc>
        <w:tc>
          <w:tcPr>
            <w:tcW w:w="2264" w:type="dxa"/>
            <w:vAlign w:val="center"/>
          </w:tcPr>
          <w:p w14:paraId="3AC9F321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0.0820</w:t>
            </w:r>
          </w:p>
        </w:tc>
      </w:tr>
      <w:tr w:rsidR="00CA2914" w:rsidRPr="00D9295E" w14:paraId="19235319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2379D827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MTV 2,5 (2)</w:t>
            </w:r>
          </w:p>
        </w:tc>
        <w:tc>
          <w:tcPr>
            <w:tcW w:w="2264" w:type="dxa"/>
            <w:vAlign w:val="center"/>
          </w:tcPr>
          <w:p w14:paraId="1466261D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0.23 ± 0.22</w:t>
            </w:r>
          </w:p>
        </w:tc>
        <w:tc>
          <w:tcPr>
            <w:tcW w:w="2264" w:type="dxa"/>
            <w:vAlign w:val="center"/>
          </w:tcPr>
          <w:p w14:paraId="2DD0E720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0.41 ± 0.36</w:t>
            </w:r>
          </w:p>
        </w:tc>
        <w:tc>
          <w:tcPr>
            <w:tcW w:w="2264" w:type="dxa"/>
            <w:vAlign w:val="center"/>
          </w:tcPr>
          <w:p w14:paraId="423F8021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0.1876</w:t>
            </w:r>
          </w:p>
        </w:tc>
      </w:tr>
      <w:tr w:rsidR="00CA2914" w:rsidRPr="00D9295E" w14:paraId="381D05FA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7B37A924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TLG 2,5 (2)</w:t>
            </w:r>
          </w:p>
        </w:tc>
        <w:tc>
          <w:tcPr>
            <w:tcW w:w="2264" w:type="dxa"/>
            <w:vAlign w:val="center"/>
          </w:tcPr>
          <w:p w14:paraId="2160B9B9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0.17 ± 0.19</w:t>
            </w:r>
          </w:p>
        </w:tc>
        <w:tc>
          <w:tcPr>
            <w:tcW w:w="2264" w:type="dxa"/>
            <w:vAlign w:val="center"/>
          </w:tcPr>
          <w:p w14:paraId="16C1BA90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0.31 ± 0.39</w:t>
            </w:r>
          </w:p>
        </w:tc>
        <w:tc>
          <w:tcPr>
            <w:tcW w:w="2264" w:type="dxa"/>
            <w:vAlign w:val="center"/>
          </w:tcPr>
          <w:p w14:paraId="211EDD50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0.4292</w:t>
            </w:r>
          </w:p>
        </w:tc>
      </w:tr>
      <w:tr w:rsidR="00CA2914" w:rsidRPr="00D9295E" w14:paraId="2F8BB43C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4C7B1F56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ACD mean (1)</w:t>
            </w:r>
          </w:p>
        </w:tc>
        <w:tc>
          <w:tcPr>
            <w:tcW w:w="2264" w:type="dxa"/>
            <w:vAlign w:val="center"/>
          </w:tcPr>
          <w:p w14:paraId="2A6E0614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0.48 ± 0.28</w:t>
            </w:r>
          </w:p>
        </w:tc>
        <w:tc>
          <w:tcPr>
            <w:tcW w:w="2264" w:type="dxa"/>
            <w:vAlign w:val="center"/>
          </w:tcPr>
          <w:p w14:paraId="59EBECF4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0.58 ± 0.28</w:t>
            </w:r>
          </w:p>
        </w:tc>
        <w:tc>
          <w:tcPr>
            <w:tcW w:w="2264" w:type="dxa"/>
            <w:vAlign w:val="center"/>
          </w:tcPr>
          <w:p w14:paraId="4AEE359D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0.6353</w:t>
            </w:r>
          </w:p>
        </w:tc>
      </w:tr>
      <w:tr w:rsidR="00CA2914" w:rsidRPr="00D9295E" w14:paraId="1CA23968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1D8E205D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ADC min (1)</w:t>
            </w:r>
          </w:p>
        </w:tc>
        <w:tc>
          <w:tcPr>
            <w:tcW w:w="2264" w:type="dxa"/>
            <w:vAlign w:val="center"/>
          </w:tcPr>
          <w:p w14:paraId="707C5CF5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0.52 ± 0.30</w:t>
            </w:r>
          </w:p>
        </w:tc>
        <w:tc>
          <w:tcPr>
            <w:tcW w:w="2264" w:type="dxa"/>
            <w:vAlign w:val="center"/>
          </w:tcPr>
          <w:p w14:paraId="6E0726A7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0.76 ± 0.26</w:t>
            </w:r>
          </w:p>
        </w:tc>
        <w:tc>
          <w:tcPr>
            <w:tcW w:w="2264" w:type="dxa"/>
            <w:vAlign w:val="center"/>
          </w:tcPr>
          <w:p w14:paraId="2362B40E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0.1023</w:t>
            </w:r>
          </w:p>
        </w:tc>
      </w:tr>
      <w:tr w:rsidR="00CA2914" w:rsidRPr="00D9295E" w14:paraId="6C354104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168106BA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ADC max (1)</w:t>
            </w:r>
          </w:p>
        </w:tc>
        <w:tc>
          <w:tcPr>
            <w:tcW w:w="2264" w:type="dxa"/>
            <w:vAlign w:val="center"/>
          </w:tcPr>
          <w:p w14:paraId="6EEBCD08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0.34 ± 0.26</w:t>
            </w:r>
          </w:p>
        </w:tc>
        <w:tc>
          <w:tcPr>
            <w:tcW w:w="2264" w:type="dxa"/>
            <w:vAlign w:val="center"/>
          </w:tcPr>
          <w:p w14:paraId="6725A656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0.26 ± 0.21</w:t>
            </w:r>
          </w:p>
        </w:tc>
        <w:tc>
          <w:tcPr>
            <w:tcW w:w="2264" w:type="dxa"/>
            <w:vAlign w:val="center"/>
          </w:tcPr>
          <w:p w14:paraId="2A6B29F4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0.4932</w:t>
            </w:r>
          </w:p>
        </w:tc>
      </w:tr>
      <w:tr w:rsidR="00CA2914" w:rsidRPr="00D9295E" w14:paraId="5FE2BD22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520C2C51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ADC mean (2)</w:t>
            </w:r>
          </w:p>
        </w:tc>
        <w:tc>
          <w:tcPr>
            <w:tcW w:w="2264" w:type="dxa"/>
            <w:vAlign w:val="center"/>
          </w:tcPr>
          <w:p w14:paraId="380CEEA0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0.51 ± 0.31</w:t>
            </w:r>
          </w:p>
        </w:tc>
        <w:tc>
          <w:tcPr>
            <w:tcW w:w="2264" w:type="dxa"/>
            <w:vAlign w:val="center"/>
          </w:tcPr>
          <w:p w14:paraId="632B49BD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0.24 ± 0.20</w:t>
            </w:r>
          </w:p>
        </w:tc>
        <w:tc>
          <w:tcPr>
            <w:tcW w:w="2264" w:type="dxa"/>
            <w:vAlign w:val="center"/>
          </w:tcPr>
          <w:p w14:paraId="0EB8BACB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0.1264</w:t>
            </w:r>
          </w:p>
        </w:tc>
      </w:tr>
      <w:tr w:rsidR="00CA2914" w:rsidRPr="00D9295E" w14:paraId="01A170E7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187EB4D2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ADC min (2)</w:t>
            </w:r>
          </w:p>
        </w:tc>
        <w:tc>
          <w:tcPr>
            <w:tcW w:w="2264" w:type="dxa"/>
            <w:vAlign w:val="center"/>
          </w:tcPr>
          <w:p w14:paraId="4FEB8C3E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0.65 ± 0.22</w:t>
            </w:r>
          </w:p>
        </w:tc>
        <w:tc>
          <w:tcPr>
            <w:tcW w:w="2264" w:type="dxa"/>
            <w:vAlign w:val="center"/>
          </w:tcPr>
          <w:p w14:paraId="1A7009F5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0.38 ± 0.26</w:t>
            </w:r>
          </w:p>
        </w:tc>
        <w:tc>
          <w:tcPr>
            <w:tcW w:w="2264" w:type="dxa"/>
            <w:vAlign w:val="center"/>
          </w:tcPr>
          <w:p w14:paraId="573AB0E7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0.1264</w:t>
            </w:r>
          </w:p>
        </w:tc>
      </w:tr>
      <w:tr w:rsidR="00CA2914" w:rsidRPr="00D9295E" w14:paraId="4FCBDC68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2974FF5F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ADC max (2)</w:t>
            </w:r>
          </w:p>
        </w:tc>
        <w:tc>
          <w:tcPr>
            <w:tcW w:w="2264" w:type="dxa"/>
            <w:vAlign w:val="center"/>
          </w:tcPr>
          <w:p w14:paraId="0875B4DC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0.58 ± 0.31</w:t>
            </w:r>
          </w:p>
        </w:tc>
        <w:tc>
          <w:tcPr>
            <w:tcW w:w="2264" w:type="dxa"/>
            <w:vAlign w:val="center"/>
          </w:tcPr>
          <w:p w14:paraId="26A816A1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0.52 ± 0.22</w:t>
            </w:r>
          </w:p>
        </w:tc>
        <w:tc>
          <w:tcPr>
            <w:tcW w:w="2264" w:type="dxa"/>
            <w:vAlign w:val="center"/>
          </w:tcPr>
          <w:p w14:paraId="1978F140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0.7122</w:t>
            </w:r>
          </w:p>
        </w:tc>
      </w:tr>
      <w:tr w:rsidR="00CA2914" w:rsidRPr="00D9295E" w14:paraId="388BA1D3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5AD37428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Age </w:t>
            </w:r>
          </w:p>
        </w:tc>
        <w:tc>
          <w:tcPr>
            <w:tcW w:w="2264" w:type="dxa"/>
            <w:vAlign w:val="center"/>
          </w:tcPr>
          <w:p w14:paraId="7D1C1A1D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0.79 ± 0.22</w:t>
            </w:r>
          </w:p>
        </w:tc>
        <w:tc>
          <w:tcPr>
            <w:tcW w:w="2264" w:type="dxa"/>
            <w:vAlign w:val="center"/>
          </w:tcPr>
          <w:p w14:paraId="3A22C6D8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0.38 ± 0.25</w:t>
            </w:r>
          </w:p>
        </w:tc>
        <w:tc>
          <w:tcPr>
            <w:tcW w:w="2264" w:type="dxa"/>
            <w:vAlign w:val="center"/>
          </w:tcPr>
          <w:p w14:paraId="63330D21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0.0227</w:t>
            </w:r>
          </w:p>
        </w:tc>
      </w:tr>
      <w:tr w:rsidR="00CA2914" w:rsidRPr="00D9295E" w14:paraId="3AC0C210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5FCBF8A3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CEA</w:t>
            </w:r>
          </w:p>
        </w:tc>
        <w:tc>
          <w:tcPr>
            <w:tcW w:w="2264" w:type="dxa"/>
            <w:vAlign w:val="center"/>
          </w:tcPr>
          <w:p w14:paraId="2F0E6F04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0.09 ± 0.29</w:t>
            </w:r>
          </w:p>
        </w:tc>
        <w:tc>
          <w:tcPr>
            <w:tcW w:w="2264" w:type="dxa"/>
            <w:vAlign w:val="center"/>
          </w:tcPr>
          <w:p w14:paraId="57C5B236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0.09 ± 0.11</w:t>
            </w:r>
          </w:p>
        </w:tc>
        <w:tc>
          <w:tcPr>
            <w:tcW w:w="2264" w:type="dxa"/>
            <w:vAlign w:val="center"/>
          </w:tcPr>
          <w:p w14:paraId="56529F94" w14:textId="77777777" w:rsidR="00CA2914" w:rsidRPr="00D9295E" w:rsidRDefault="00CA2914" w:rsidP="00684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0.0782</w:t>
            </w:r>
          </w:p>
        </w:tc>
      </w:tr>
      <w:tr w:rsidR="00CA2914" w:rsidRPr="00D9295E" w14:paraId="29718F2B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vAlign w:val="center"/>
          </w:tcPr>
          <w:p w14:paraId="0FE1BCBA" w14:textId="77777777" w:rsidR="00CA2914" w:rsidRPr="00D9295E" w:rsidRDefault="00CA2914" w:rsidP="006849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sz w:val="20"/>
                <w:szCs w:val="20"/>
                <w:lang w:val="en-US"/>
              </w:rPr>
              <w:t>CA19-9</w:t>
            </w:r>
          </w:p>
        </w:tc>
        <w:tc>
          <w:tcPr>
            <w:tcW w:w="2264" w:type="dxa"/>
            <w:vAlign w:val="center"/>
          </w:tcPr>
          <w:p w14:paraId="6211E809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0.13 ± 0.28</w:t>
            </w:r>
          </w:p>
        </w:tc>
        <w:tc>
          <w:tcPr>
            <w:tcW w:w="2264" w:type="dxa"/>
            <w:vAlign w:val="center"/>
          </w:tcPr>
          <w:p w14:paraId="63FF9183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0.48 ± 0.34</w:t>
            </w:r>
          </w:p>
        </w:tc>
        <w:tc>
          <w:tcPr>
            <w:tcW w:w="2264" w:type="dxa"/>
            <w:vAlign w:val="center"/>
          </w:tcPr>
          <w:p w14:paraId="5E7E2C2C" w14:textId="77777777" w:rsidR="00CA2914" w:rsidRPr="00D9295E" w:rsidRDefault="00CA2914" w:rsidP="00684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0.1547</w:t>
            </w:r>
          </w:p>
        </w:tc>
      </w:tr>
    </w:tbl>
    <w:p w14:paraId="048E2FC7" w14:textId="77777777" w:rsidR="00CA2914" w:rsidRPr="00D9295E" w:rsidRDefault="00CA2914" w:rsidP="00CA2914">
      <w:pPr>
        <w:spacing w:line="360" w:lineRule="auto"/>
        <w:rPr>
          <w:rFonts w:ascii="Arial" w:hAnsi="Arial" w:cs="Arial"/>
          <w:lang w:val="en-US"/>
        </w:rPr>
      </w:pPr>
    </w:p>
    <w:p w14:paraId="5DCB9FE3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lang w:val="en-US"/>
        </w:rPr>
      </w:pPr>
      <w:r w:rsidRPr="00D9295E">
        <w:rPr>
          <w:rFonts w:ascii="Arial" w:hAnsi="Arial" w:cs="Arial"/>
          <w:b/>
          <w:lang w:val="en-US"/>
        </w:rPr>
        <w:t>A. 3</w:t>
      </w:r>
      <w:r w:rsidRPr="00D9295E">
        <w:rPr>
          <w:rFonts w:ascii="Arial" w:hAnsi="Arial" w:cs="Arial"/>
          <w:lang w:val="en-US"/>
        </w:rPr>
        <w:t xml:space="preserve"> displays PET/MRI parameters from the first (1) and second (2) PET/MRI examination. Assessment of possible confounding PET/MRI parameters as well as clinical features (Age, CEA and CA 19-9) was performed using the Mann-Whitney U test.</w:t>
      </w:r>
    </w:p>
    <w:p w14:paraId="67C1A2F3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lang w:val="en-US"/>
        </w:rPr>
      </w:pPr>
    </w:p>
    <w:p w14:paraId="0A953C2B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lang w:val="en-US"/>
        </w:rPr>
      </w:pPr>
    </w:p>
    <w:tbl>
      <w:tblPr>
        <w:tblStyle w:val="EinfacheTabelle5"/>
        <w:tblW w:w="9068" w:type="dxa"/>
        <w:jc w:val="center"/>
        <w:tblLook w:val="04A0" w:firstRow="1" w:lastRow="0" w:firstColumn="1" w:lastColumn="0" w:noHBand="0" w:noVBand="1"/>
      </w:tblPr>
      <w:tblGrid>
        <w:gridCol w:w="2253"/>
        <w:gridCol w:w="2249"/>
        <w:gridCol w:w="1470"/>
        <w:gridCol w:w="1832"/>
        <w:gridCol w:w="1264"/>
      </w:tblGrid>
      <w:tr w:rsidR="00CA2914" w:rsidRPr="00D9295E" w14:paraId="2B2DFA39" w14:textId="77777777" w:rsidTr="0068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3" w:type="dxa"/>
            <w:vAlign w:val="center"/>
          </w:tcPr>
          <w:p w14:paraId="1A31E2B7" w14:textId="77777777" w:rsidR="00CA2914" w:rsidRPr="00D9295E" w:rsidRDefault="00CA2914" w:rsidP="006849BA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vAlign w:val="center"/>
          </w:tcPr>
          <w:p w14:paraId="06D33697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470" w:type="dxa"/>
            <w:vAlign w:val="center"/>
          </w:tcPr>
          <w:p w14:paraId="6FE1E37E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Responder</w:t>
            </w:r>
          </w:p>
          <w:p w14:paraId="47E15228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(n = 12)</w:t>
            </w:r>
          </w:p>
        </w:tc>
        <w:tc>
          <w:tcPr>
            <w:tcW w:w="1832" w:type="dxa"/>
            <w:vAlign w:val="center"/>
          </w:tcPr>
          <w:p w14:paraId="2A19AC43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Non-responder</w:t>
            </w:r>
          </w:p>
          <w:p w14:paraId="35F2571D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(n = 5)</w:t>
            </w:r>
          </w:p>
        </w:tc>
        <w:tc>
          <w:tcPr>
            <w:tcW w:w="1264" w:type="dxa"/>
            <w:vAlign w:val="center"/>
          </w:tcPr>
          <w:p w14:paraId="2D04C608" w14:textId="77777777" w:rsidR="00CA2914" w:rsidRPr="00D9295E" w:rsidRDefault="00CA2914" w:rsidP="006849BA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CA2914" w:rsidRPr="00D9295E" w14:paraId="3A4BD785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Align w:val="center"/>
          </w:tcPr>
          <w:p w14:paraId="1DE523F7" w14:textId="77777777" w:rsidR="00CA2914" w:rsidRPr="00D9295E" w:rsidRDefault="00CA2914" w:rsidP="006849BA">
            <w:pPr>
              <w:spacing w:line="36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2249" w:type="dxa"/>
            <w:vAlign w:val="center"/>
          </w:tcPr>
          <w:p w14:paraId="7AA18A9A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  <w:p w14:paraId="224F27EA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70" w:type="dxa"/>
            <w:vAlign w:val="center"/>
          </w:tcPr>
          <w:p w14:paraId="51BAFA1F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9 (75%)</w:t>
            </w:r>
          </w:p>
          <w:p w14:paraId="0D1A675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 (25%)</w:t>
            </w:r>
          </w:p>
        </w:tc>
        <w:tc>
          <w:tcPr>
            <w:tcW w:w="1832" w:type="dxa"/>
            <w:vAlign w:val="center"/>
          </w:tcPr>
          <w:p w14:paraId="48FBDDB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 (20%)</w:t>
            </w:r>
          </w:p>
          <w:p w14:paraId="017545D2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 (80%)</w:t>
            </w:r>
          </w:p>
        </w:tc>
        <w:tc>
          <w:tcPr>
            <w:tcW w:w="1264" w:type="dxa"/>
            <w:vAlign w:val="center"/>
          </w:tcPr>
          <w:p w14:paraId="0B042D5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0.10</w:t>
            </w:r>
          </w:p>
        </w:tc>
      </w:tr>
      <w:tr w:rsidR="00CA2914" w:rsidRPr="00D9295E" w14:paraId="67424F92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Align w:val="center"/>
          </w:tcPr>
          <w:p w14:paraId="0A97CCCB" w14:textId="77777777" w:rsidR="00CA2914" w:rsidRPr="00D9295E" w:rsidRDefault="00CA2914" w:rsidP="006849BA">
            <w:pPr>
              <w:spacing w:line="36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Tumor size</w:t>
            </w:r>
          </w:p>
        </w:tc>
        <w:tc>
          <w:tcPr>
            <w:tcW w:w="2249" w:type="dxa"/>
            <w:vAlign w:val="center"/>
          </w:tcPr>
          <w:p w14:paraId="7C983DD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cT1</w:t>
            </w:r>
          </w:p>
          <w:p w14:paraId="778966D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cT2</w:t>
            </w:r>
          </w:p>
          <w:p w14:paraId="6D3B9BE0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cT3</w:t>
            </w:r>
          </w:p>
          <w:p w14:paraId="22D7C2C2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cT4</w:t>
            </w:r>
          </w:p>
        </w:tc>
        <w:tc>
          <w:tcPr>
            <w:tcW w:w="1470" w:type="dxa"/>
            <w:vAlign w:val="center"/>
          </w:tcPr>
          <w:p w14:paraId="4A5752FC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  <w:p w14:paraId="1317647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 (25%)</w:t>
            </w:r>
          </w:p>
          <w:p w14:paraId="0375F7A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 (8%)</w:t>
            </w:r>
          </w:p>
          <w:p w14:paraId="5FABAEDE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8 (67%)</w:t>
            </w:r>
          </w:p>
        </w:tc>
        <w:tc>
          <w:tcPr>
            <w:tcW w:w="1832" w:type="dxa"/>
            <w:vAlign w:val="center"/>
          </w:tcPr>
          <w:p w14:paraId="586060A0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  <w:p w14:paraId="0467BC23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 (40%)</w:t>
            </w:r>
          </w:p>
          <w:p w14:paraId="1AA92E4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  <w:p w14:paraId="67624AE3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 (60%)</w:t>
            </w:r>
          </w:p>
        </w:tc>
        <w:tc>
          <w:tcPr>
            <w:tcW w:w="1264" w:type="dxa"/>
            <w:vAlign w:val="center"/>
          </w:tcPr>
          <w:p w14:paraId="40DFDD8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0.60</w:t>
            </w:r>
          </w:p>
        </w:tc>
      </w:tr>
      <w:tr w:rsidR="00CA2914" w:rsidRPr="00D9295E" w14:paraId="2A469033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Align w:val="center"/>
          </w:tcPr>
          <w:p w14:paraId="75F37179" w14:textId="77777777" w:rsidR="00CA2914" w:rsidRPr="00D9295E" w:rsidRDefault="00CA2914" w:rsidP="006849BA">
            <w:pPr>
              <w:spacing w:line="36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Lymph node status</w:t>
            </w:r>
          </w:p>
        </w:tc>
        <w:tc>
          <w:tcPr>
            <w:tcW w:w="2249" w:type="dxa"/>
            <w:vAlign w:val="center"/>
          </w:tcPr>
          <w:p w14:paraId="17551C3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cN0</w:t>
            </w:r>
          </w:p>
          <w:p w14:paraId="3727CA70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cN1</w:t>
            </w:r>
          </w:p>
          <w:p w14:paraId="0C8DF279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cN2</w:t>
            </w:r>
          </w:p>
        </w:tc>
        <w:tc>
          <w:tcPr>
            <w:tcW w:w="1470" w:type="dxa"/>
            <w:vAlign w:val="center"/>
          </w:tcPr>
          <w:p w14:paraId="3C9BBFE2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 (42%)</w:t>
            </w:r>
          </w:p>
          <w:p w14:paraId="3E1D1638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3 (25%)</w:t>
            </w:r>
          </w:p>
          <w:p w14:paraId="7CEA495E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 (33%)</w:t>
            </w:r>
          </w:p>
        </w:tc>
        <w:tc>
          <w:tcPr>
            <w:tcW w:w="1832" w:type="dxa"/>
            <w:vAlign w:val="center"/>
          </w:tcPr>
          <w:p w14:paraId="430D91F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 (20%)</w:t>
            </w:r>
          </w:p>
          <w:p w14:paraId="7AA64DAE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 (40%)</w:t>
            </w:r>
          </w:p>
          <w:p w14:paraId="58FF03F2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2 (40%)</w:t>
            </w:r>
          </w:p>
        </w:tc>
        <w:tc>
          <w:tcPr>
            <w:tcW w:w="1264" w:type="dxa"/>
            <w:vAlign w:val="center"/>
          </w:tcPr>
          <w:p w14:paraId="4A473EF1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0.60</w:t>
            </w:r>
          </w:p>
        </w:tc>
      </w:tr>
      <w:tr w:rsidR="00CA2914" w:rsidRPr="00D9295E" w14:paraId="006658DC" w14:textId="77777777" w:rsidTr="006849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Align w:val="center"/>
          </w:tcPr>
          <w:p w14:paraId="7016B689" w14:textId="77777777" w:rsidR="00CA2914" w:rsidRPr="00D9295E" w:rsidRDefault="00CA2914" w:rsidP="006849BA">
            <w:pPr>
              <w:spacing w:line="36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Metastasis</w:t>
            </w:r>
          </w:p>
        </w:tc>
        <w:tc>
          <w:tcPr>
            <w:tcW w:w="2249" w:type="dxa"/>
            <w:vAlign w:val="center"/>
          </w:tcPr>
          <w:p w14:paraId="3265A6F2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cM0</w:t>
            </w:r>
          </w:p>
          <w:p w14:paraId="00C27174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cM1</w:t>
            </w:r>
          </w:p>
        </w:tc>
        <w:tc>
          <w:tcPr>
            <w:tcW w:w="1470" w:type="dxa"/>
            <w:vAlign w:val="center"/>
          </w:tcPr>
          <w:p w14:paraId="3E8712F5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6 (50%)</w:t>
            </w:r>
          </w:p>
          <w:p w14:paraId="5EEF1419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6 (50%)</w:t>
            </w:r>
          </w:p>
        </w:tc>
        <w:tc>
          <w:tcPr>
            <w:tcW w:w="1832" w:type="dxa"/>
            <w:vAlign w:val="center"/>
          </w:tcPr>
          <w:p w14:paraId="14E2F93F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 (20%)</w:t>
            </w:r>
          </w:p>
          <w:p w14:paraId="6280AA85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 (80%)</w:t>
            </w:r>
          </w:p>
        </w:tc>
        <w:tc>
          <w:tcPr>
            <w:tcW w:w="1264" w:type="dxa"/>
            <w:vAlign w:val="center"/>
          </w:tcPr>
          <w:p w14:paraId="7D1A98D7" w14:textId="77777777" w:rsidR="00CA2914" w:rsidRPr="00D9295E" w:rsidRDefault="00CA2914" w:rsidP="006849BA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</w:tr>
      <w:tr w:rsidR="00CA2914" w:rsidRPr="00D9295E" w14:paraId="0103FBB4" w14:textId="77777777" w:rsidTr="0068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Align w:val="center"/>
          </w:tcPr>
          <w:p w14:paraId="716BA0FF" w14:textId="77777777" w:rsidR="00CA2914" w:rsidRPr="00D9295E" w:rsidRDefault="00CA2914" w:rsidP="006849BA">
            <w:pPr>
              <w:spacing w:line="36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of chemotherapy</w:t>
            </w:r>
          </w:p>
        </w:tc>
        <w:tc>
          <w:tcPr>
            <w:tcW w:w="2249" w:type="dxa"/>
            <w:vAlign w:val="center"/>
          </w:tcPr>
          <w:p w14:paraId="490C55DE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FOLFIRINOX</w:t>
            </w:r>
          </w:p>
          <w:p w14:paraId="7946F7D7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gemcitabine based</w:t>
            </w:r>
          </w:p>
        </w:tc>
        <w:tc>
          <w:tcPr>
            <w:tcW w:w="1470" w:type="dxa"/>
            <w:vAlign w:val="center"/>
          </w:tcPr>
          <w:p w14:paraId="329EFD46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7 (58%)</w:t>
            </w:r>
          </w:p>
          <w:p w14:paraId="18673E2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5 (42%)</w:t>
            </w:r>
          </w:p>
        </w:tc>
        <w:tc>
          <w:tcPr>
            <w:tcW w:w="1832" w:type="dxa"/>
            <w:vAlign w:val="center"/>
          </w:tcPr>
          <w:p w14:paraId="4BC8EC5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4 (80%)</w:t>
            </w:r>
          </w:p>
          <w:p w14:paraId="76205F1C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1 (20%)</w:t>
            </w:r>
          </w:p>
        </w:tc>
        <w:tc>
          <w:tcPr>
            <w:tcW w:w="1264" w:type="dxa"/>
            <w:vAlign w:val="center"/>
          </w:tcPr>
          <w:p w14:paraId="52ED9F45" w14:textId="77777777" w:rsidR="00CA2914" w:rsidRPr="00D9295E" w:rsidRDefault="00CA2914" w:rsidP="006849BA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295E">
              <w:rPr>
                <w:rFonts w:ascii="Arial" w:hAnsi="Arial" w:cs="Arial"/>
                <w:sz w:val="20"/>
                <w:szCs w:val="20"/>
                <w:lang w:val="en-US"/>
              </w:rPr>
              <w:t>0.60</w:t>
            </w:r>
          </w:p>
        </w:tc>
      </w:tr>
    </w:tbl>
    <w:p w14:paraId="10DBCF82" w14:textId="77777777" w:rsidR="00CA2914" w:rsidRPr="00D9295E" w:rsidRDefault="00CA2914" w:rsidP="00CA2914">
      <w:pPr>
        <w:spacing w:line="360" w:lineRule="auto"/>
        <w:outlineLvl w:val="0"/>
        <w:rPr>
          <w:rFonts w:ascii="Arial" w:hAnsi="Arial" w:cs="Arial"/>
          <w:lang w:val="en-US"/>
        </w:rPr>
      </w:pPr>
      <w:r w:rsidRPr="00D9295E">
        <w:rPr>
          <w:rFonts w:ascii="Arial" w:hAnsi="Arial" w:cs="Arial"/>
          <w:b/>
          <w:lang w:val="en-US"/>
        </w:rPr>
        <w:t xml:space="preserve">A. 4 </w:t>
      </w:r>
      <w:r w:rsidRPr="00D9295E">
        <w:rPr>
          <w:rFonts w:ascii="Arial" w:hAnsi="Arial" w:cs="Arial"/>
          <w:lang w:val="en-US"/>
        </w:rPr>
        <w:t>Assessment of possible confounding binary features using the fisher’s exact test.</w:t>
      </w:r>
    </w:p>
    <w:p w14:paraId="158DFA12" w14:textId="59053CCF" w:rsidR="00CA2914" w:rsidRDefault="00CA2914"/>
    <w:sectPr w:rsidR="00CA2914" w:rsidSect="002A72B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0F"/>
    <w:rsid w:val="000012B9"/>
    <w:rsid w:val="00006319"/>
    <w:rsid w:val="000110F3"/>
    <w:rsid w:val="000755B1"/>
    <w:rsid w:val="00151C2E"/>
    <w:rsid w:val="001B3C53"/>
    <w:rsid w:val="001B6402"/>
    <w:rsid w:val="001F55FE"/>
    <w:rsid w:val="0023144C"/>
    <w:rsid w:val="0024621C"/>
    <w:rsid w:val="002528CF"/>
    <w:rsid w:val="0027366C"/>
    <w:rsid w:val="002767B5"/>
    <w:rsid w:val="00283AA8"/>
    <w:rsid w:val="002A72BD"/>
    <w:rsid w:val="002D0654"/>
    <w:rsid w:val="00366A9E"/>
    <w:rsid w:val="00370487"/>
    <w:rsid w:val="00392F56"/>
    <w:rsid w:val="00394629"/>
    <w:rsid w:val="003B0DC1"/>
    <w:rsid w:val="003E3F7E"/>
    <w:rsid w:val="0041177D"/>
    <w:rsid w:val="004544CB"/>
    <w:rsid w:val="004A3FFB"/>
    <w:rsid w:val="004D5A78"/>
    <w:rsid w:val="004E325D"/>
    <w:rsid w:val="00513879"/>
    <w:rsid w:val="00584365"/>
    <w:rsid w:val="005B5696"/>
    <w:rsid w:val="005C15E3"/>
    <w:rsid w:val="005D282D"/>
    <w:rsid w:val="00637086"/>
    <w:rsid w:val="006533AE"/>
    <w:rsid w:val="0067456D"/>
    <w:rsid w:val="00687554"/>
    <w:rsid w:val="006933E7"/>
    <w:rsid w:val="006B59E6"/>
    <w:rsid w:val="00721457"/>
    <w:rsid w:val="00721936"/>
    <w:rsid w:val="007C7B57"/>
    <w:rsid w:val="0080214E"/>
    <w:rsid w:val="00872041"/>
    <w:rsid w:val="008E66BF"/>
    <w:rsid w:val="009203D6"/>
    <w:rsid w:val="00932F50"/>
    <w:rsid w:val="00986228"/>
    <w:rsid w:val="009C44C2"/>
    <w:rsid w:val="009F1186"/>
    <w:rsid w:val="00A40BE1"/>
    <w:rsid w:val="00A71D21"/>
    <w:rsid w:val="00A84031"/>
    <w:rsid w:val="00AA54A1"/>
    <w:rsid w:val="00AE7398"/>
    <w:rsid w:val="00B3350F"/>
    <w:rsid w:val="00B56EBB"/>
    <w:rsid w:val="00B76A6C"/>
    <w:rsid w:val="00BA687A"/>
    <w:rsid w:val="00BB2C91"/>
    <w:rsid w:val="00C80858"/>
    <w:rsid w:val="00CA2914"/>
    <w:rsid w:val="00CA51E9"/>
    <w:rsid w:val="00CB547B"/>
    <w:rsid w:val="00CE6C4D"/>
    <w:rsid w:val="00CF5DA2"/>
    <w:rsid w:val="00D026E5"/>
    <w:rsid w:val="00D12CB6"/>
    <w:rsid w:val="00D17F20"/>
    <w:rsid w:val="00D20773"/>
    <w:rsid w:val="00D61BF9"/>
    <w:rsid w:val="00D739E1"/>
    <w:rsid w:val="00D873D7"/>
    <w:rsid w:val="00DB367B"/>
    <w:rsid w:val="00DD4FAE"/>
    <w:rsid w:val="00DD52E4"/>
    <w:rsid w:val="00E11FD8"/>
    <w:rsid w:val="00E229D9"/>
    <w:rsid w:val="00E46501"/>
    <w:rsid w:val="00E911D0"/>
    <w:rsid w:val="00EA525B"/>
    <w:rsid w:val="00EC6F5E"/>
    <w:rsid w:val="00F100E4"/>
    <w:rsid w:val="00F225BF"/>
    <w:rsid w:val="00F37F85"/>
    <w:rsid w:val="00F4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D2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5">
    <w:name w:val="Plain Table 5"/>
    <w:basedOn w:val="NormaleTabelle"/>
    <w:uiPriority w:val="45"/>
    <w:rsid w:val="00CA29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Calibri Light" w:hAnsi="Calibri Light" w:cs="Calibri Light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="Calibri Light" w:eastAsia="Calibri Light" w:hAnsi="Calibri Light" w:cs="Calibri Light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="Calibri Light" w:eastAsia="Calibri Light" w:hAnsi="Calibri Light" w:cs="Calibri Light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="Calibri Light" w:eastAsia="Calibri Light" w:hAnsi="Calibri Light" w:cs="Calibri Light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64D7FE7-4448-AD44-8ED6-3F05967D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2462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A. 2 MRI sequence parameters</vt:lpstr>
      <vt:lpstr>ax: axial; HASTE: Half-Fourier Acquisition Single-shot Turbo spin Echo imaging; </vt:lpstr>
      <vt:lpstr/>
      <vt:lpstr>A. 3 displays PET/MRI parameters from the first (1) and second (2) PET/MRI exami</vt:lpstr>
      <vt:lpstr/>
      <vt:lpstr/>
      <vt:lpstr>A. 4 Assessment of possible confounding binary features using the fisher’s exact</vt:lpstr>
    </vt:vector>
  </TitlesOfParts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2</cp:revision>
  <dcterms:created xsi:type="dcterms:W3CDTF">2021-06-09T06:11:00Z</dcterms:created>
  <dcterms:modified xsi:type="dcterms:W3CDTF">2021-06-09T06:11:00Z</dcterms:modified>
</cp:coreProperties>
</file>