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F5FF2" w14:textId="73E408D7" w:rsidR="00582758" w:rsidRPr="008A0FA2" w:rsidRDefault="00BA3D0B" w:rsidP="00BE760C">
      <w:pPr>
        <w:jc w:val="both"/>
        <w:outlineLvl w:val="0"/>
        <w:rPr>
          <w:rFonts w:cs="Times New Roman"/>
          <w:b/>
          <w:szCs w:val="24"/>
        </w:rPr>
      </w:pPr>
      <w:r w:rsidRPr="008A0FA2">
        <w:rPr>
          <w:rFonts w:cs="Times New Roman"/>
          <w:b/>
          <w:szCs w:val="24"/>
        </w:rPr>
        <w:t>Supplementary material</w:t>
      </w:r>
    </w:p>
    <w:p w14:paraId="0E3428A1" w14:textId="547D60F2" w:rsidR="00BA3D0B" w:rsidRDefault="008A0FA2" w:rsidP="00BE760C">
      <w:pPr>
        <w:jc w:val="both"/>
        <w:outlineLvl w:val="0"/>
        <w:rPr>
          <w:rFonts w:cs="Times New Roman"/>
          <w:bCs/>
          <w:sz w:val="20"/>
          <w:szCs w:val="20"/>
        </w:rPr>
      </w:pPr>
      <w:r>
        <w:rPr>
          <w:rFonts w:cs="Times New Roman"/>
          <w:b/>
          <w:noProof/>
          <w:sz w:val="32"/>
          <w:szCs w:val="32"/>
          <w:lang w:eastAsia="en-GB"/>
        </w:rPr>
        <w:drawing>
          <wp:inline distT="0" distB="0" distL="0" distR="0" wp14:anchorId="372A23F4" wp14:editId="48C5DFB6">
            <wp:extent cx="5724525" cy="49625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9C54" w14:textId="1205BAC4" w:rsidR="00BA3D0B" w:rsidRDefault="00021AAB" w:rsidP="00BA3D0B">
      <w:pPr>
        <w:jc w:val="both"/>
        <w:outlineLvl w:val="0"/>
        <w:rPr>
          <w:rFonts w:cs="Times New Roman"/>
          <w:sz w:val="20"/>
          <w:szCs w:val="20"/>
        </w:rPr>
      </w:pPr>
      <w:r w:rsidRPr="00021AAB">
        <w:rPr>
          <w:rFonts w:cs="Times New Roman"/>
          <w:b/>
          <w:bCs/>
          <w:sz w:val="20"/>
          <w:szCs w:val="20"/>
        </w:rPr>
        <w:t>Supp</w:t>
      </w:r>
      <w:r>
        <w:rPr>
          <w:rFonts w:cs="Times New Roman"/>
          <w:b/>
          <w:bCs/>
          <w:sz w:val="20"/>
          <w:szCs w:val="20"/>
        </w:rPr>
        <w:t>l.</w:t>
      </w:r>
      <w:r w:rsidRPr="00021AAB">
        <w:rPr>
          <w:rFonts w:cs="Times New Roman"/>
          <w:b/>
          <w:bCs/>
          <w:sz w:val="20"/>
          <w:szCs w:val="20"/>
        </w:rPr>
        <w:t xml:space="preserve"> Fig. 1</w:t>
      </w:r>
      <w:r>
        <w:rPr>
          <w:rFonts w:cs="Times New Roman"/>
          <w:sz w:val="20"/>
          <w:szCs w:val="20"/>
        </w:rPr>
        <w:t xml:space="preserve"> </w:t>
      </w:r>
      <w:r w:rsidR="00EB4BC7">
        <w:rPr>
          <w:rFonts w:cs="Times New Roman"/>
          <w:sz w:val="20"/>
          <w:szCs w:val="20"/>
        </w:rPr>
        <w:t>Total body c</w:t>
      </w:r>
      <w:r w:rsidR="00BA3D0B" w:rsidRPr="000D63DB">
        <w:rPr>
          <w:rFonts w:cs="Times New Roman"/>
          <w:sz w:val="20"/>
          <w:szCs w:val="20"/>
        </w:rPr>
        <w:t>oronal maximum intensity projections of the control and intervention [</w:t>
      </w:r>
      <w:r w:rsidR="00BA3D0B" w:rsidRPr="000D63DB">
        <w:rPr>
          <w:rFonts w:cs="Times New Roman"/>
          <w:sz w:val="20"/>
          <w:szCs w:val="20"/>
          <w:vertAlign w:val="superscript"/>
        </w:rPr>
        <w:t>18</w:t>
      </w:r>
      <w:r w:rsidR="00BA3D0B" w:rsidRPr="000D63DB">
        <w:rPr>
          <w:rFonts w:cs="Times New Roman"/>
          <w:sz w:val="20"/>
          <w:szCs w:val="20"/>
        </w:rPr>
        <w:t xml:space="preserve">F]DCFPyl PET scans of patient number </w:t>
      </w:r>
      <w:r w:rsidR="008A0FA2">
        <w:rPr>
          <w:rFonts w:cs="Times New Roman"/>
          <w:sz w:val="20"/>
          <w:szCs w:val="20"/>
        </w:rPr>
        <w:t>1</w:t>
      </w:r>
      <w:r w:rsidR="00BA3D0B" w:rsidRPr="000D63DB">
        <w:rPr>
          <w:rFonts w:cs="Times New Roman"/>
          <w:sz w:val="20"/>
          <w:szCs w:val="20"/>
        </w:rPr>
        <w:t xml:space="preserve">. </w:t>
      </w:r>
      <w:r w:rsidR="00BA3D0B">
        <w:rPr>
          <w:rFonts w:cs="Times New Roman"/>
          <w:sz w:val="20"/>
          <w:szCs w:val="20"/>
        </w:rPr>
        <w:t>All investigated tissues are clearly visible.</w:t>
      </w:r>
    </w:p>
    <w:p w14:paraId="5AAFE875" w14:textId="7BBE65F4" w:rsidR="004F5C3E" w:rsidRDefault="000C1BBC" w:rsidP="00BA3D0B">
      <w:pPr>
        <w:jc w:val="both"/>
        <w:outlineLvl w:val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en-GB"/>
        </w:rPr>
        <w:lastRenderedPageBreak/>
        <w:drawing>
          <wp:inline distT="0" distB="0" distL="0" distR="0" wp14:anchorId="39B7FFF3" wp14:editId="09230D01">
            <wp:extent cx="6638925" cy="531334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31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AAB" w:rsidRPr="00021AAB">
        <w:rPr>
          <w:rFonts w:cs="Times New Roman"/>
          <w:b/>
          <w:bCs/>
          <w:sz w:val="20"/>
          <w:szCs w:val="20"/>
        </w:rPr>
        <w:t xml:space="preserve"> Supp</w:t>
      </w:r>
      <w:r w:rsidR="00021AAB">
        <w:rPr>
          <w:rFonts w:cs="Times New Roman"/>
          <w:b/>
          <w:bCs/>
          <w:sz w:val="20"/>
          <w:szCs w:val="20"/>
        </w:rPr>
        <w:t>l.</w:t>
      </w:r>
      <w:r w:rsidR="00021AAB" w:rsidRPr="00021AAB">
        <w:rPr>
          <w:rFonts w:cs="Times New Roman"/>
          <w:b/>
          <w:bCs/>
          <w:sz w:val="20"/>
          <w:szCs w:val="20"/>
        </w:rPr>
        <w:t xml:space="preserve"> Fig. </w:t>
      </w:r>
      <w:r w:rsidR="00021AAB">
        <w:rPr>
          <w:rFonts w:cs="Times New Roman"/>
          <w:b/>
          <w:bCs/>
          <w:sz w:val="20"/>
          <w:szCs w:val="20"/>
        </w:rPr>
        <w:t>2</w:t>
      </w:r>
      <w:r w:rsidR="00021AAB">
        <w:rPr>
          <w:rFonts w:cs="Times New Roman"/>
          <w:sz w:val="20"/>
          <w:szCs w:val="20"/>
        </w:rPr>
        <w:t xml:space="preserve"> </w:t>
      </w:r>
      <w:r w:rsidR="004F5C3E" w:rsidRPr="000D63DB">
        <w:rPr>
          <w:rFonts w:cs="Times New Roman"/>
          <w:sz w:val="20"/>
          <w:szCs w:val="20"/>
        </w:rPr>
        <w:t>Effect of gustatory stimulation on parotid gland SUL</w:t>
      </w:r>
      <w:r w:rsidR="004F5C3E" w:rsidRPr="000D63DB">
        <w:rPr>
          <w:rFonts w:cs="Times New Roman"/>
          <w:sz w:val="20"/>
          <w:szCs w:val="20"/>
          <w:vertAlign w:val="subscript"/>
        </w:rPr>
        <w:t>m</w:t>
      </w:r>
      <w:r w:rsidR="004F5C3E">
        <w:rPr>
          <w:rFonts w:cs="Times New Roman"/>
          <w:sz w:val="20"/>
          <w:szCs w:val="20"/>
          <w:vertAlign w:val="subscript"/>
        </w:rPr>
        <w:t>ax</w:t>
      </w:r>
      <w:r w:rsidR="004F5C3E" w:rsidRPr="000D63DB">
        <w:rPr>
          <w:rFonts w:cs="Times New Roman"/>
          <w:sz w:val="20"/>
          <w:szCs w:val="20"/>
        </w:rPr>
        <w:t xml:space="preserve">. Each </w:t>
      </w:r>
      <w:r w:rsidR="004F5C3E">
        <w:rPr>
          <w:rFonts w:cs="Times New Roman"/>
          <w:sz w:val="20"/>
          <w:szCs w:val="20"/>
        </w:rPr>
        <w:t xml:space="preserve">patient is represented by a unique </w:t>
      </w:r>
      <w:r w:rsidR="004F5C3E" w:rsidRPr="000D63DB">
        <w:rPr>
          <w:rFonts w:cs="Times New Roman"/>
          <w:sz w:val="20"/>
          <w:szCs w:val="20"/>
        </w:rPr>
        <w:t>colour. The patients have two lines, one for the right</w:t>
      </w:r>
      <w:r w:rsidR="004F5C3E">
        <w:rPr>
          <w:rFonts w:cs="Times New Roman"/>
          <w:sz w:val="20"/>
          <w:szCs w:val="20"/>
        </w:rPr>
        <w:t xml:space="preserve"> parotid</w:t>
      </w:r>
      <w:r w:rsidR="004F5C3E" w:rsidRPr="000D63DB">
        <w:rPr>
          <w:rFonts w:cs="Times New Roman"/>
          <w:sz w:val="20"/>
          <w:szCs w:val="20"/>
        </w:rPr>
        <w:t xml:space="preserve"> and one for the left parotid. The black dashed line depicts the overall population effect for all parotid glands of all patients.</w:t>
      </w:r>
    </w:p>
    <w:p w14:paraId="72296548" w14:textId="0778BEE3" w:rsidR="000C1BBC" w:rsidRPr="000D63DB" w:rsidRDefault="004F5C3E" w:rsidP="00BA3D0B">
      <w:pPr>
        <w:jc w:val="both"/>
        <w:outlineLvl w:val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en-GB"/>
        </w:rPr>
        <w:lastRenderedPageBreak/>
        <w:drawing>
          <wp:inline distT="0" distB="0" distL="0" distR="0" wp14:anchorId="63BC5B5E" wp14:editId="62A423FB">
            <wp:extent cx="6638925" cy="53134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059" cy="531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AAB" w:rsidRPr="00021AAB">
        <w:rPr>
          <w:rFonts w:cs="Times New Roman"/>
          <w:b/>
          <w:bCs/>
          <w:sz w:val="20"/>
          <w:szCs w:val="20"/>
        </w:rPr>
        <w:t xml:space="preserve"> Supp</w:t>
      </w:r>
      <w:r w:rsidR="00021AAB">
        <w:rPr>
          <w:rFonts w:cs="Times New Roman"/>
          <w:b/>
          <w:bCs/>
          <w:sz w:val="20"/>
          <w:szCs w:val="20"/>
        </w:rPr>
        <w:t>l.</w:t>
      </w:r>
      <w:r w:rsidR="00021AAB" w:rsidRPr="00021AAB">
        <w:rPr>
          <w:rFonts w:cs="Times New Roman"/>
          <w:b/>
          <w:bCs/>
          <w:sz w:val="20"/>
          <w:szCs w:val="20"/>
        </w:rPr>
        <w:t xml:space="preserve"> Fig. </w:t>
      </w:r>
      <w:r w:rsidR="00021AAB">
        <w:rPr>
          <w:rFonts w:cs="Times New Roman"/>
          <w:b/>
          <w:bCs/>
          <w:sz w:val="20"/>
          <w:szCs w:val="20"/>
        </w:rPr>
        <w:t>3</w:t>
      </w:r>
      <w:r w:rsidR="00021AAB">
        <w:rPr>
          <w:rFonts w:cs="Times New Roman"/>
          <w:sz w:val="20"/>
          <w:szCs w:val="20"/>
        </w:rPr>
        <w:t xml:space="preserve"> </w:t>
      </w:r>
      <w:r w:rsidRPr="000D63DB">
        <w:rPr>
          <w:rFonts w:cs="Times New Roman"/>
          <w:sz w:val="20"/>
          <w:szCs w:val="20"/>
        </w:rPr>
        <w:t xml:space="preserve">Effect of gustatory stimulation on </w:t>
      </w:r>
      <w:r>
        <w:rPr>
          <w:rFonts w:cs="Times New Roman"/>
          <w:sz w:val="20"/>
          <w:szCs w:val="20"/>
        </w:rPr>
        <w:t>submandibular</w:t>
      </w:r>
      <w:r w:rsidRPr="000D63DB">
        <w:rPr>
          <w:rFonts w:cs="Times New Roman"/>
          <w:sz w:val="20"/>
          <w:szCs w:val="20"/>
        </w:rPr>
        <w:t xml:space="preserve"> gland SUL</w:t>
      </w:r>
      <w:r w:rsidRPr="000D63DB">
        <w:rPr>
          <w:rFonts w:cs="Times New Roman"/>
          <w:sz w:val="20"/>
          <w:szCs w:val="20"/>
          <w:vertAlign w:val="subscript"/>
        </w:rPr>
        <w:t>m</w:t>
      </w:r>
      <w:r>
        <w:rPr>
          <w:rFonts w:cs="Times New Roman"/>
          <w:sz w:val="20"/>
          <w:szCs w:val="20"/>
          <w:vertAlign w:val="subscript"/>
        </w:rPr>
        <w:t>ax</w:t>
      </w:r>
      <w:r w:rsidRPr="000D63DB">
        <w:rPr>
          <w:rFonts w:cs="Times New Roman"/>
          <w:sz w:val="20"/>
          <w:szCs w:val="20"/>
        </w:rPr>
        <w:t xml:space="preserve">. Each </w:t>
      </w:r>
      <w:r>
        <w:rPr>
          <w:rFonts w:cs="Times New Roman"/>
          <w:sz w:val="20"/>
          <w:szCs w:val="20"/>
        </w:rPr>
        <w:t xml:space="preserve">patient is represented by a unique </w:t>
      </w:r>
      <w:r w:rsidRPr="000D63DB">
        <w:rPr>
          <w:rFonts w:cs="Times New Roman"/>
          <w:sz w:val="20"/>
          <w:szCs w:val="20"/>
        </w:rPr>
        <w:t>colour. The patients have two lines, one for the right</w:t>
      </w:r>
      <w:r>
        <w:rPr>
          <w:rFonts w:cs="Times New Roman"/>
          <w:sz w:val="20"/>
          <w:szCs w:val="20"/>
        </w:rPr>
        <w:t xml:space="preserve"> parotid</w:t>
      </w:r>
      <w:r w:rsidRPr="000D63DB">
        <w:rPr>
          <w:rFonts w:cs="Times New Roman"/>
          <w:sz w:val="20"/>
          <w:szCs w:val="20"/>
        </w:rPr>
        <w:t xml:space="preserve"> and one for the left parotid. The black dashed line depicts the overall population effect for all </w:t>
      </w:r>
      <w:r>
        <w:rPr>
          <w:rFonts w:cs="Times New Roman"/>
          <w:sz w:val="20"/>
          <w:szCs w:val="20"/>
        </w:rPr>
        <w:t>submandibular</w:t>
      </w:r>
      <w:r w:rsidRPr="000D63DB">
        <w:rPr>
          <w:rFonts w:cs="Times New Roman"/>
          <w:sz w:val="20"/>
          <w:szCs w:val="20"/>
        </w:rPr>
        <w:t xml:space="preserve"> glands of all patients.</w:t>
      </w:r>
    </w:p>
    <w:p w14:paraId="0224727D" w14:textId="3728854C" w:rsidR="004F5C3E" w:rsidRDefault="004F5C3E" w:rsidP="00BE760C">
      <w:pPr>
        <w:jc w:val="both"/>
        <w:outlineLvl w:val="0"/>
        <w:rPr>
          <w:rFonts w:cs="Times New Roman"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en-GB"/>
        </w:rPr>
        <w:lastRenderedPageBreak/>
        <w:drawing>
          <wp:inline distT="0" distB="0" distL="0" distR="0" wp14:anchorId="288E9040" wp14:editId="14E947E4">
            <wp:extent cx="6652826" cy="5324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433" cy="532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9D407" w14:textId="5B4C6667" w:rsidR="00C12C4B" w:rsidRDefault="00021AAB" w:rsidP="00BE760C">
      <w:pPr>
        <w:jc w:val="both"/>
        <w:outlineLvl w:val="0"/>
        <w:rPr>
          <w:rFonts w:cs="Times New Roman"/>
          <w:sz w:val="20"/>
          <w:szCs w:val="20"/>
        </w:rPr>
      </w:pPr>
      <w:r w:rsidRPr="00021AAB">
        <w:rPr>
          <w:rFonts w:cs="Times New Roman"/>
          <w:b/>
          <w:bCs/>
          <w:sz w:val="20"/>
          <w:szCs w:val="20"/>
        </w:rPr>
        <w:t>Supp</w:t>
      </w:r>
      <w:r>
        <w:rPr>
          <w:rFonts w:cs="Times New Roman"/>
          <w:b/>
          <w:bCs/>
          <w:sz w:val="20"/>
          <w:szCs w:val="20"/>
        </w:rPr>
        <w:t>l.</w:t>
      </w:r>
      <w:r w:rsidRPr="00021AAB">
        <w:rPr>
          <w:rFonts w:cs="Times New Roman"/>
          <w:b/>
          <w:bCs/>
          <w:sz w:val="20"/>
          <w:szCs w:val="20"/>
        </w:rPr>
        <w:t xml:space="preserve"> Fig. </w:t>
      </w:r>
      <w:r>
        <w:rPr>
          <w:rFonts w:cs="Times New Roman"/>
          <w:b/>
          <w:bCs/>
          <w:sz w:val="20"/>
          <w:szCs w:val="20"/>
        </w:rPr>
        <w:t xml:space="preserve">4 </w:t>
      </w:r>
      <w:r w:rsidR="004F5C3E" w:rsidRPr="000D63DB">
        <w:rPr>
          <w:rFonts w:cs="Times New Roman"/>
          <w:sz w:val="20"/>
          <w:szCs w:val="20"/>
        </w:rPr>
        <w:t xml:space="preserve">Effect of gustatory stimulation on </w:t>
      </w:r>
      <w:r w:rsidR="004F5C3E">
        <w:rPr>
          <w:rFonts w:cs="Times New Roman"/>
          <w:sz w:val="20"/>
          <w:szCs w:val="20"/>
        </w:rPr>
        <w:t>submandibular</w:t>
      </w:r>
      <w:r w:rsidR="004F5C3E" w:rsidRPr="000D63DB">
        <w:rPr>
          <w:rFonts w:cs="Times New Roman"/>
          <w:sz w:val="20"/>
          <w:szCs w:val="20"/>
        </w:rPr>
        <w:t xml:space="preserve"> gland SUL</w:t>
      </w:r>
      <w:r w:rsidR="004F5C3E" w:rsidRPr="000D63DB">
        <w:rPr>
          <w:rFonts w:cs="Times New Roman"/>
          <w:sz w:val="20"/>
          <w:szCs w:val="20"/>
          <w:vertAlign w:val="subscript"/>
        </w:rPr>
        <w:t>m</w:t>
      </w:r>
      <w:r w:rsidR="004F5C3E">
        <w:rPr>
          <w:rFonts w:cs="Times New Roman"/>
          <w:sz w:val="20"/>
          <w:szCs w:val="20"/>
          <w:vertAlign w:val="subscript"/>
        </w:rPr>
        <w:t>ean</w:t>
      </w:r>
      <w:r w:rsidR="004F5C3E" w:rsidRPr="000D63DB">
        <w:rPr>
          <w:rFonts w:cs="Times New Roman"/>
          <w:sz w:val="20"/>
          <w:szCs w:val="20"/>
        </w:rPr>
        <w:t xml:space="preserve">. Each </w:t>
      </w:r>
      <w:r w:rsidR="004F5C3E">
        <w:rPr>
          <w:rFonts w:cs="Times New Roman"/>
          <w:sz w:val="20"/>
          <w:szCs w:val="20"/>
        </w:rPr>
        <w:t xml:space="preserve">patient is represented by a unique </w:t>
      </w:r>
      <w:r w:rsidR="004F5C3E" w:rsidRPr="000D63DB">
        <w:rPr>
          <w:rFonts w:cs="Times New Roman"/>
          <w:sz w:val="20"/>
          <w:szCs w:val="20"/>
        </w:rPr>
        <w:t>colour. The patients have two lines, one for the right</w:t>
      </w:r>
      <w:r w:rsidR="004F5C3E">
        <w:rPr>
          <w:rFonts w:cs="Times New Roman"/>
          <w:sz w:val="20"/>
          <w:szCs w:val="20"/>
        </w:rPr>
        <w:t xml:space="preserve"> parotid</w:t>
      </w:r>
      <w:r w:rsidR="004F5C3E" w:rsidRPr="000D63DB">
        <w:rPr>
          <w:rFonts w:cs="Times New Roman"/>
          <w:sz w:val="20"/>
          <w:szCs w:val="20"/>
        </w:rPr>
        <w:t xml:space="preserve"> and one for the left parotid. The black dashed line depicts the overall population effect for all </w:t>
      </w:r>
      <w:r w:rsidR="004F5C3E">
        <w:rPr>
          <w:rFonts w:cs="Times New Roman"/>
          <w:sz w:val="20"/>
          <w:szCs w:val="20"/>
        </w:rPr>
        <w:t>submandibular</w:t>
      </w:r>
      <w:r w:rsidR="004F5C3E" w:rsidRPr="000D63DB">
        <w:rPr>
          <w:rFonts w:cs="Times New Roman"/>
          <w:sz w:val="20"/>
          <w:szCs w:val="20"/>
        </w:rPr>
        <w:t xml:space="preserve"> glands of all patients.</w:t>
      </w:r>
    </w:p>
    <w:p w14:paraId="78CAA97F" w14:textId="11D55644" w:rsidR="00C12C4B" w:rsidRDefault="00C12C4B" w:rsidP="00C12C4B">
      <w:pPr>
        <w:jc w:val="both"/>
        <w:outlineLvl w:val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15E82190" wp14:editId="66267150">
            <wp:extent cx="6648450" cy="53209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416" cy="532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C4B">
        <w:rPr>
          <w:rFonts w:cs="Times New Roman"/>
          <w:b/>
          <w:bCs/>
          <w:sz w:val="20"/>
          <w:szCs w:val="20"/>
        </w:rPr>
        <w:t xml:space="preserve"> </w:t>
      </w:r>
      <w:r w:rsidRPr="00021AAB">
        <w:rPr>
          <w:rFonts w:cs="Times New Roman"/>
          <w:b/>
          <w:bCs/>
          <w:sz w:val="20"/>
          <w:szCs w:val="20"/>
        </w:rPr>
        <w:t>Supp</w:t>
      </w:r>
      <w:r>
        <w:rPr>
          <w:rFonts w:cs="Times New Roman"/>
          <w:b/>
          <w:bCs/>
          <w:sz w:val="20"/>
          <w:szCs w:val="20"/>
        </w:rPr>
        <w:t>l.</w:t>
      </w:r>
      <w:r w:rsidRPr="00021AAB">
        <w:rPr>
          <w:rFonts w:cs="Times New Roman"/>
          <w:b/>
          <w:bCs/>
          <w:sz w:val="20"/>
          <w:szCs w:val="20"/>
        </w:rPr>
        <w:t xml:space="preserve"> Fig. </w:t>
      </w:r>
      <w:r>
        <w:rPr>
          <w:rFonts w:cs="Times New Roman"/>
          <w:b/>
          <w:bCs/>
          <w:sz w:val="20"/>
          <w:szCs w:val="20"/>
        </w:rPr>
        <w:t xml:space="preserve">5 </w:t>
      </w:r>
      <w:r w:rsidRPr="000D63DB">
        <w:rPr>
          <w:rFonts w:cs="Times New Roman"/>
          <w:sz w:val="20"/>
          <w:szCs w:val="20"/>
        </w:rPr>
        <w:t xml:space="preserve">Effect of gustatory stimulation on </w:t>
      </w:r>
      <w:r>
        <w:rPr>
          <w:rFonts w:cs="Times New Roman"/>
          <w:sz w:val="20"/>
          <w:szCs w:val="20"/>
        </w:rPr>
        <w:t>aorta</w:t>
      </w:r>
      <w:r w:rsidRPr="000D63DB">
        <w:rPr>
          <w:rFonts w:cs="Times New Roman"/>
          <w:sz w:val="20"/>
          <w:szCs w:val="20"/>
        </w:rPr>
        <w:t xml:space="preserve"> SUL</w:t>
      </w:r>
      <w:r w:rsidRPr="000D63DB">
        <w:rPr>
          <w:rFonts w:cs="Times New Roman"/>
          <w:sz w:val="20"/>
          <w:szCs w:val="20"/>
          <w:vertAlign w:val="subscript"/>
        </w:rPr>
        <w:t>m</w:t>
      </w:r>
      <w:r>
        <w:rPr>
          <w:rFonts w:cs="Times New Roman"/>
          <w:sz w:val="20"/>
          <w:szCs w:val="20"/>
          <w:vertAlign w:val="subscript"/>
        </w:rPr>
        <w:t>ean</w:t>
      </w:r>
      <w:r w:rsidRPr="000D63DB">
        <w:rPr>
          <w:rFonts w:cs="Times New Roman"/>
          <w:sz w:val="20"/>
          <w:szCs w:val="20"/>
        </w:rPr>
        <w:t xml:space="preserve">. Each </w:t>
      </w:r>
      <w:r>
        <w:rPr>
          <w:rFonts w:cs="Times New Roman"/>
          <w:sz w:val="20"/>
          <w:szCs w:val="20"/>
        </w:rPr>
        <w:t xml:space="preserve">patient is represented by a unique </w:t>
      </w:r>
      <w:r w:rsidRPr="000D63DB">
        <w:rPr>
          <w:rFonts w:cs="Times New Roman"/>
          <w:sz w:val="20"/>
          <w:szCs w:val="20"/>
        </w:rPr>
        <w:t>colour. The black dashed line depicts the overall population effect.</w:t>
      </w:r>
      <w:r>
        <w:rPr>
          <w:rFonts w:cs="Times New Roman"/>
          <w:sz w:val="20"/>
          <w:szCs w:val="20"/>
        </w:rPr>
        <w:br w:type="page"/>
      </w:r>
    </w:p>
    <w:p w14:paraId="24B19783" w14:textId="29B4A996" w:rsidR="00C12C4B" w:rsidRDefault="00C12C4B" w:rsidP="00C12C4B">
      <w:pPr>
        <w:jc w:val="both"/>
        <w:outlineLvl w:val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16B9C648" wp14:editId="6F933A04">
            <wp:extent cx="6652826" cy="53244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090" cy="533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C4B">
        <w:rPr>
          <w:rFonts w:cs="Times New Roman"/>
          <w:b/>
          <w:bCs/>
          <w:sz w:val="20"/>
          <w:szCs w:val="20"/>
        </w:rPr>
        <w:t xml:space="preserve"> </w:t>
      </w:r>
      <w:r w:rsidRPr="00021AAB">
        <w:rPr>
          <w:rFonts w:cs="Times New Roman"/>
          <w:b/>
          <w:bCs/>
          <w:sz w:val="20"/>
          <w:szCs w:val="20"/>
        </w:rPr>
        <w:t>Supp</w:t>
      </w:r>
      <w:r>
        <w:rPr>
          <w:rFonts w:cs="Times New Roman"/>
          <w:b/>
          <w:bCs/>
          <w:sz w:val="20"/>
          <w:szCs w:val="20"/>
        </w:rPr>
        <w:t>l.</w:t>
      </w:r>
      <w:r w:rsidRPr="00021AAB">
        <w:rPr>
          <w:rFonts w:cs="Times New Roman"/>
          <w:b/>
          <w:bCs/>
          <w:sz w:val="20"/>
          <w:szCs w:val="20"/>
        </w:rPr>
        <w:t xml:space="preserve"> Fig. </w:t>
      </w:r>
      <w:r w:rsidR="00303317">
        <w:rPr>
          <w:rFonts w:cs="Times New Roman"/>
          <w:b/>
          <w:bCs/>
          <w:sz w:val="20"/>
          <w:szCs w:val="20"/>
        </w:rPr>
        <w:t>6</w:t>
      </w:r>
      <w:r>
        <w:rPr>
          <w:rFonts w:cs="Times New Roman"/>
          <w:b/>
          <w:bCs/>
          <w:sz w:val="20"/>
          <w:szCs w:val="20"/>
        </w:rPr>
        <w:t xml:space="preserve"> </w:t>
      </w:r>
      <w:r w:rsidRPr="000D63DB">
        <w:rPr>
          <w:rFonts w:cs="Times New Roman"/>
          <w:sz w:val="20"/>
          <w:szCs w:val="20"/>
        </w:rPr>
        <w:t xml:space="preserve">Effect of gustatory stimulation on </w:t>
      </w:r>
      <w:r>
        <w:rPr>
          <w:rFonts w:cs="Times New Roman"/>
          <w:sz w:val="20"/>
          <w:szCs w:val="20"/>
        </w:rPr>
        <w:t>liver</w:t>
      </w:r>
      <w:r w:rsidRPr="000D63DB">
        <w:rPr>
          <w:rFonts w:cs="Times New Roman"/>
          <w:sz w:val="20"/>
          <w:szCs w:val="20"/>
        </w:rPr>
        <w:t xml:space="preserve"> SUL</w:t>
      </w:r>
      <w:r w:rsidRPr="000D63DB">
        <w:rPr>
          <w:rFonts w:cs="Times New Roman"/>
          <w:sz w:val="20"/>
          <w:szCs w:val="20"/>
          <w:vertAlign w:val="subscript"/>
        </w:rPr>
        <w:t>m</w:t>
      </w:r>
      <w:r>
        <w:rPr>
          <w:rFonts w:cs="Times New Roman"/>
          <w:sz w:val="20"/>
          <w:szCs w:val="20"/>
          <w:vertAlign w:val="subscript"/>
        </w:rPr>
        <w:t>ean</w:t>
      </w:r>
      <w:r w:rsidRPr="000D63DB">
        <w:rPr>
          <w:rFonts w:cs="Times New Roman"/>
          <w:sz w:val="20"/>
          <w:szCs w:val="20"/>
        </w:rPr>
        <w:t xml:space="preserve">. Each </w:t>
      </w:r>
      <w:r>
        <w:rPr>
          <w:rFonts w:cs="Times New Roman"/>
          <w:sz w:val="20"/>
          <w:szCs w:val="20"/>
        </w:rPr>
        <w:t xml:space="preserve">patient is represented by a unique </w:t>
      </w:r>
      <w:r w:rsidRPr="000D63DB">
        <w:rPr>
          <w:rFonts w:cs="Times New Roman"/>
          <w:sz w:val="20"/>
          <w:szCs w:val="20"/>
        </w:rPr>
        <w:t>colour. The black dashed line depicts the overall population effect.</w:t>
      </w:r>
    </w:p>
    <w:sectPr w:rsidR="00C12C4B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3E249" w14:textId="77777777" w:rsidR="007B6DA7" w:rsidRDefault="007B6DA7">
      <w:pPr>
        <w:spacing w:line="240" w:lineRule="auto"/>
      </w:pPr>
      <w:r>
        <w:separator/>
      </w:r>
    </w:p>
  </w:endnote>
  <w:endnote w:type="continuationSeparator" w:id="0">
    <w:p w14:paraId="12680863" w14:textId="77777777" w:rsidR="007B6DA7" w:rsidRDefault="007B6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37674" w14:textId="77777777" w:rsidR="0078126D" w:rsidRDefault="00A437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39A3">
      <w:rPr>
        <w:noProof/>
      </w:rPr>
      <w:t>15</w:t>
    </w:r>
    <w:r>
      <w:rPr>
        <w:noProof/>
      </w:rPr>
      <w:fldChar w:fldCharType="end"/>
    </w:r>
  </w:p>
  <w:p w14:paraId="4C344643" w14:textId="77777777" w:rsidR="0078126D" w:rsidRDefault="007B6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318DC" w14:textId="77777777" w:rsidR="007B6DA7" w:rsidRDefault="007B6DA7">
      <w:pPr>
        <w:spacing w:line="240" w:lineRule="auto"/>
      </w:pPr>
      <w:r>
        <w:separator/>
      </w:r>
    </w:p>
  </w:footnote>
  <w:footnote w:type="continuationSeparator" w:id="0">
    <w:p w14:paraId="6087059C" w14:textId="77777777" w:rsidR="007B6DA7" w:rsidRDefault="007B6D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25974"/>
    <w:multiLevelType w:val="hybridMultilevel"/>
    <w:tmpl w:val="F74CB38E"/>
    <w:lvl w:ilvl="0" w:tplc="BE2421AA">
      <w:start w:val="1"/>
      <w:numFmt w:val="decimal"/>
      <w:lvlText w:val="%1."/>
      <w:lvlJc w:val="left"/>
      <w:pPr>
        <w:ind w:left="720" w:hanging="360"/>
      </w:pPr>
      <w:rPr>
        <w:rFonts w:hint="default"/>
        <w:lang w:val="nl-N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85D3E"/>
    <w:multiLevelType w:val="hybridMultilevel"/>
    <w:tmpl w:val="BC7C731E"/>
    <w:lvl w:ilvl="0" w:tplc="B8E0F8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7A"/>
    <w:rsid w:val="00001825"/>
    <w:rsid w:val="00001AFA"/>
    <w:rsid w:val="00013280"/>
    <w:rsid w:val="00020F74"/>
    <w:rsid w:val="00021AAB"/>
    <w:rsid w:val="00027861"/>
    <w:rsid w:val="000345FF"/>
    <w:rsid w:val="0004593A"/>
    <w:rsid w:val="0005703A"/>
    <w:rsid w:val="00071404"/>
    <w:rsid w:val="00083821"/>
    <w:rsid w:val="00097D01"/>
    <w:rsid w:val="000A09CB"/>
    <w:rsid w:val="000B0CBF"/>
    <w:rsid w:val="000C1BBC"/>
    <w:rsid w:val="000D63DB"/>
    <w:rsid w:val="00115FA3"/>
    <w:rsid w:val="001256A8"/>
    <w:rsid w:val="00131150"/>
    <w:rsid w:val="00163DC0"/>
    <w:rsid w:val="0017278F"/>
    <w:rsid w:val="00183B00"/>
    <w:rsid w:val="00190759"/>
    <w:rsid w:val="001944CE"/>
    <w:rsid w:val="001A1A5D"/>
    <w:rsid w:val="001A5CC6"/>
    <w:rsid w:val="001B4FD1"/>
    <w:rsid w:val="001B6771"/>
    <w:rsid w:val="001D5309"/>
    <w:rsid w:val="001D6D8C"/>
    <w:rsid w:val="001E0DF5"/>
    <w:rsid w:val="001F0150"/>
    <w:rsid w:val="002065C7"/>
    <w:rsid w:val="002072B8"/>
    <w:rsid w:val="00221B73"/>
    <w:rsid w:val="0022478D"/>
    <w:rsid w:val="0024495F"/>
    <w:rsid w:val="00253FE6"/>
    <w:rsid w:val="002717ED"/>
    <w:rsid w:val="00272D6A"/>
    <w:rsid w:val="00296CA5"/>
    <w:rsid w:val="002A61AA"/>
    <w:rsid w:val="002C1E14"/>
    <w:rsid w:val="002C37B7"/>
    <w:rsid w:val="002C557A"/>
    <w:rsid w:val="002C6075"/>
    <w:rsid w:val="002C7742"/>
    <w:rsid w:val="002E2018"/>
    <w:rsid w:val="002F223B"/>
    <w:rsid w:val="00303317"/>
    <w:rsid w:val="003335EE"/>
    <w:rsid w:val="0035599F"/>
    <w:rsid w:val="003679C4"/>
    <w:rsid w:val="003705C5"/>
    <w:rsid w:val="0038390B"/>
    <w:rsid w:val="003A05DB"/>
    <w:rsid w:val="003B0306"/>
    <w:rsid w:val="003D53E2"/>
    <w:rsid w:val="003D6BC9"/>
    <w:rsid w:val="003F1FBF"/>
    <w:rsid w:val="003F3A77"/>
    <w:rsid w:val="003F3ABC"/>
    <w:rsid w:val="003F3D4D"/>
    <w:rsid w:val="003F43EC"/>
    <w:rsid w:val="003F46F1"/>
    <w:rsid w:val="004160AF"/>
    <w:rsid w:val="00431D94"/>
    <w:rsid w:val="004553F8"/>
    <w:rsid w:val="004557EB"/>
    <w:rsid w:val="00471425"/>
    <w:rsid w:val="00486442"/>
    <w:rsid w:val="004907D1"/>
    <w:rsid w:val="00492A07"/>
    <w:rsid w:val="004B0E5B"/>
    <w:rsid w:val="004B1414"/>
    <w:rsid w:val="004C2231"/>
    <w:rsid w:val="004C2476"/>
    <w:rsid w:val="004C35D3"/>
    <w:rsid w:val="004D064D"/>
    <w:rsid w:val="004F5C3E"/>
    <w:rsid w:val="00515AEB"/>
    <w:rsid w:val="0052113A"/>
    <w:rsid w:val="0053593B"/>
    <w:rsid w:val="005367F6"/>
    <w:rsid w:val="00540FB6"/>
    <w:rsid w:val="00551C73"/>
    <w:rsid w:val="00551D96"/>
    <w:rsid w:val="00551F8C"/>
    <w:rsid w:val="00582758"/>
    <w:rsid w:val="00591C05"/>
    <w:rsid w:val="005A3A01"/>
    <w:rsid w:val="005A48AF"/>
    <w:rsid w:val="005B5F55"/>
    <w:rsid w:val="005C21DE"/>
    <w:rsid w:val="005C7BDD"/>
    <w:rsid w:val="005D29D7"/>
    <w:rsid w:val="005E5206"/>
    <w:rsid w:val="005F169D"/>
    <w:rsid w:val="005F3D56"/>
    <w:rsid w:val="005F725C"/>
    <w:rsid w:val="0061023C"/>
    <w:rsid w:val="0061797E"/>
    <w:rsid w:val="00625AC3"/>
    <w:rsid w:val="00625DB4"/>
    <w:rsid w:val="00651350"/>
    <w:rsid w:val="00662A9D"/>
    <w:rsid w:val="006720E6"/>
    <w:rsid w:val="006B29FC"/>
    <w:rsid w:val="006B739E"/>
    <w:rsid w:val="006C5F93"/>
    <w:rsid w:val="00701DDA"/>
    <w:rsid w:val="00703496"/>
    <w:rsid w:val="00705220"/>
    <w:rsid w:val="00705570"/>
    <w:rsid w:val="00706F79"/>
    <w:rsid w:val="0071431A"/>
    <w:rsid w:val="00716AD2"/>
    <w:rsid w:val="00725E3F"/>
    <w:rsid w:val="00732A81"/>
    <w:rsid w:val="00734671"/>
    <w:rsid w:val="00743BF6"/>
    <w:rsid w:val="00743CAD"/>
    <w:rsid w:val="00750FC0"/>
    <w:rsid w:val="00757F19"/>
    <w:rsid w:val="00774BA3"/>
    <w:rsid w:val="00793945"/>
    <w:rsid w:val="007A329E"/>
    <w:rsid w:val="007A67C3"/>
    <w:rsid w:val="007B39A3"/>
    <w:rsid w:val="007B3DA9"/>
    <w:rsid w:val="007B6DA7"/>
    <w:rsid w:val="007D16F3"/>
    <w:rsid w:val="007D7544"/>
    <w:rsid w:val="007E7F07"/>
    <w:rsid w:val="00806179"/>
    <w:rsid w:val="0080729B"/>
    <w:rsid w:val="00845FED"/>
    <w:rsid w:val="00847E3B"/>
    <w:rsid w:val="00866F48"/>
    <w:rsid w:val="00882F68"/>
    <w:rsid w:val="00885E44"/>
    <w:rsid w:val="00892D67"/>
    <w:rsid w:val="00897405"/>
    <w:rsid w:val="008A0FA2"/>
    <w:rsid w:val="008E040A"/>
    <w:rsid w:val="008E1F64"/>
    <w:rsid w:val="008E2B65"/>
    <w:rsid w:val="008F058F"/>
    <w:rsid w:val="008F0B61"/>
    <w:rsid w:val="00900837"/>
    <w:rsid w:val="0091418F"/>
    <w:rsid w:val="00927021"/>
    <w:rsid w:val="00933F07"/>
    <w:rsid w:val="0093572D"/>
    <w:rsid w:val="0094284A"/>
    <w:rsid w:val="00955E2A"/>
    <w:rsid w:val="00984D52"/>
    <w:rsid w:val="00994520"/>
    <w:rsid w:val="00997CA5"/>
    <w:rsid w:val="009A323C"/>
    <w:rsid w:val="009B5B8B"/>
    <w:rsid w:val="009C2A43"/>
    <w:rsid w:val="009F1098"/>
    <w:rsid w:val="009F49AA"/>
    <w:rsid w:val="00A02379"/>
    <w:rsid w:val="00A03317"/>
    <w:rsid w:val="00A258A2"/>
    <w:rsid w:val="00A32BB9"/>
    <w:rsid w:val="00A41674"/>
    <w:rsid w:val="00A42DD7"/>
    <w:rsid w:val="00A43788"/>
    <w:rsid w:val="00A50138"/>
    <w:rsid w:val="00A50958"/>
    <w:rsid w:val="00A620EA"/>
    <w:rsid w:val="00A74ABB"/>
    <w:rsid w:val="00A81D13"/>
    <w:rsid w:val="00A87C6F"/>
    <w:rsid w:val="00A93CA6"/>
    <w:rsid w:val="00A96667"/>
    <w:rsid w:val="00AB1134"/>
    <w:rsid w:val="00AC606D"/>
    <w:rsid w:val="00AC7655"/>
    <w:rsid w:val="00AD1F7A"/>
    <w:rsid w:val="00AD7AD1"/>
    <w:rsid w:val="00AE1EB5"/>
    <w:rsid w:val="00AE5517"/>
    <w:rsid w:val="00B01095"/>
    <w:rsid w:val="00B21F1D"/>
    <w:rsid w:val="00B23A16"/>
    <w:rsid w:val="00B52947"/>
    <w:rsid w:val="00B53826"/>
    <w:rsid w:val="00B5552F"/>
    <w:rsid w:val="00B56DA5"/>
    <w:rsid w:val="00B621B2"/>
    <w:rsid w:val="00B814F4"/>
    <w:rsid w:val="00B97DF9"/>
    <w:rsid w:val="00BA3D0B"/>
    <w:rsid w:val="00BA6D3D"/>
    <w:rsid w:val="00BD4F7C"/>
    <w:rsid w:val="00BD51EA"/>
    <w:rsid w:val="00BE3980"/>
    <w:rsid w:val="00BE760C"/>
    <w:rsid w:val="00BF0330"/>
    <w:rsid w:val="00C02B78"/>
    <w:rsid w:val="00C032EE"/>
    <w:rsid w:val="00C10C98"/>
    <w:rsid w:val="00C12C4B"/>
    <w:rsid w:val="00C21652"/>
    <w:rsid w:val="00C2513E"/>
    <w:rsid w:val="00C30C6E"/>
    <w:rsid w:val="00C31381"/>
    <w:rsid w:val="00C64957"/>
    <w:rsid w:val="00C84472"/>
    <w:rsid w:val="00C942E5"/>
    <w:rsid w:val="00C97D77"/>
    <w:rsid w:val="00CA0D61"/>
    <w:rsid w:val="00CD4D57"/>
    <w:rsid w:val="00CD4F8F"/>
    <w:rsid w:val="00CE6360"/>
    <w:rsid w:val="00CF48C3"/>
    <w:rsid w:val="00D04493"/>
    <w:rsid w:val="00D0501C"/>
    <w:rsid w:val="00D1339E"/>
    <w:rsid w:val="00D1375B"/>
    <w:rsid w:val="00D14D7A"/>
    <w:rsid w:val="00D47E8E"/>
    <w:rsid w:val="00D614BF"/>
    <w:rsid w:val="00D62CA3"/>
    <w:rsid w:val="00D73A2B"/>
    <w:rsid w:val="00D81895"/>
    <w:rsid w:val="00D853EC"/>
    <w:rsid w:val="00D85F39"/>
    <w:rsid w:val="00D87729"/>
    <w:rsid w:val="00D918DC"/>
    <w:rsid w:val="00DB6D7D"/>
    <w:rsid w:val="00DD7E03"/>
    <w:rsid w:val="00E02C5B"/>
    <w:rsid w:val="00E14B29"/>
    <w:rsid w:val="00E2510E"/>
    <w:rsid w:val="00E31562"/>
    <w:rsid w:val="00E55F85"/>
    <w:rsid w:val="00E566B4"/>
    <w:rsid w:val="00E96768"/>
    <w:rsid w:val="00EA17D5"/>
    <w:rsid w:val="00EB4BC7"/>
    <w:rsid w:val="00EB6E8A"/>
    <w:rsid w:val="00ED12D6"/>
    <w:rsid w:val="00ED6081"/>
    <w:rsid w:val="00F03A25"/>
    <w:rsid w:val="00F27C74"/>
    <w:rsid w:val="00F36060"/>
    <w:rsid w:val="00F3620C"/>
    <w:rsid w:val="00F411BE"/>
    <w:rsid w:val="00F41C30"/>
    <w:rsid w:val="00F55C6C"/>
    <w:rsid w:val="00F60B0A"/>
    <w:rsid w:val="00F67CEC"/>
    <w:rsid w:val="00FA6E88"/>
    <w:rsid w:val="00FC08A5"/>
    <w:rsid w:val="00FE3186"/>
    <w:rsid w:val="00FF4549"/>
    <w:rsid w:val="00FF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67CF2"/>
  <w15:docId w15:val="{42294268-1718-1C4A-A5B2-EDE903BE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7A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57A"/>
    <w:pPr>
      <w:spacing w:line="360" w:lineRule="auto"/>
      <w:ind w:left="720"/>
      <w:contextualSpacing/>
    </w:pPr>
    <w:rPr>
      <w:rFonts w:eastAsia="MS Mincho" w:cs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C557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C55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55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57A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5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57A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7A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557A"/>
    <w:pPr>
      <w:spacing w:after="0" w:line="240" w:lineRule="auto"/>
    </w:pPr>
    <w:rPr>
      <w:rFonts w:ascii="Times New Roman" w:hAnsi="Times New Roman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2C557A"/>
  </w:style>
  <w:style w:type="paragraph" w:styleId="Header">
    <w:name w:val="header"/>
    <w:basedOn w:val="Normal"/>
    <w:link w:val="HeaderChar"/>
    <w:uiPriority w:val="99"/>
    <w:unhideWhenUsed/>
    <w:rsid w:val="002C557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57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C557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57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FAD87-5C4E-43A6-A0BD-636F41F9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Antoni van Leeuwenhoek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 Mohan</dc:creator>
  <cp:lastModifiedBy>Vineet Mohan</cp:lastModifiedBy>
  <cp:revision>4</cp:revision>
  <cp:lastPrinted>2021-03-17T09:50:00Z</cp:lastPrinted>
  <dcterms:created xsi:type="dcterms:W3CDTF">2021-07-01T12:09:00Z</dcterms:created>
  <dcterms:modified xsi:type="dcterms:W3CDTF">2021-08-04T11:53:00Z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http://www.zotero.org/styles/ejnmmi-research</vt:lpwstr>
  </property>
  <property fmtid="{D5CDD505-2E9C-101B-9397-08002B2CF9AE}" pid="11" name="Mendeley Recent Style Name 4_1">
    <vt:lpwstr>EJNMMI Research</vt:lpwstr>
  </property>
  <property fmtid="{D5CDD505-2E9C-101B-9397-08002B2CF9AE}" pid="12" name="Mendeley Recent Style Id 5_1">
    <vt:lpwstr>http://www.zotero.org/styles/european-journal-of-nuclear-medicine-and-molecular-imaging</vt:lpwstr>
  </property>
  <property fmtid="{D5CDD505-2E9C-101B-9397-08002B2CF9AE}" pid="13" name="Mendeley Recent Style Name 5_1">
    <vt:lpwstr>European Journal of Nuclear Medicine and Molecular Imaging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07e11e91-503e-3e2e-acff-d9b1cc5504fa</vt:lpwstr>
  </property>
  <property fmtid="{D5CDD505-2E9C-101B-9397-08002B2CF9AE}" pid="24" name="Mendeley Citation Style_1">
    <vt:lpwstr>http://www.zotero.org/styles/ejnmmi-research</vt:lpwstr>
  </property>
</Properties>
</file>